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88" w:lineRule="exact"/>
        <w:rPr>
          <w:rFonts w:ascii="Times New Roman" w:hAnsi="Times New Roman" w:eastAsia="黑体" w:cs="Times New Roman"/>
          <w:kern w:val="0"/>
          <w:sz w:val="32"/>
          <w:szCs w:val="32"/>
        </w:rPr>
      </w:pPr>
    </w:p>
    <w:p>
      <w:pPr>
        <w:adjustRightInd w:val="0"/>
        <w:snapToGrid w:val="0"/>
        <w:spacing w:line="600" w:lineRule="exact"/>
        <w:ind w:firstLine="640" w:firstLineChars="200"/>
        <w:textAlignment w:val="baseline"/>
        <w:rPr>
          <w:rFonts w:ascii="Times New Roman" w:hAnsi="Times New Roman" w:eastAsia="仿宋_GB2312" w:cs="Times New Roman"/>
          <w:sz w:val="32"/>
          <w:szCs w:val="32"/>
        </w:rPr>
      </w:pPr>
    </w:p>
    <w:p>
      <w:pPr>
        <w:adjustRightInd w:val="0"/>
        <w:snapToGrid w:val="0"/>
        <w:spacing w:line="600" w:lineRule="exact"/>
        <w:ind w:firstLine="640" w:firstLineChars="200"/>
        <w:textAlignment w:val="baseline"/>
        <w:rPr>
          <w:rFonts w:ascii="Times New Roman" w:hAnsi="Times New Roman" w:eastAsia="仿宋_GB2312" w:cs="Times New Roman"/>
          <w:sz w:val="32"/>
          <w:szCs w:val="32"/>
        </w:rPr>
      </w:pPr>
    </w:p>
    <w:p>
      <w:pPr>
        <w:adjustRightInd w:val="0"/>
        <w:snapToGrid w:val="0"/>
        <w:spacing w:line="600" w:lineRule="exact"/>
        <w:ind w:firstLine="640" w:firstLineChars="200"/>
        <w:textAlignment w:val="baseline"/>
        <w:rPr>
          <w:rFonts w:ascii="Times New Roman" w:hAnsi="Times New Roman" w:eastAsia="仿宋_GB2312" w:cs="Times New Roman"/>
          <w:sz w:val="32"/>
          <w:szCs w:val="32"/>
        </w:rPr>
      </w:pPr>
    </w:p>
    <w:p>
      <w:pPr>
        <w:adjustRightInd w:val="0"/>
        <w:snapToGrid w:val="0"/>
        <w:spacing w:line="600" w:lineRule="exact"/>
        <w:contextualSpacing/>
        <w:jc w:val="center"/>
        <w:textAlignment w:val="baseline"/>
        <w:rPr>
          <w:rFonts w:ascii="方正小标宋简体" w:hAnsi="Times New Roman" w:eastAsia="方正小标宋简体" w:cs="Times New Roman"/>
          <w:sz w:val="48"/>
          <w:szCs w:val="96"/>
        </w:rPr>
      </w:pPr>
      <w:r>
        <w:rPr>
          <w:rFonts w:hint="eastAsia" w:ascii="方正小标宋简体" w:hAnsi="Times New Roman" w:eastAsia="方正小标宋简体" w:cs="Times New Roman"/>
          <w:sz w:val="48"/>
          <w:szCs w:val="96"/>
        </w:rPr>
        <w:t>新乡县国土空间总体规划</w:t>
      </w:r>
    </w:p>
    <w:p>
      <w:pPr>
        <w:adjustRightInd w:val="0"/>
        <w:snapToGrid w:val="0"/>
        <w:spacing w:line="600" w:lineRule="exact"/>
        <w:contextualSpacing/>
        <w:jc w:val="center"/>
        <w:textAlignment w:val="baseline"/>
        <w:rPr>
          <w:rFonts w:ascii="Times New Roman" w:hAnsi="Times New Roman" w:eastAsia="方正小标宋_GBK" w:cs="Times New Roman"/>
          <w:sz w:val="48"/>
          <w:szCs w:val="48"/>
        </w:rPr>
      </w:pPr>
      <w:r>
        <w:rPr>
          <w:rFonts w:hint="eastAsia" w:ascii="Times New Roman" w:hAnsi="Times New Roman" w:eastAsia="方正小标宋简体" w:cs="Times New Roman"/>
          <w:sz w:val="48"/>
          <w:szCs w:val="48"/>
        </w:rPr>
        <w:t>（</w:t>
      </w:r>
      <w:r>
        <w:rPr>
          <w:rFonts w:ascii="Times New Roman" w:hAnsi="Times New Roman" w:eastAsia="方正小标宋简体" w:cs="Times New Roman"/>
          <w:sz w:val="48"/>
          <w:szCs w:val="96"/>
        </w:rPr>
        <w:t>2021</w:t>
      </w:r>
      <w:r>
        <w:rPr>
          <w:rFonts w:hint="eastAsia" w:ascii="Times New Roman" w:hAnsi="Times New Roman" w:eastAsia="方正小标宋简体" w:cs="Times New Roman"/>
          <w:sz w:val="48"/>
          <w:szCs w:val="96"/>
        </w:rPr>
        <w:t>-</w:t>
      </w:r>
      <w:r>
        <w:rPr>
          <w:rFonts w:ascii="Times New Roman" w:hAnsi="Times New Roman" w:eastAsia="方正小标宋简体" w:cs="Times New Roman"/>
          <w:sz w:val="48"/>
          <w:szCs w:val="96"/>
        </w:rPr>
        <w:t>2035年</w:t>
      </w:r>
      <w:r>
        <w:rPr>
          <w:rFonts w:hint="eastAsia" w:ascii="Times New Roman" w:hAnsi="Times New Roman" w:eastAsia="方正小标宋简体" w:cs="Times New Roman"/>
          <w:sz w:val="48"/>
          <w:szCs w:val="48"/>
        </w:rPr>
        <w:t>）</w:t>
      </w:r>
    </w:p>
    <w:p>
      <w:pPr>
        <w:jc w:val="center"/>
        <w:rPr>
          <w:rFonts w:hint="eastAsia" w:ascii="黑体" w:hAnsi="黑体" w:eastAsia="黑体"/>
          <w:b/>
          <w:sz w:val="40"/>
          <w:szCs w:val="40"/>
        </w:rPr>
      </w:pPr>
    </w:p>
    <w:p>
      <w:pPr>
        <w:jc w:val="center"/>
        <w:rPr>
          <w:rFonts w:ascii="Times New Roman" w:hAnsi="Times New Roman" w:eastAsia="方正小标宋简体" w:cs="Times New Roman"/>
          <w:sz w:val="48"/>
          <w:szCs w:val="96"/>
        </w:rPr>
      </w:pPr>
      <w:r>
        <w:rPr>
          <w:rFonts w:hint="eastAsia" w:ascii="Times New Roman" w:hAnsi="Times New Roman" w:eastAsia="方正小标宋简体" w:cs="Times New Roman"/>
          <w:sz w:val="48"/>
          <w:szCs w:val="96"/>
        </w:rPr>
        <w:t>文  本</w:t>
      </w:r>
    </w:p>
    <w:p>
      <w:pPr>
        <w:adjustRightInd w:val="0"/>
        <w:snapToGrid w:val="0"/>
        <w:spacing w:line="600" w:lineRule="exact"/>
        <w:jc w:val="center"/>
        <w:textAlignment w:val="baseline"/>
        <w:rPr>
          <w:rFonts w:ascii="Times New Roman" w:hAnsi="Times New Roman" w:eastAsia="楷体" w:cs="Times New Roman"/>
          <w:kern w:val="0"/>
          <w:sz w:val="32"/>
          <w:szCs w:val="32"/>
        </w:rPr>
      </w:pPr>
    </w:p>
    <w:p>
      <w:pPr>
        <w:adjustRightInd w:val="0"/>
        <w:snapToGrid w:val="0"/>
        <w:spacing w:line="600" w:lineRule="exact"/>
        <w:ind w:firstLine="640" w:firstLineChars="200"/>
        <w:textAlignment w:val="baseline"/>
        <w:rPr>
          <w:rFonts w:ascii="Times New Roman" w:hAnsi="Times New Roman" w:eastAsia="仿宋_GB2312" w:cs="Times New Roman"/>
          <w:sz w:val="32"/>
          <w:szCs w:val="32"/>
        </w:rPr>
      </w:pPr>
    </w:p>
    <w:p>
      <w:pPr>
        <w:adjustRightInd w:val="0"/>
        <w:snapToGrid w:val="0"/>
        <w:spacing w:line="600" w:lineRule="exact"/>
        <w:ind w:firstLine="640" w:firstLineChars="200"/>
        <w:textAlignment w:val="baseline"/>
        <w:rPr>
          <w:rFonts w:ascii="Times New Roman" w:hAnsi="Times New Roman" w:eastAsia="仿宋_GB2312" w:cs="Times New Roman"/>
          <w:sz w:val="32"/>
          <w:szCs w:val="32"/>
        </w:rPr>
      </w:pPr>
    </w:p>
    <w:p>
      <w:pPr>
        <w:adjustRightInd w:val="0"/>
        <w:snapToGrid w:val="0"/>
        <w:spacing w:line="600" w:lineRule="exact"/>
        <w:ind w:firstLine="640" w:firstLineChars="200"/>
        <w:textAlignment w:val="baseline"/>
        <w:rPr>
          <w:rFonts w:ascii="Times New Roman" w:hAnsi="Times New Roman" w:eastAsia="仿宋_GB2312" w:cs="Times New Roman"/>
          <w:sz w:val="32"/>
          <w:szCs w:val="32"/>
        </w:rPr>
      </w:pPr>
    </w:p>
    <w:p>
      <w:pPr>
        <w:adjustRightInd w:val="0"/>
        <w:snapToGrid w:val="0"/>
        <w:spacing w:line="600" w:lineRule="exact"/>
        <w:ind w:firstLine="640" w:firstLineChars="200"/>
        <w:textAlignment w:val="baseline"/>
        <w:rPr>
          <w:rFonts w:ascii="Times New Roman" w:hAnsi="Times New Roman" w:eastAsia="仿宋_GB2312" w:cs="Times New Roman"/>
          <w:sz w:val="32"/>
          <w:szCs w:val="32"/>
        </w:rPr>
      </w:pPr>
    </w:p>
    <w:p>
      <w:pPr>
        <w:adjustRightInd w:val="0"/>
        <w:snapToGrid w:val="0"/>
        <w:spacing w:line="600" w:lineRule="exact"/>
        <w:ind w:firstLine="640" w:firstLineChars="200"/>
        <w:textAlignment w:val="baseline"/>
        <w:rPr>
          <w:rFonts w:ascii="Times New Roman" w:hAnsi="Times New Roman" w:eastAsia="仿宋_GB2312" w:cs="Times New Roman"/>
          <w:sz w:val="32"/>
          <w:szCs w:val="32"/>
        </w:rPr>
      </w:pPr>
    </w:p>
    <w:p>
      <w:pPr>
        <w:adjustRightInd w:val="0"/>
        <w:snapToGrid w:val="0"/>
        <w:spacing w:line="600" w:lineRule="exact"/>
        <w:ind w:firstLine="640" w:firstLineChars="200"/>
        <w:textAlignment w:val="baseline"/>
        <w:rPr>
          <w:rFonts w:ascii="Times New Roman" w:hAnsi="Times New Roman" w:eastAsia="仿宋_GB2312" w:cs="Times New Roman"/>
          <w:sz w:val="32"/>
          <w:szCs w:val="32"/>
        </w:rPr>
      </w:pPr>
    </w:p>
    <w:p>
      <w:pPr>
        <w:adjustRightInd w:val="0"/>
        <w:snapToGrid w:val="0"/>
        <w:spacing w:line="600" w:lineRule="exact"/>
        <w:ind w:firstLine="640" w:firstLineChars="200"/>
        <w:textAlignment w:val="baseline"/>
        <w:rPr>
          <w:rFonts w:ascii="Times New Roman" w:hAnsi="Times New Roman" w:eastAsia="仿宋_GB2312" w:cs="Times New Roman"/>
          <w:sz w:val="32"/>
          <w:szCs w:val="32"/>
        </w:rPr>
      </w:pPr>
    </w:p>
    <w:p>
      <w:pPr>
        <w:adjustRightInd w:val="0"/>
        <w:snapToGrid w:val="0"/>
        <w:spacing w:line="600" w:lineRule="exact"/>
        <w:ind w:firstLine="640" w:firstLineChars="200"/>
        <w:textAlignment w:val="baseline"/>
        <w:rPr>
          <w:rFonts w:ascii="Times New Roman" w:hAnsi="Times New Roman" w:eastAsia="仿宋_GB2312" w:cs="Times New Roman"/>
          <w:sz w:val="32"/>
          <w:szCs w:val="32"/>
        </w:rPr>
      </w:pPr>
    </w:p>
    <w:p>
      <w:pPr>
        <w:adjustRightInd w:val="0"/>
        <w:snapToGrid w:val="0"/>
        <w:spacing w:line="600" w:lineRule="exact"/>
        <w:ind w:firstLine="640" w:firstLineChars="200"/>
        <w:textAlignment w:val="baseline"/>
        <w:rPr>
          <w:rFonts w:ascii="Times New Roman" w:hAnsi="Times New Roman" w:eastAsia="仿宋_GB2312" w:cs="Times New Roman"/>
          <w:sz w:val="32"/>
          <w:szCs w:val="32"/>
        </w:rPr>
      </w:pPr>
    </w:p>
    <w:p>
      <w:pPr>
        <w:adjustRightInd w:val="0"/>
        <w:snapToGrid w:val="0"/>
        <w:spacing w:line="600" w:lineRule="exact"/>
        <w:ind w:firstLine="640" w:firstLineChars="200"/>
        <w:textAlignment w:val="baseline"/>
        <w:rPr>
          <w:rFonts w:ascii="Times New Roman" w:hAnsi="Times New Roman" w:eastAsia="仿宋_GB2312" w:cs="Times New Roman"/>
          <w:sz w:val="32"/>
          <w:szCs w:val="32"/>
        </w:rPr>
      </w:pPr>
    </w:p>
    <w:p>
      <w:pPr>
        <w:jc w:val="center"/>
        <w:rPr>
          <w:rFonts w:ascii="Times New Roman" w:hAnsi="Times New Roman" w:eastAsia="黑体" w:cs="Times New Roman"/>
          <w:sz w:val="32"/>
          <w:szCs w:val="32"/>
        </w:rPr>
      </w:pPr>
      <w:r>
        <w:rPr>
          <w:rFonts w:hint="eastAsia" w:ascii="Times New Roman" w:hAnsi="Times New Roman" w:eastAsia="黑体" w:cs="Times New Roman"/>
          <w:sz w:val="32"/>
          <w:szCs w:val="32"/>
        </w:rPr>
        <w:t>新乡县人民政府</w:t>
      </w:r>
    </w:p>
    <w:p>
      <w:pPr>
        <w:jc w:val="center"/>
        <w:rPr>
          <w:rFonts w:ascii="Times New Roman" w:hAnsi="Times New Roman" w:eastAsia="黑体" w:cs="Times New Roman"/>
          <w:sz w:val="32"/>
          <w:szCs w:val="32"/>
        </w:rPr>
      </w:pPr>
      <w:r>
        <w:rPr>
          <w:rFonts w:hint="eastAsia" w:ascii="Times New Roman" w:hAnsi="Times New Roman" w:eastAsia="黑体" w:cs="Times New Roman"/>
          <w:sz w:val="32"/>
          <w:szCs w:val="32"/>
        </w:rPr>
        <w:t>2</w:t>
      </w:r>
      <w:r>
        <w:rPr>
          <w:rFonts w:ascii="Times New Roman" w:hAnsi="Times New Roman" w:eastAsia="黑体" w:cs="Times New Roman"/>
          <w:sz w:val="32"/>
          <w:szCs w:val="32"/>
        </w:rPr>
        <w:t>024</w:t>
      </w:r>
      <w:r>
        <w:rPr>
          <w:rFonts w:hint="eastAsia" w:ascii="Times New Roman" w:hAnsi="Times New Roman" w:eastAsia="黑体" w:cs="Times New Roman"/>
          <w:sz w:val="32"/>
          <w:szCs w:val="32"/>
        </w:rPr>
        <w:t>年</w:t>
      </w:r>
      <w:r>
        <w:rPr>
          <w:rFonts w:ascii="Times New Roman" w:hAnsi="Times New Roman" w:eastAsia="黑体" w:cs="Times New Roman"/>
          <w:sz w:val="32"/>
          <w:szCs w:val="32"/>
        </w:rPr>
        <w:t>0</w:t>
      </w:r>
      <w:r>
        <w:rPr>
          <w:rFonts w:hint="eastAsia" w:ascii="Times New Roman" w:hAnsi="Times New Roman" w:eastAsia="黑体" w:cs="Times New Roman"/>
          <w:sz w:val="32"/>
          <w:szCs w:val="32"/>
        </w:rPr>
        <w:t>9月</w:t>
      </w:r>
    </w:p>
    <w:p>
      <w:pPr>
        <w:jc w:val="center"/>
        <w:rPr>
          <w:rFonts w:ascii="Times New Roman" w:hAnsi="Times New Roman" w:eastAsia="黑体" w:cs="Times New Roman"/>
          <w:sz w:val="32"/>
          <w:szCs w:val="32"/>
        </w:rPr>
      </w:pPr>
    </w:p>
    <w:p>
      <w:pPr>
        <w:jc w:val="center"/>
        <w:rPr>
          <w:rFonts w:ascii="Times New Roman" w:hAnsi="Times New Roman" w:eastAsia="黑体" w:cs="Times New Roman"/>
          <w:sz w:val="32"/>
          <w:szCs w:val="32"/>
        </w:rPr>
        <w:sectPr>
          <w:footerReference r:id="rId3" w:type="default"/>
          <w:pgSz w:w="11906" w:h="16838"/>
          <w:pgMar w:top="1440" w:right="1797" w:bottom="1440" w:left="1797" w:header="851" w:footer="992" w:gutter="0"/>
          <w:pgNumType w:fmt="upperRoman" w:start="1"/>
          <w:cols w:space="425" w:num="1"/>
          <w:docGrid w:type="lines" w:linePitch="312" w:charSpace="0"/>
        </w:sectPr>
      </w:pPr>
    </w:p>
    <w:p>
      <w:pPr>
        <w:ind w:firstLine="602"/>
        <w:jc w:val="center"/>
        <w:rPr>
          <w:rFonts w:hint="eastAsia" w:ascii="黑体" w:hAnsi="黑体" w:eastAsia="黑体"/>
          <w:bCs/>
          <w:sz w:val="44"/>
          <w:szCs w:val="44"/>
        </w:rPr>
      </w:pPr>
      <w:r>
        <w:rPr>
          <w:rFonts w:hint="eastAsia" w:ascii="黑体" w:hAnsi="黑体" w:eastAsia="黑体"/>
          <w:bCs/>
          <w:sz w:val="44"/>
          <w:szCs w:val="44"/>
        </w:rPr>
        <w:t>目 录</w:t>
      </w:r>
    </w:p>
    <w:p>
      <w:pPr>
        <w:pStyle w:val="26"/>
        <w:rPr>
          <w:rFonts w:asciiTheme="minorHAnsi" w:hAnsiTheme="minorHAnsi" w:eastAsiaTheme="minorEastAsia"/>
          <w:sz w:val="21"/>
          <w14:ligatures w14:val="standardContextual"/>
        </w:rPr>
      </w:pPr>
      <w:r>
        <w:rPr>
          <w:rFonts w:cs="Times New Roman"/>
          <w:szCs w:val="32"/>
        </w:rPr>
        <w:fldChar w:fldCharType="begin"/>
      </w:r>
      <w:r>
        <w:rPr>
          <w:rFonts w:cs="Times New Roman"/>
          <w:szCs w:val="32"/>
        </w:rPr>
        <w:instrText xml:space="preserve"> TOC \o "1-2" \h \z \u </w:instrText>
      </w:r>
      <w:r>
        <w:rPr>
          <w:rFonts w:cs="Times New Roman"/>
          <w:szCs w:val="32"/>
        </w:rPr>
        <w:fldChar w:fldCharType="separate"/>
      </w:r>
      <w:r>
        <w:fldChar w:fldCharType="begin"/>
      </w:r>
      <w:r>
        <w:instrText xml:space="preserve"> HYPERLINK \l "_Toc178172810" </w:instrText>
      </w:r>
      <w:r>
        <w:fldChar w:fldCharType="separate"/>
      </w:r>
      <w:r>
        <w:rPr>
          <w:rStyle w:val="37"/>
          <w:rFonts w:hint="eastAsia"/>
        </w:rPr>
        <w:t>第一章 总则</w:t>
      </w:r>
      <w:r>
        <w:rPr>
          <w:rFonts w:hint="eastAsia"/>
        </w:rPr>
        <w:tab/>
      </w:r>
      <w:r>
        <w:rPr>
          <w:rFonts w:hint="eastAsia"/>
        </w:rPr>
        <w:fldChar w:fldCharType="begin"/>
      </w:r>
      <w:r>
        <w:rPr>
          <w:rFonts w:hint="eastAsia"/>
        </w:rPr>
        <w:instrText xml:space="preserve"> </w:instrText>
      </w:r>
      <w:r>
        <w:instrText xml:space="preserve">PAGEREF _Toc178172810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pPr>
        <w:pStyle w:val="26"/>
        <w:rPr>
          <w:rFonts w:asciiTheme="minorHAnsi" w:hAnsiTheme="minorHAnsi" w:eastAsiaTheme="minorEastAsia"/>
          <w:sz w:val="21"/>
          <w14:ligatures w14:val="standardContextual"/>
        </w:rPr>
      </w:pPr>
      <w:r>
        <w:fldChar w:fldCharType="begin"/>
      </w:r>
      <w:r>
        <w:instrText xml:space="preserve"> HYPERLINK \l "_Toc178172811" </w:instrText>
      </w:r>
      <w:r>
        <w:fldChar w:fldCharType="separate"/>
      </w:r>
      <w:r>
        <w:rPr>
          <w:rStyle w:val="37"/>
          <w:rFonts w:hint="eastAsia"/>
        </w:rPr>
        <w:t>第二章 发展目标与战略</w:t>
      </w:r>
      <w:r>
        <w:rPr>
          <w:rFonts w:hint="eastAsia"/>
        </w:rPr>
        <w:tab/>
      </w:r>
      <w:r>
        <w:rPr>
          <w:rFonts w:hint="eastAsia"/>
        </w:rPr>
        <w:fldChar w:fldCharType="begin"/>
      </w:r>
      <w:r>
        <w:rPr>
          <w:rFonts w:hint="eastAsia"/>
        </w:rPr>
        <w:instrText xml:space="preserve"> </w:instrText>
      </w:r>
      <w:r>
        <w:instrText xml:space="preserve">PAGEREF _Toc178172811 \h</w:instrText>
      </w:r>
      <w:r>
        <w:rPr>
          <w:rFonts w:hint="eastAsia"/>
        </w:rPr>
        <w:instrText xml:space="preserve"> </w:instrText>
      </w:r>
      <w:r>
        <w:rPr>
          <w:rFonts w:hint="eastAsia"/>
        </w:rPr>
        <w:fldChar w:fldCharType="separate"/>
      </w:r>
      <w:r>
        <w:t>7</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"_Toc178172812" </w:instrText>
      </w:r>
      <w:r>
        <w:fldChar w:fldCharType="separate"/>
      </w:r>
      <w:r>
        <w:rPr>
          <w:rStyle w:val="37"/>
          <w:rFonts w:hint="eastAsia"/>
        </w:rPr>
        <w:t>第一节</w:t>
      </w:r>
      <w:r>
        <w:rPr>
          <w:rFonts w:hint="eastAsia"/>
          <w14:ligatures w14:val="standardContextual"/>
        </w:rPr>
        <w:tab/>
      </w:r>
      <w:r>
        <w:rPr>
          <w:rStyle w:val="37"/>
          <w:rFonts w:hint="eastAsia"/>
        </w:rPr>
        <w:t>城市性质</w:t>
      </w:r>
      <w:r>
        <w:rPr>
          <w:rFonts w:hint="eastAsia"/>
        </w:rPr>
        <w:tab/>
      </w:r>
      <w:r>
        <w:rPr>
          <w:rFonts w:hint="eastAsia"/>
        </w:rPr>
        <w:fldChar w:fldCharType="begin"/>
      </w:r>
      <w:r>
        <w:rPr>
          <w:rFonts w:hint="eastAsia"/>
        </w:rPr>
        <w:instrText xml:space="preserve"> </w:instrText>
      </w:r>
      <w:r>
        <w:instrText xml:space="preserve">PAGEREF _Toc178172812 \h</w:instrText>
      </w:r>
      <w:r>
        <w:rPr>
          <w:rFonts w:hint="eastAsia"/>
        </w:rPr>
        <w:instrText xml:space="preserve"> </w:instrText>
      </w:r>
      <w:r>
        <w:rPr>
          <w:rFonts w:hint="eastAsia"/>
        </w:rPr>
        <w:fldChar w:fldCharType="separate"/>
      </w:r>
      <w:r>
        <w:t>7</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"_Toc178172813" </w:instrText>
      </w:r>
      <w:r>
        <w:fldChar w:fldCharType="separate"/>
      </w:r>
      <w:r>
        <w:rPr>
          <w:rStyle w:val="37"/>
          <w:rFonts w:hint="eastAsia"/>
        </w:rPr>
        <w:t>第二节</w:t>
      </w:r>
      <w:r>
        <w:rPr>
          <w:rFonts w:hint="eastAsia"/>
          <w14:ligatures w14:val="standardContextual"/>
        </w:rPr>
        <w:tab/>
      </w:r>
      <w:r>
        <w:rPr>
          <w:rStyle w:val="37"/>
          <w:rFonts w:hint="eastAsia"/>
        </w:rPr>
        <w:t>国土空间开发保护目标</w:t>
      </w:r>
      <w:r>
        <w:rPr>
          <w:rFonts w:hint="eastAsia"/>
        </w:rPr>
        <w:tab/>
      </w:r>
      <w:r>
        <w:rPr>
          <w:rFonts w:hint="eastAsia"/>
        </w:rPr>
        <w:fldChar w:fldCharType="begin"/>
      </w:r>
      <w:r>
        <w:rPr>
          <w:rFonts w:hint="eastAsia"/>
        </w:rPr>
        <w:instrText xml:space="preserve"> </w:instrText>
      </w:r>
      <w:r>
        <w:instrText xml:space="preserve">PAGEREF _Toc178172813 \h</w:instrText>
      </w:r>
      <w:r>
        <w:rPr>
          <w:rFonts w:hint="eastAsia"/>
        </w:rPr>
        <w:instrText xml:space="preserve"> </w:instrText>
      </w:r>
      <w:r>
        <w:rPr>
          <w:rFonts w:hint="eastAsia"/>
        </w:rPr>
        <w:fldChar w:fldCharType="separate"/>
      </w:r>
      <w:r>
        <w:t>7</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"_Toc178172814" </w:instrText>
      </w:r>
      <w:r>
        <w:fldChar w:fldCharType="separate"/>
      </w:r>
      <w:r>
        <w:rPr>
          <w:rStyle w:val="37"/>
          <w:rFonts w:hint="eastAsia"/>
        </w:rPr>
        <w:t>第三节</w:t>
      </w:r>
      <w:r>
        <w:rPr>
          <w:rFonts w:hint="eastAsia"/>
          <w14:ligatures w14:val="standardContextual"/>
        </w:rPr>
        <w:tab/>
      </w:r>
      <w:r>
        <w:rPr>
          <w:rStyle w:val="37"/>
          <w:rFonts w:hint="eastAsia"/>
        </w:rPr>
        <w:t>国土空间开发保护战略</w:t>
      </w:r>
      <w:r>
        <w:rPr>
          <w:rFonts w:hint="eastAsia"/>
        </w:rPr>
        <w:tab/>
      </w:r>
      <w:r>
        <w:rPr>
          <w:rFonts w:hint="eastAsia"/>
        </w:rPr>
        <w:fldChar w:fldCharType="begin"/>
      </w:r>
      <w:r>
        <w:rPr>
          <w:rFonts w:hint="eastAsia"/>
        </w:rPr>
        <w:instrText xml:space="preserve"> </w:instrText>
      </w:r>
      <w:r>
        <w:instrText xml:space="preserve">PAGEREF _Toc178172814 \h</w:instrText>
      </w:r>
      <w:r>
        <w:rPr>
          <w:rFonts w:hint="eastAsia"/>
        </w:rPr>
        <w:instrText xml:space="preserve"> </w:instrText>
      </w:r>
      <w:r>
        <w:rPr>
          <w:rFonts w:hint="eastAsia"/>
        </w:rPr>
        <w:fldChar w:fldCharType="separate"/>
      </w:r>
      <w:r>
        <w:t>8</w:t>
      </w:r>
      <w:r>
        <w:rPr>
          <w:rFonts w:hint="eastAsia"/>
        </w:rPr>
        <w:fldChar w:fldCharType="end"/>
      </w:r>
      <w:r>
        <w:rPr>
          <w:rFonts w:hint="eastAsia"/>
        </w:rPr>
        <w:fldChar w:fldCharType="end"/>
      </w:r>
    </w:p>
    <w:p>
      <w:pPr>
        <w:pStyle w:val="26"/>
        <w:rPr>
          <w:rFonts w:asciiTheme="minorHAnsi" w:hAnsiTheme="minorHAnsi" w:eastAsiaTheme="minorEastAsia"/>
          <w:sz w:val="21"/>
          <w14:ligatures w14:val="standardContextual"/>
        </w:rPr>
      </w:pPr>
      <w:r>
        <w:fldChar w:fldCharType="begin"/>
      </w:r>
      <w:r>
        <w:instrText xml:space="preserve"> HYPERLINK \l "_Toc178172815" </w:instrText>
      </w:r>
      <w:r>
        <w:fldChar w:fldCharType="separate"/>
      </w:r>
      <w:r>
        <w:rPr>
          <w:rStyle w:val="37"/>
          <w:rFonts w:hint="eastAsia"/>
        </w:rPr>
        <w:t>第三章 国土空间总体格局</w:t>
      </w:r>
      <w:r>
        <w:rPr>
          <w:rFonts w:hint="eastAsia"/>
        </w:rPr>
        <w:tab/>
      </w:r>
      <w:r>
        <w:rPr>
          <w:rFonts w:hint="eastAsia"/>
        </w:rPr>
        <w:fldChar w:fldCharType="begin"/>
      </w:r>
      <w:r>
        <w:rPr>
          <w:rFonts w:hint="eastAsia"/>
        </w:rPr>
        <w:instrText xml:space="preserve"> </w:instrText>
      </w:r>
      <w:r>
        <w:instrText xml:space="preserve">PAGEREF _Toc178172815 \h</w:instrText>
      </w:r>
      <w:r>
        <w:rPr>
          <w:rFonts w:hint="eastAsia"/>
        </w:rPr>
        <w:instrText xml:space="preserve"> </w:instrText>
      </w:r>
      <w:r>
        <w:rPr>
          <w:rFonts w:hint="eastAsia"/>
        </w:rPr>
        <w:fldChar w:fldCharType="separate"/>
      </w:r>
      <w:r>
        <w:t>10</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"_Toc178172816" </w:instrText>
      </w:r>
      <w:r>
        <w:fldChar w:fldCharType="separate"/>
      </w:r>
      <w:r>
        <w:rPr>
          <w:rStyle w:val="37"/>
          <w:rFonts w:hint="eastAsia"/>
        </w:rPr>
        <w:t>第一节</w:t>
      </w:r>
      <w:r>
        <w:rPr>
          <w:rFonts w:hint="eastAsia"/>
          <w14:ligatures w14:val="standardContextual"/>
        </w:rPr>
        <w:tab/>
      </w:r>
      <w:r>
        <w:rPr>
          <w:rStyle w:val="37"/>
          <w:rFonts w:hint="eastAsia"/>
        </w:rPr>
        <w:t>落实上位规划要求，筑牢安全发展空间底线</w:t>
      </w:r>
      <w:r>
        <w:rPr>
          <w:rFonts w:hint="eastAsia"/>
        </w:rPr>
        <w:tab/>
      </w:r>
      <w:r>
        <w:rPr>
          <w:rFonts w:hint="eastAsia"/>
        </w:rPr>
        <w:fldChar w:fldCharType="begin"/>
      </w:r>
      <w:r>
        <w:rPr>
          <w:rFonts w:hint="eastAsia"/>
        </w:rPr>
        <w:instrText xml:space="preserve"> </w:instrText>
      </w:r>
      <w:r>
        <w:instrText xml:space="preserve">PAGEREF _Toc178172816 \h</w:instrText>
      </w:r>
      <w:r>
        <w:rPr>
          <w:rFonts w:hint="eastAsia"/>
        </w:rPr>
        <w:instrText xml:space="preserve"> </w:instrText>
      </w:r>
      <w:r>
        <w:rPr>
          <w:rFonts w:hint="eastAsia"/>
        </w:rPr>
        <w:fldChar w:fldCharType="separate"/>
      </w:r>
      <w:r>
        <w:t>10</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"_Toc178172817" </w:instrText>
      </w:r>
      <w:r>
        <w:fldChar w:fldCharType="separate"/>
      </w:r>
      <w:r>
        <w:rPr>
          <w:rStyle w:val="37"/>
          <w:rFonts w:hint="eastAsia"/>
        </w:rPr>
        <w:t>第二节</w:t>
      </w:r>
      <w:r>
        <w:rPr>
          <w:rFonts w:hint="eastAsia"/>
          <w14:ligatures w14:val="standardContextual"/>
        </w:rPr>
        <w:tab/>
      </w:r>
      <w:r>
        <w:rPr>
          <w:rStyle w:val="37"/>
          <w:rFonts w:hint="eastAsia"/>
        </w:rPr>
        <w:t>细化各乡（镇）主体功能区定位</w:t>
      </w:r>
      <w:r>
        <w:rPr>
          <w:rFonts w:hint="eastAsia"/>
        </w:rPr>
        <w:tab/>
      </w:r>
      <w:r>
        <w:rPr>
          <w:rFonts w:hint="eastAsia"/>
        </w:rPr>
        <w:fldChar w:fldCharType="begin"/>
      </w:r>
      <w:r>
        <w:rPr>
          <w:rFonts w:hint="eastAsia"/>
        </w:rPr>
        <w:instrText xml:space="preserve"> </w:instrText>
      </w:r>
      <w:r>
        <w:instrText xml:space="preserve">PAGEREF _Toc178172817 \h</w:instrText>
      </w:r>
      <w:r>
        <w:rPr>
          <w:rFonts w:hint="eastAsia"/>
        </w:rPr>
        <w:instrText xml:space="preserve"> </w:instrText>
      </w:r>
      <w:r>
        <w:rPr>
          <w:rFonts w:hint="eastAsia"/>
        </w:rPr>
        <w:fldChar w:fldCharType="separate"/>
      </w:r>
      <w:r>
        <w:t>10</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"_Toc178172818" </w:instrText>
      </w:r>
      <w:r>
        <w:fldChar w:fldCharType="separate"/>
      </w:r>
      <w:r>
        <w:rPr>
          <w:rStyle w:val="37"/>
          <w:rFonts w:hint="eastAsia"/>
        </w:rPr>
        <w:t>第三节</w:t>
      </w:r>
      <w:r>
        <w:rPr>
          <w:rFonts w:hint="eastAsia"/>
          <w14:ligatures w14:val="standardContextual"/>
        </w:rPr>
        <w:tab/>
      </w:r>
      <w:r>
        <w:rPr>
          <w:rStyle w:val="37"/>
          <w:rFonts w:hint="eastAsia"/>
        </w:rPr>
        <w:t>塑造开放式、网络化、复合型的总体格局</w:t>
      </w:r>
      <w:r>
        <w:rPr>
          <w:rFonts w:hint="eastAsia"/>
        </w:rPr>
        <w:tab/>
      </w:r>
      <w:r>
        <w:rPr>
          <w:rFonts w:hint="eastAsia"/>
        </w:rPr>
        <w:fldChar w:fldCharType="begin"/>
      </w:r>
      <w:r>
        <w:rPr>
          <w:rFonts w:hint="eastAsia"/>
        </w:rPr>
        <w:instrText xml:space="preserve"> </w:instrText>
      </w:r>
      <w:r>
        <w:instrText xml:space="preserve">PAGEREF _Toc178172818 \h</w:instrText>
      </w:r>
      <w:r>
        <w:rPr>
          <w:rFonts w:hint="eastAsia"/>
        </w:rPr>
        <w:instrText xml:space="preserve"> </w:instrText>
      </w:r>
      <w:r>
        <w:rPr>
          <w:rFonts w:hint="eastAsia"/>
        </w:rPr>
        <w:fldChar w:fldCharType="separate"/>
      </w:r>
      <w:r>
        <w:t>11</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"_Toc178172819" </w:instrText>
      </w:r>
      <w:r>
        <w:fldChar w:fldCharType="separate"/>
      </w:r>
      <w:r>
        <w:rPr>
          <w:rStyle w:val="37"/>
          <w:rFonts w:hint="eastAsia"/>
        </w:rPr>
        <w:t>第四节</w:t>
      </w:r>
      <w:r>
        <w:rPr>
          <w:rFonts w:hint="eastAsia"/>
          <w14:ligatures w14:val="standardContextual"/>
        </w:rPr>
        <w:tab/>
      </w:r>
      <w:r>
        <w:rPr>
          <w:rStyle w:val="37"/>
          <w:rFonts w:hint="eastAsia"/>
        </w:rPr>
        <w:t>合理划定国土空间规划分区</w:t>
      </w:r>
      <w:r>
        <w:rPr>
          <w:rFonts w:hint="eastAsia"/>
        </w:rPr>
        <w:tab/>
      </w:r>
      <w:r>
        <w:rPr>
          <w:rFonts w:hint="eastAsia"/>
        </w:rPr>
        <w:fldChar w:fldCharType="begin"/>
      </w:r>
      <w:r>
        <w:rPr>
          <w:rFonts w:hint="eastAsia"/>
        </w:rPr>
        <w:instrText xml:space="preserve"> </w:instrText>
      </w:r>
      <w:r>
        <w:instrText xml:space="preserve">PAGEREF _Toc178172819 \h</w:instrText>
      </w:r>
      <w:r>
        <w:rPr>
          <w:rFonts w:hint="eastAsia"/>
        </w:rPr>
        <w:instrText xml:space="preserve"> </w:instrText>
      </w:r>
      <w:r>
        <w:rPr>
          <w:rFonts w:hint="eastAsia"/>
        </w:rPr>
        <w:fldChar w:fldCharType="separate"/>
      </w:r>
      <w:r>
        <w:t>11</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"_Toc178172820" </w:instrText>
      </w:r>
      <w:r>
        <w:fldChar w:fldCharType="separate"/>
      </w:r>
      <w:r>
        <w:rPr>
          <w:rStyle w:val="37"/>
          <w:rFonts w:hint="eastAsia"/>
        </w:rPr>
        <w:t>第五节</w:t>
      </w:r>
      <w:r>
        <w:rPr>
          <w:rFonts w:hint="eastAsia"/>
          <w14:ligatures w14:val="standardContextual"/>
        </w:rPr>
        <w:tab/>
      </w:r>
      <w:r>
        <w:rPr>
          <w:rStyle w:val="37"/>
          <w:rFonts w:hint="eastAsia"/>
        </w:rPr>
        <w:t>优化调整国土空间功能结构</w:t>
      </w:r>
      <w:r>
        <w:rPr>
          <w:rFonts w:hint="eastAsia"/>
        </w:rPr>
        <w:tab/>
      </w:r>
      <w:r>
        <w:rPr>
          <w:rFonts w:hint="eastAsia"/>
        </w:rPr>
        <w:fldChar w:fldCharType="begin"/>
      </w:r>
      <w:r>
        <w:rPr>
          <w:rFonts w:hint="eastAsia"/>
        </w:rPr>
        <w:instrText xml:space="preserve"> </w:instrText>
      </w:r>
      <w:r>
        <w:instrText xml:space="preserve">PAGEREF _Toc178172820 \h</w:instrText>
      </w:r>
      <w:r>
        <w:rPr>
          <w:rFonts w:hint="eastAsia"/>
        </w:rPr>
        <w:instrText xml:space="preserve"> </w:instrText>
      </w:r>
      <w:r>
        <w:rPr>
          <w:rFonts w:hint="eastAsia"/>
        </w:rPr>
        <w:fldChar w:fldCharType="separate"/>
      </w:r>
      <w:r>
        <w:t>13</w:t>
      </w:r>
      <w:r>
        <w:rPr>
          <w:rFonts w:hint="eastAsia"/>
        </w:rPr>
        <w:fldChar w:fldCharType="end"/>
      </w:r>
      <w:r>
        <w:rPr>
          <w:rFonts w:hint="eastAsia"/>
        </w:rPr>
        <w:fldChar w:fldCharType="end"/>
      </w:r>
    </w:p>
    <w:p>
      <w:pPr>
        <w:pStyle w:val="26"/>
        <w:rPr>
          <w:rFonts w:asciiTheme="minorHAnsi" w:hAnsiTheme="minorHAnsi" w:eastAsiaTheme="minorEastAsia"/>
          <w:sz w:val="21"/>
          <w14:ligatures w14:val="standardContextual"/>
        </w:rPr>
      </w:pPr>
      <w:r>
        <w:fldChar w:fldCharType="begin"/>
      </w:r>
      <w:r>
        <w:instrText xml:space="preserve"> HYPERLINK \l "_Toc178172821" </w:instrText>
      </w:r>
      <w:r>
        <w:fldChar w:fldCharType="separate"/>
      </w:r>
      <w:r>
        <w:rPr>
          <w:rStyle w:val="37"/>
          <w:rFonts w:hint="eastAsia"/>
        </w:rPr>
        <w:t>第四章 耕地保护与乡村振兴</w:t>
      </w:r>
      <w:r>
        <w:rPr>
          <w:rFonts w:hint="eastAsia"/>
        </w:rPr>
        <w:tab/>
      </w:r>
      <w:r>
        <w:rPr>
          <w:rFonts w:hint="eastAsia"/>
        </w:rPr>
        <w:fldChar w:fldCharType="begin"/>
      </w:r>
      <w:r>
        <w:rPr>
          <w:rFonts w:hint="eastAsia"/>
        </w:rPr>
        <w:instrText xml:space="preserve"> </w:instrText>
      </w:r>
      <w:r>
        <w:instrText xml:space="preserve">PAGEREF _Toc178172821 \h</w:instrText>
      </w:r>
      <w:r>
        <w:rPr>
          <w:rFonts w:hint="eastAsia"/>
        </w:rPr>
        <w:instrText xml:space="preserve"> </w:instrText>
      </w:r>
      <w:r>
        <w:rPr>
          <w:rFonts w:hint="eastAsia"/>
        </w:rPr>
        <w:fldChar w:fldCharType="separate"/>
      </w:r>
      <w:r>
        <w:t>15</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"_Toc178172822" </w:instrText>
      </w:r>
      <w:r>
        <w:fldChar w:fldCharType="separate"/>
      </w:r>
      <w:r>
        <w:rPr>
          <w:rStyle w:val="37"/>
          <w:rFonts w:hint="eastAsia"/>
        </w:rPr>
        <w:t>第一节</w:t>
      </w:r>
      <w:r>
        <w:rPr>
          <w:rFonts w:hint="eastAsia"/>
          <w14:ligatures w14:val="standardContextual"/>
        </w:rPr>
        <w:tab/>
      </w:r>
      <w:r>
        <w:rPr>
          <w:rStyle w:val="37"/>
          <w:rFonts w:hint="eastAsia"/>
        </w:rPr>
        <w:t>严格保护耕地，稳步提升耕地质量</w:t>
      </w:r>
      <w:r>
        <w:rPr>
          <w:rFonts w:hint="eastAsia"/>
        </w:rPr>
        <w:tab/>
      </w:r>
      <w:r>
        <w:rPr>
          <w:rFonts w:hint="eastAsia"/>
        </w:rPr>
        <w:fldChar w:fldCharType="begin"/>
      </w:r>
      <w:r>
        <w:rPr>
          <w:rFonts w:hint="eastAsia"/>
        </w:rPr>
        <w:instrText xml:space="preserve"> </w:instrText>
      </w:r>
      <w:r>
        <w:instrText xml:space="preserve">PAGEREF _Toc178172822 \h</w:instrText>
      </w:r>
      <w:r>
        <w:rPr>
          <w:rFonts w:hint="eastAsia"/>
        </w:rPr>
        <w:instrText xml:space="preserve"> </w:instrText>
      </w:r>
      <w:r>
        <w:rPr>
          <w:rFonts w:hint="eastAsia"/>
        </w:rPr>
        <w:fldChar w:fldCharType="separate"/>
      </w:r>
      <w:r>
        <w:t>15</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"_Toc178172823" </w:instrText>
      </w:r>
      <w:r>
        <w:fldChar w:fldCharType="separate"/>
      </w:r>
      <w:r>
        <w:rPr>
          <w:rStyle w:val="37"/>
          <w:rFonts w:hint="eastAsia"/>
        </w:rPr>
        <w:t>第二节</w:t>
      </w:r>
      <w:r>
        <w:rPr>
          <w:rFonts w:hint="eastAsia"/>
          <w14:ligatures w14:val="standardContextual"/>
        </w:rPr>
        <w:tab/>
      </w:r>
      <w:r>
        <w:rPr>
          <w:rStyle w:val="37"/>
          <w:rFonts w:hint="eastAsia"/>
        </w:rPr>
        <w:t>优化农业生产结构，构建农业空间格局</w:t>
      </w:r>
      <w:r>
        <w:rPr>
          <w:rFonts w:hint="eastAsia"/>
        </w:rPr>
        <w:tab/>
      </w:r>
      <w:r>
        <w:rPr>
          <w:rFonts w:hint="eastAsia"/>
        </w:rPr>
        <w:fldChar w:fldCharType="begin"/>
      </w:r>
      <w:r>
        <w:rPr>
          <w:rFonts w:hint="eastAsia"/>
        </w:rPr>
        <w:instrText xml:space="preserve"> </w:instrText>
      </w:r>
      <w:r>
        <w:instrText xml:space="preserve">PAGEREF _Toc178172823 \h</w:instrText>
      </w:r>
      <w:r>
        <w:rPr>
          <w:rFonts w:hint="eastAsia"/>
        </w:rPr>
        <w:instrText xml:space="preserve"> </w:instrText>
      </w:r>
      <w:r>
        <w:rPr>
          <w:rFonts w:hint="eastAsia"/>
        </w:rPr>
        <w:fldChar w:fldCharType="separate"/>
      </w:r>
      <w:r>
        <w:t>17</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"_Toc178172824" </w:instrText>
      </w:r>
      <w:r>
        <w:fldChar w:fldCharType="separate"/>
      </w:r>
      <w:r>
        <w:rPr>
          <w:rStyle w:val="37"/>
          <w:rFonts w:hint="eastAsia"/>
        </w:rPr>
        <w:t>第三节</w:t>
      </w:r>
      <w:r>
        <w:rPr>
          <w:rFonts w:hint="eastAsia"/>
          <w14:ligatures w14:val="standardContextual"/>
        </w:rPr>
        <w:tab/>
      </w:r>
      <w:r>
        <w:rPr>
          <w:rStyle w:val="37"/>
          <w:rFonts w:hint="eastAsia"/>
        </w:rPr>
        <w:t>布局特色农产品，建设供给保障基地</w:t>
      </w:r>
      <w:r>
        <w:rPr>
          <w:rFonts w:hint="eastAsia"/>
        </w:rPr>
        <w:tab/>
      </w:r>
      <w:r>
        <w:rPr>
          <w:rFonts w:hint="eastAsia"/>
        </w:rPr>
        <w:fldChar w:fldCharType="begin"/>
      </w:r>
      <w:r>
        <w:rPr>
          <w:rFonts w:hint="eastAsia"/>
        </w:rPr>
        <w:instrText xml:space="preserve"> </w:instrText>
      </w:r>
      <w:r>
        <w:instrText xml:space="preserve">PAGEREF _Toc178172824 \h</w:instrText>
      </w:r>
      <w:r>
        <w:rPr>
          <w:rFonts w:hint="eastAsia"/>
        </w:rPr>
        <w:instrText xml:space="preserve"> </w:instrText>
      </w:r>
      <w:r>
        <w:rPr>
          <w:rFonts w:hint="eastAsia"/>
        </w:rPr>
        <w:fldChar w:fldCharType="separate"/>
      </w:r>
      <w:r>
        <w:t>18</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"_Toc178172825" </w:instrText>
      </w:r>
      <w:r>
        <w:fldChar w:fldCharType="separate"/>
      </w:r>
      <w:r>
        <w:rPr>
          <w:rStyle w:val="37"/>
          <w:rFonts w:hint="eastAsia"/>
        </w:rPr>
        <w:t>第四节</w:t>
      </w:r>
      <w:r>
        <w:rPr>
          <w:rFonts w:hint="eastAsia"/>
          <w14:ligatures w14:val="standardContextual"/>
        </w:rPr>
        <w:tab/>
      </w:r>
      <w:r>
        <w:rPr>
          <w:rStyle w:val="37"/>
          <w:rFonts w:hint="eastAsia"/>
        </w:rPr>
        <w:t>分类引导乡村，支持乡村振兴发展</w:t>
      </w:r>
      <w:r>
        <w:rPr>
          <w:rFonts w:hint="eastAsia"/>
        </w:rPr>
        <w:tab/>
      </w:r>
      <w:r>
        <w:rPr>
          <w:rFonts w:hint="eastAsia"/>
        </w:rPr>
        <w:fldChar w:fldCharType="begin"/>
      </w:r>
      <w:r>
        <w:rPr>
          <w:rFonts w:hint="eastAsia"/>
        </w:rPr>
        <w:instrText xml:space="preserve"> </w:instrText>
      </w:r>
      <w:r>
        <w:instrText xml:space="preserve">PAGEREF _Toc178172825 \h</w:instrText>
      </w:r>
      <w:r>
        <w:rPr>
          <w:rFonts w:hint="eastAsia"/>
        </w:rPr>
        <w:instrText xml:space="preserve"> </w:instrText>
      </w:r>
      <w:r>
        <w:rPr>
          <w:rFonts w:hint="eastAsia"/>
        </w:rPr>
        <w:fldChar w:fldCharType="separate"/>
      </w:r>
      <w:r>
        <w:t>19</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"_Toc178172826" </w:instrText>
      </w:r>
      <w:r>
        <w:fldChar w:fldCharType="separate"/>
      </w:r>
      <w:r>
        <w:rPr>
          <w:rStyle w:val="37"/>
          <w:rFonts w:hint="eastAsia"/>
        </w:rPr>
        <w:t>第五节</w:t>
      </w:r>
      <w:r>
        <w:rPr>
          <w:rFonts w:hint="eastAsia"/>
          <w14:ligatures w14:val="standardContextual"/>
        </w:rPr>
        <w:tab/>
      </w:r>
      <w:r>
        <w:rPr>
          <w:rStyle w:val="37"/>
          <w:rFonts w:hint="eastAsia"/>
        </w:rPr>
        <w:t>推进国土综合整治，保障重点项目空间</w:t>
      </w:r>
      <w:r>
        <w:rPr>
          <w:rFonts w:hint="eastAsia"/>
        </w:rPr>
        <w:tab/>
      </w:r>
      <w:r>
        <w:rPr>
          <w:rFonts w:hint="eastAsia"/>
        </w:rPr>
        <w:fldChar w:fldCharType="begin"/>
      </w:r>
      <w:r>
        <w:rPr>
          <w:rFonts w:hint="eastAsia"/>
        </w:rPr>
        <w:instrText xml:space="preserve"> </w:instrText>
      </w:r>
      <w:r>
        <w:instrText xml:space="preserve">PAGEREF _Toc178172826 \h</w:instrText>
      </w:r>
      <w:r>
        <w:rPr>
          <w:rFonts w:hint="eastAsia"/>
        </w:rPr>
        <w:instrText xml:space="preserve"> </w:instrText>
      </w:r>
      <w:r>
        <w:rPr>
          <w:rFonts w:hint="eastAsia"/>
        </w:rPr>
        <w:fldChar w:fldCharType="separate"/>
      </w:r>
      <w:r>
        <w:t>21</w:t>
      </w:r>
      <w:r>
        <w:rPr>
          <w:rFonts w:hint="eastAsia"/>
        </w:rPr>
        <w:fldChar w:fldCharType="end"/>
      </w:r>
      <w:r>
        <w:rPr>
          <w:rFonts w:hint="eastAsia"/>
        </w:rPr>
        <w:fldChar w:fldCharType="end"/>
      </w:r>
    </w:p>
    <w:p>
      <w:pPr>
        <w:pStyle w:val="26"/>
        <w:rPr>
          <w:rFonts w:asciiTheme="minorHAnsi" w:hAnsiTheme="minorHAnsi" w:eastAsiaTheme="minorEastAsia"/>
          <w:sz w:val="21"/>
          <w14:ligatures w14:val="standardContextual"/>
        </w:rPr>
      </w:pPr>
      <w:r>
        <w:fldChar w:fldCharType="begin"/>
      </w:r>
      <w:r>
        <w:instrText xml:space="preserve"> HYPERLINK \l "_Toc178172827" </w:instrText>
      </w:r>
      <w:r>
        <w:fldChar w:fldCharType="separate"/>
      </w:r>
      <w:r>
        <w:rPr>
          <w:rStyle w:val="37"/>
          <w:rFonts w:hint="eastAsia"/>
        </w:rPr>
        <w:t>第五章 强化资源环境底线约束，推进生态优先绿色发展</w:t>
      </w:r>
      <w:r>
        <w:rPr>
          <w:rFonts w:hint="eastAsia"/>
        </w:rPr>
        <w:tab/>
      </w:r>
      <w:r>
        <w:rPr>
          <w:rFonts w:hint="eastAsia"/>
        </w:rPr>
        <w:fldChar w:fldCharType="begin"/>
      </w:r>
      <w:r>
        <w:rPr>
          <w:rFonts w:hint="eastAsia"/>
        </w:rPr>
        <w:instrText xml:space="preserve"> </w:instrText>
      </w:r>
      <w:r>
        <w:instrText xml:space="preserve">PAGEREF _Toc178172827 \h</w:instrText>
      </w:r>
      <w:r>
        <w:rPr>
          <w:rFonts w:hint="eastAsia"/>
        </w:rPr>
        <w:instrText xml:space="preserve"> </w:instrText>
      </w:r>
      <w:r>
        <w:rPr>
          <w:rFonts w:hint="eastAsia"/>
        </w:rPr>
        <w:fldChar w:fldCharType="separate"/>
      </w:r>
      <w:r>
        <w:t>23</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"_Toc178172828" </w:instrText>
      </w:r>
      <w:r>
        <w:fldChar w:fldCharType="separate"/>
      </w:r>
      <w:r>
        <w:rPr>
          <w:rStyle w:val="37"/>
          <w:rFonts w:hint="eastAsia"/>
        </w:rPr>
        <w:t>第一节</w:t>
      </w:r>
      <w:r>
        <w:rPr>
          <w:rFonts w:hint="eastAsia"/>
          <w14:ligatures w14:val="standardContextual"/>
        </w:rPr>
        <w:tab/>
      </w:r>
      <w:r>
        <w:rPr>
          <w:rStyle w:val="37"/>
          <w:rFonts w:hint="eastAsia"/>
        </w:rPr>
        <w:t>生态保护空间格局</w:t>
      </w:r>
      <w:r>
        <w:rPr>
          <w:rFonts w:hint="eastAsia"/>
        </w:rPr>
        <w:tab/>
      </w:r>
      <w:r>
        <w:rPr>
          <w:rFonts w:hint="eastAsia"/>
        </w:rPr>
        <w:fldChar w:fldCharType="begin"/>
      </w:r>
      <w:r>
        <w:rPr>
          <w:rFonts w:hint="eastAsia"/>
        </w:rPr>
        <w:instrText xml:space="preserve"> </w:instrText>
      </w:r>
      <w:r>
        <w:instrText xml:space="preserve">PAGEREF _Toc178172828 \h</w:instrText>
      </w:r>
      <w:r>
        <w:rPr>
          <w:rFonts w:hint="eastAsia"/>
        </w:rPr>
        <w:instrText xml:space="preserve"> </w:instrText>
      </w:r>
      <w:r>
        <w:rPr>
          <w:rFonts w:hint="eastAsia"/>
        </w:rPr>
        <w:fldChar w:fldCharType="separate"/>
      </w:r>
      <w:r>
        <w:t>23</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"_Toc178172829" </w:instrText>
      </w:r>
      <w:r>
        <w:fldChar w:fldCharType="separate"/>
      </w:r>
      <w:r>
        <w:rPr>
          <w:rStyle w:val="37"/>
          <w:rFonts w:hint="eastAsia"/>
        </w:rPr>
        <w:t>第二节</w:t>
      </w:r>
      <w:r>
        <w:rPr>
          <w:rFonts w:hint="eastAsia"/>
          <w14:ligatures w14:val="standardContextual"/>
        </w:rPr>
        <w:tab/>
      </w:r>
      <w:r>
        <w:rPr>
          <w:rStyle w:val="37"/>
          <w:rFonts w:hint="eastAsia"/>
        </w:rPr>
        <w:t>国土空间生态修复</w:t>
      </w:r>
      <w:r>
        <w:rPr>
          <w:rFonts w:hint="eastAsia"/>
        </w:rPr>
        <w:tab/>
      </w:r>
      <w:r>
        <w:rPr>
          <w:rFonts w:hint="eastAsia"/>
        </w:rPr>
        <w:fldChar w:fldCharType="begin"/>
      </w:r>
      <w:r>
        <w:rPr>
          <w:rFonts w:hint="eastAsia"/>
        </w:rPr>
        <w:instrText xml:space="preserve"> </w:instrText>
      </w:r>
      <w:r>
        <w:instrText xml:space="preserve">PAGEREF _Toc178172829 \h</w:instrText>
      </w:r>
      <w:r>
        <w:rPr>
          <w:rFonts w:hint="eastAsia"/>
        </w:rPr>
        <w:instrText xml:space="preserve"> </w:instrText>
      </w:r>
      <w:r>
        <w:rPr>
          <w:rFonts w:hint="eastAsia"/>
        </w:rPr>
        <w:fldChar w:fldCharType="separate"/>
      </w:r>
      <w:r>
        <w:t>23</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"_Toc178172830" </w:instrText>
      </w:r>
      <w:r>
        <w:fldChar w:fldCharType="separate"/>
      </w:r>
      <w:r>
        <w:rPr>
          <w:rStyle w:val="37"/>
          <w:rFonts w:hint="eastAsia"/>
        </w:rPr>
        <w:t>第三节</w:t>
      </w:r>
      <w:r>
        <w:rPr>
          <w:rFonts w:hint="eastAsia"/>
          <w14:ligatures w14:val="standardContextual"/>
        </w:rPr>
        <w:tab/>
      </w:r>
      <w:r>
        <w:rPr>
          <w:rStyle w:val="37"/>
          <w:rFonts w:hint="eastAsia"/>
        </w:rPr>
        <w:t>优化能源结构，建设低碳城市</w:t>
      </w:r>
      <w:r>
        <w:rPr>
          <w:rFonts w:hint="eastAsia"/>
        </w:rPr>
        <w:tab/>
      </w:r>
      <w:r>
        <w:rPr>
          <w:rFonts w:hint="eastAsia"/>
        </w:rPr>
        <w:fldChar w:fldCharType="begin"/>
      </w:r>
      <w:r>
        <w:rPr>
          <w:rFonts w:hint="eastAsia"/>
        </w:rPr>
        <w:instrText xml:space="preserve"> </w:instrText>
      </w:r>
      <w:r>
        <w:instrText xml:space="preserve">PAGEREF _Toc178172830 \h</w:instrText>
      </w:r>
      <w:r>
        <w:rPr>
          <w:rFonts w:hint="eastAsia"/>
        </w:rPr>
        <w:instrText xml:space="preserve"> </w:instrText>
      </w:r>
      <w:r>
        <w:rPr>
          <w:rFonts w:hint="eastAsia"/>
        </w:rPr>
        <w:fldChar w:fldCharType="separate"/>
      </w:r>
      <w:r>
        <w:t>25</w:t>
      </w:r>
      <w:r>
        <w:rPr>
          <w:rFonts w:hint="eastAsia"/>
        </w:rPr>
        <w:fldChar w:fldCharType="end"/>
      </w:r>
      <w:r>
        <w:rPr>
          <w:rFonts w:hint="eastAsia"/>
        </w:rPr>
        <w:fldChar w:fldCharType="end"/>
      </w:r>
    </w:p>
    <w:p>
      <w:pPr>
        <w:pStyle w:val="26"/>
        <w:rPr>
          <w:rFonts w:asciiTheme="minorHAnsi" w:hAnsiTheme="minorHAnsi" w:eastAsiaTheme="minorEastAsia"/>
          <w:sz w:val="21"/>
          <w14:ligatures w14:val="standardContextual"/>
        </w:rPr>
      </w:pPr>
      <w:r>
        <w:fldChar w:fldCharType="begin"/>
      </w:r>
      <w:r>
        <w:instrText xml:space="preserve"> HYPERLINK \l "_Toc178172831" </w:instrText>
      </w:r>
      <w:r>
        <w:fldChar w:fldCharType="separate"/>
      </w:r>
      <w:r>
        <w:rPr>
          <w:rStyle w:val="37"/>
          <w:rFonts w:hint="eastAsia"/>
        </w:rPr>
        <w:t>第六章 统筹协调城镇发展，构筑城镇发展新格局</w:t>
      </w:r>
      <w:r>
        <w:rPr>
          <w:rFonts w:hint="eastAsia"/>
        </w:rPr>
        <w:tab/>
      </w:r>
      <w:r>
        <w:rPr>
          <w:rFonts w:hint="eastAsia"/>
        </w:rPr>
        <w:fldChar w:fldCharType="begin"/>
      </w:r>
      <w:r>
        <w:rPr>
          <w:rFonts w:hint="eastAsia"/>
        </w:rPr>
        <w:instrText xml:space="preserve"> </w:instrText>
      </w:r>
      <w:r>
        <w:instrText xml:space="preserve">PAGEREF _Toc178172831 \h</w:instrText>
      </w:r>
      <w:r>
        <w:rPr>
          <w:rFonts w:hint="eastAsia"/>
        </w:rPr>
        <w:instrText xml:space="preserve"> </w:instrText>
      </w:r>
      <w:r>
        <w:rPr>
          <w:rFonts w:hint="eastAsia"/>
        </w:rPr>
        <w:fldChar w:fldCharType="separate"/>
      </w:r>
      <w:r>
        <w:t>28</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"_Toc178172832" </w:instrText>
      </w:r>
      <w:r>
        <w:fldChar w:fldCharType="separate"/>
      </w:r>
      <w:r>
        <w:rPr>
          <w:rStyle w:val="37"/>
          <w:rFonts w:hint="eastAsia"/>
        </w:rPr>
        <w:t>第一节</w:t>
      </w:r>
      <w:r>
        <w:rPr>
          <w:rFonts w:hint="eastAsia"/>
          <w14:ligatures w14:val="standardContextual"/>
        </w:rPr>
        <w:tab/>
      </w:r>
      <w:r>
        <w:rPr>
          <w:rStyle w:val="37"/>
          <w:rFonts w:hint="eastAsia"/>
        </w:rPr>
        <w:t>推进新型城镇化</w:t>
      </w:r>
      <w:r>
        <w:rPr>
          <w:rFonts w:hint="eastAsia"/>
        </w:rPr>
        <w:tab/>
      </w:r>
      <w:r>
        <w:rPr>
          <w:rFonts w:hint="eastAsia"/>
        </w:rPr>
        <w:fldChar w:fldCharType="begin"/>
      </w:r>
      <w:r>
        <w:rPr>
          <w:rFonts w:hint="eastAsia"/>
        </w:rPr>
        <w:instrText xml:space="preserve"> </w:instrText>
      </w:r>
      <w:r>
        <w:instrText xml:space="preserve">PAGEREF _Toc178172832 \h</w:instrText>
      </w:r>
      <w:r>
        <w:rPr>
          <w:rFonts w:hint="eastAsia"/>
        </w:rPr>
        <w:instrText xml:space="preserve"> </w:instrText>
      </w:r>
      <w:r>
        <w:rPr>
          <w:rFonts w:hint="eastAsia"/>
        </w:rPr>
        <w:fldChar w:fldCharType="separate"/>
      </w:r>
      <w:r>
        <w:t>28</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"_Toc178172833" </w:instrText>
      </w:r>
      <w:r>
        <w:fldChar w:fldCharType="separate"/>
      </w:r>
      <w:r>
        <w:rPr>
          <w:rStyle w:val="37"/>
          <w:rFonts w:hint="eastAsia"/>
        </w:rPr>
        <w:t>第二节</w:t>
      </w:r>
      <w:r>
        <w:rPr>
          <w:rFonts w:hint="eastAsia"/>
          <w14:ligatures w14:val="standardContextual"/>
        </w:rPr>
        <w:tab/>
      </w:r>
      <w:r>
        <w:rPr>
          <w:rStyle w:val="37"/>
          <w:rFonts w:hint="eastAsia"/>
        </w:rPr>
        <w:t>构筑轴带引领、向心集聚的城镇空间格局</w:t>
      </w:r>
      <w:r>
        <w:rPr>
          <w:rFonts w:hint="eastAsia"/>
        </w:rPr>
        <w:tab/>
      </w:r>
      <w:r>
        <w:rPr>
          <w:rFonts w:hint="eastAsia"/>
        </w:rPr>
        <w:fldChar w:fldCharType="begin"/>
      </w:r>
      <w:r>
        <w:rPr>
          <w:rFonts w:hint="eastAsia"/>
        </w:rPr>
        <w:instrText xml:space="preserve"> </w:instrText>
      </w:r>
      <w:r>
        <w:instrText xml:space="preserve">PAGEREF _Toc178172833 \h</w:instrText>
      </w:r>
      <w:r>
        <w:rPr>
          <w:rFonts w:hint="eastAsia"/>
        </w:rPr>
        <w:instrText xml:space="preserve"> </w:instrText>
      </w:r>
      <w:r>
        <w:rPr>
          <w:rFonts w:hint="eastAsia"/>
        </w:rPr>
        <w:fldChar w:fldCharType="separate"/>
      </w:r>
      <w:r>
        <w:t>28</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"_Toc178172834" </w:instrText>
      </w:r>
      <w:r>
        <w:fldChar w:fldCharType="separate"/>
      </w:r>
      <w:r>
        <w:rPr>
          <w:rStyle w:val="37"/>
          <w:rFonts w:hint="eastAsia"/>
        </w:rPr>
        <w:t>第三节</w:t>
      </w:r>
      <w:r>
        <w:rPr>
          <w:rFonts w:hint="eastAsia"/>
          <w14:ligatures w14:val="standardContextual"/>
        </w:rPr>
        <w:tab/>
      </w:r>
      <w:r>
        <w:rPr>
          <w:rStyle w:val="37"/>
          <w:rFonts w:hint="eastAsia"/>
        </w:rPr>
        <w:t>提升综合服务功能，完善现代化服务体系</w:t>
      </w:r>
      <w:r>
        <w:rPr>
          <w:rFonts w:hint="eastAsia"/>
        </w:rPr>
        <w:tab/>
      </w:r>
      <w:r>
        <w:rPr>
          <w:rFonts w:hint="eastAsia"/>
        </w:rPr>
        <w:fldChar w:fldCharType="begin"/>
      </w:r>
      <w:r>
        <w:rPr>
          <w:rFonts w:hint="eastAsia"/>
        </w:rPr>
        <w:instrText xml:space="preserve"> </w:instrText>
      </w:r>
      <w:r>
        <w:instrText xml:space="preserve">PAGEREF _Toc178172834 \h</w:instrText>
      </w:r>
      <w:r>
        <w:rPr>
          <w:rFonts w:hint="eastAsia"/>
        </w:rPr>
        <w:instrText xml:space="preserve"> </w:instrText>
      </w:r>
      <w:r>
        <w:rPr>
          <w:rFonts w:hint="eastAsia"/>
        </w:rPr>
        <w:fldChar w:fldCharType="separate"/>
      </w:r>
      <w:r>
        <w:t>30</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"_Toc178172835" </w:instrText>
      </w:r>
      <w:r>
        <w:fldChar w:fldCharType="separate"/>
      </w:r>
      <w:r>
        <w:rPr>
          <w:rStyle w:val="37"/>
          <w:rFonts w:hint="eastAsia"/>
        </w:rPr>
        <w:t>第四节</w:t>
      </w:r>
      <w:r>
        <w:rPr>
          <w:rFonts w:hint="eastAsia"/>
          <w14:ligatures w14:val="standardContextual"/>
        </w:rPr>
        <w:tab/>
      </w:r>
      <w:r>
        <w:rPr>
          <w:rStyle w:val="37"/>
          <w:rFonts w:hint="eastAsia"/>
        </w:rPr>
        <w:t>构建完善的城乡公共服务设施体系</w:t>
      </w:r>
      <w:r>
        <w:rPr>
          <w:rFonts w:hint="eastAsia"/>
        </w:rPr>
        <w:tab/>
      </w:r>
      <w:r>
        <w:rPr>
          <w:rFonts w:hint="eastAsia"/>
        </w:rPr>
        <w:fldChar w:fldCharType="begin"/>
      </w:r>
      <w:r>
        <w:rPr>
          <w:rFonts w:hint="eastAsia"/>
        </w:rPr>
        <w:instrText xml:space="preserve"> </w:instrText>
      </w:r>
      <w:r>
        <w:instrText xml:space="preserve">PAGEREF _Toc178172835 \h</w:instrText>
      </w:r>
      <w:r>
        <w:rPr>
          <w:rFonts w:hint="eastAsia"/>
        </w:rPr>
        <w:instrText xml:space="preserve"> </w:instrText>
      </w:r>
      <w:r>
        <w:rPr>
          <w:rFonts w:hint="eastAsia"/>
        </w:rPr>
        <w:fldChar w:fldCharType="separate"/>
      </w:r>
      <w:r>
        <w:t>31</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"_Toc178172836" </w:instrText>
      </w:r>
      <w:r>
        <w:fldChar w:fldCharType="separate"/>
      </w:r>
      <w:r>
        <w:rPr>
          <w:rStyle w:val="37"/>
          <w:rFonts w:hint="eastAsia"/>
        </w:rPr>
        <w:t>第五节</w:t>
      </w:r>
      <w:r>
        <w:rPr>
          <w:rFonts w:hint="eastAsia"/>
          <w14:ligatures w14:val="standardContextual"/>
        </w:rPr>
        <w:tab/>
      </w:r>
      <w:r>
        <w:rPr>
          <w:rStyle w:val="37"/>
          <w:rFonts w:hint="eastAsia"/>
        </w:rPr>
        <w:t>保障城镇发展用地，提升集约利用水平</w:t>
      </w:r>
      <w:r>
        <w:rPr>
          <w:rFonts w:hint="eastAsia"/>
        </w:rPr>
        <w:tab/>
      </w:r>
      <w:r>
        <w:rPr>
          <w:rFonts w:hint="eastAsia"/>
        </w:rPr>
        <w:fldChar w:fldCharType="begin"/>
      </w:r>
      <w:r>
        <w:rPr>
          <w:rFonts w:hint="eastAsia"/>
        </w:rPr>
        <w:instrText xml:space="preserve"> </w:instrText>
      </w:r>
      <w:r>
        <w:instrText xml:space="preserve">PAGEREF _Toc178172836 \h</w:instrText>
      </w:r>
      <w:r>
        <w:rPr>
          <w:rFonts w:hint="eastAsia"/>
        </w:rPr>
        <w:instrText xml:space="preserve"> </w:instrText>
      </w:r>
      <w:r>
        <w:rPr>
          <w:rFonts w:hint="eastAsia"/>
        </w:rPr>
        <w:fldChar w:fldCharType="separate"/>
      </w:r>
      <w:r>
        <w:t>33</w:t>
      </w:r>
      <w:r>
        <w:rPr>
          <w:rFonts w:hint="eastAsia"/>
        </w:rPr>
        <w:fldChar w:fldCharType="end"/>
      </w:r>
      <w:r>
        <w:rPr>
          <w:rFonts w:hint="eastAsia"/>
        </w:rPr>
        <w:fldChar w:fldCharType="end"/>
      </w:r>
    </w:p>
    <w:p>
      <w:pPr>
        <w:pStyle w:val="26"/>
        <w:rPr>
          <w:rFonts w:asciiTheme="minorHAnsi" w:hAnsiTheme="minorHAnsi" w:eastAsiaTheme="minorEastAsia"/>
          <w:sz w:val="21"/>
          <w14:ligatures w14:val="standardContextual"/>
        </w:rPr>
      </w:pPr>
      <w:r>
        <w:fldChar w:fldCharType="begin"/>
      </w:r>
      <w:r>
        <w:instrText xml:space="preserve"> HYPERLINK \l "_Toc178172837" </w:instrText>
      </w:r>
      <w:r>
        <w:fldChar w:fldCharType="separate"/>
      </w:r>
      <w:r>
        <w:rPr>
          <w:rStyle w:val="37"/>
          <w:rFonts w:hint="eastAsia"/>
        </w:rPr>
        <w:t>第七章 中心城区空间布局</w:t>
      </w:r>
      <w:r>
        <w:rPr>
          <w:rFonts w:hint="eastAsia"/>
        </w:rPr>
        <w:tab/>
      </w:r>
      <w:r>
        <w:rPr>
          <w:rFonts w:hint="eastAsia"/>
        </w:rPr>
        <w:fldChar w:fldCharType="begin"/>
      </w:r>
      <w:r>
        <w:rPr>
          <w:rFonts w:hint="eastAsia"/>
        </w:rPr>
        <w:instrText xml:space="preserve"> </w:instrText>
      </w:r>
      <w:r>
        <w:instrText xml:space="preserve">PAGEREF _Toc178172837 \h</w:instrText>
      </w:r>
      <w:r>
        <w:rPr>
          <w:rFonts w:hint="eastAsia"/>
        </w:rPr>
        <w:instrText xml:space="preserve"> </w:instrText>
      </w:r>
      <w:r>
        <w:rPr>
          <w:rFonts w:hint="eastAsia"/>
        </w:rPr>
        <w:fldChar w:fldCharType="separate"/>
      </w:r>
      <w:r>
        <w:t>35</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"_Toc178172838" </w:instrText>
      </w:r>
      <w:r>
        <w:fldChar w:fldCharType="separate"/>
      </w:r>
      <w:r>
        <w:rPr>
          <w:rStyle w:val="37"/>
          <w:rFonts w:hint="eastAsia"/>
        </w:rPr>
        <w:t>第一节</w:t>
      </w:r>
      <w:r>
        <w:rPr>
          <w:rFonts w:hint="eastAsia"/>
          <w14:ligatures w14:val="standardContextual"/>
        </w:rPr>
        <w:tab/>
      </w:r>
      <w:r>
        <w:rPr>
          <w:rStyle w:val="37"/>
          <w:rFonts w:hint="eastAsia"/>
        </w:rPr>
        <w:t>优化城区空间结构，合理划定功能分区</w:t>
      </w:r>
      <w:r>
        <w:rPr>
          <w:rFonts w:hint="eastAsia"/>
        </w:rPr>
        <w:tab/>
      </w:r>
      <w:r>
        <w:rPr>
          <w:rFonts w:hint="eastAsia"/>
        </w:rPr>
        <w:fldChar w:fldCharType="begin"/>
      </w:r>
      <w:r>
        <w:rPr>
          <w:rFonts w:hint="eastAsia"/>
        </w:rPr>
        <w:instrText xml:space="preserve"> </w:instrText>
      </w:r>
      <w:r>
        <w:instrText xml:space="preserve">PAGEREF _Toc178172838 \h</w:instrText>
      </w:r>
      <w:r>
        <w:rPr>
          <w:rFonts w:hint="eastAsia"/>
        </w:rPr>
        <w:instrText xml:space="preserve"> </w:instrText>
      </w:r>
      <w:r>
        <w:rPr>
          <w:rFonts w:hint="eastAsia"/>
        </w:rPr>
        <w:fldChar w:fldCharType="separate"/>
      </w:r>
      <w:r>
        <w:t>35</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"_Toc178172839" </w:instrText>
      </w:r>
      <w:r>
        <w:fldChar w:fldCharType="separate"/>
      </w:r>
      <w:r>
        <w:rPr>
          <w:rStyle w:val="37"/>
          <w:rFonts w:hint="eastAsia"/>
        </w:rPr>
        <w:t>第二节</w:t>
      </w:r>
      <w:r>
        <w:rPr>
          <w:rFonts w:hint="eastAsia"/>
          <w14:ligatures w14:val="standardContextual"/>
        </w:rPr>
        <w:tab/>
      </w:r>
      <w:r>
        <w:rPr>
          <w:rStyle w:val="37"/>
          <w:rFonts w:hint="eastAsia"/>
        </w:rPr>
        <w:t>优化住房供应体系，促进职住平衡发展</w:t>
      </w:r>
      <w:r>
        <w:rPr>
          <w:rFonts w:hint="eastAsia"/>
        </w:rPr>
        <w:tab/>
      </w:r>
      <w:r>
        <w:rPr>
          <w:rFonts w:hint="eastAsia"/>
        </w:rPr>
        <w:fldChar w:fldCharType="begin"/>
      </w:r>
      <w:r>
        <w:rPr>
          <w:rFonts w:hint="eastAsia"/>
        </w:rPr>
        <w:instrText xml:space="preserve"> </w:instrText>
      </w:r>
      <w:r>
        <w:instrText xml:space="preserve">PAGEREF _Toc178172839 \h</w:instrText>
      </w:r>
      <w:r>
        <w:rPr>
          <w:rFonts w:hint="eastAsia"/>
        </w:rPr>
        <w:instrText xml:space="preserve"> </w:instrText>
      </w:r>
      <w:r>
        <w:rPr>
          <w:rFonts w:hint="eastAsia"/>
        </w:rPr>
        <w:fldChar w:fldCharType="separate"/>
      </w:r>
      <w:r>
        <w:t>38</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"_Toc178172840" </w:instrText>
      </w:r>
      <w:r>
        <w:fldChar w:fldCharType="separate"/>
      </w:r>
      <w:r>
        <w:rPr>
          <w:rStyle w:val="37"/>
          <w:rFonts w:hint="eastAsia"/>
        </w:rPr>
        <w:t>第三节</w:t>
      </w:r>
      <w:r>
        <w:rPr>
          <w:rFonts w:hint="eastAsia"/>
          <w14:ligatures w14:val="standardContextual"/>
        </w:rPr>
        <w:tab/>
      </w:r>
      <w:r>
        <w:rPr>
          <w:rStyle w:val="37"/>
          <w:rFonts w:hint="eastAsia"/>
        </w:rPr>
        <w:t>优化公共服务设施布局，提升宜居水平</w:t>
      </w:r>
      <w:r>
        <w:rPr>
          <w:rFonts w:hint="eastAsia"/>
        </w:rPr>
        <w:tab/>
      </w:r>
      <w:r>
        <w:rPr>
          <w:rFonts w:hint="eastAsia"/>
        </w:rPr>
        <w:fldChar w:fldCharType="begin"/>
      </w:r>
      <w:r>
        <w:rPr>
          <w:rFonts w:hint="eastAsia"/>
        </w:rPr>
        <w:instrText xml:space="preserve"> </w:instrText>
      </w:r>
      <w:r>
        <w:instrText xml:space="preserve">PAGEREF _Toc178172840 \h</w:instrText>
      </w:r>
      <w:r>
        <w:rPr>
          <w:rFonts w:hint="eastAsia"/>
        </w:rPr>
        <w:instrText xml:space="preserve"> </w:instrText>
      </w:r>
      <w:r>
        <w:rPr>
          <w:rFonts w:hint="eastAsia"/>
        </w:rPr>
        <w:fldChar w:fldCharType="separate"/>
      </w:r>
      <w:r>
        <w:t>39</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"_Toc178172841" </w:instrText>
      </w:r>
      <w:r>
        <w:fldChar w:fldCharType="separate"/>
      </w:r>
      <w:r>
        <w:rPr>
          <w:rStyle w:val="37"/>
          <w:rFonts w:hint="eastAsia"/>
        </w:rPr>
        <w:t>第四节</w:t>
      </w:r>
      <w:r>
        <w:rPr>
          <w:rFonts w:hint="eastAsia"/>
          <w14:ligatures w14:val="standardContextual"/>
        </w:rPr>
        <w:tab/>
      </w:r>
      <w:r>
        <w:rPr>
          <w:rStyle w:val="37"/>
          <w:rFonts w:hint="eastAsia"/>
        </w:rPr>
        <w:t>系统梳理蓝绿空间，优化开敞空间体系</w:t>
      </w:r>
      <w:r>
        <w:rPr>
          <w:rFonts w:hint="eastAsia"/>
        </w:rPr>
        <w:tab/>
      </w:r>
      <w:r>
        <w:rPr>
          <w:rFonts w:hint="eastAsia"/>
        </w:rPr>
        <w:fldChar w:fldCharType="begin"/>
      </w:r>
      <w:r>
        <w:rPr>
          <w:rFonts w:hint="eastAsia"/>
        </w:rPr>
        <w:instrText xml:space="preserve"> </w:instrText>
      </w:r>
      <w:r>
        <w:instrText xml:space="preserve">PAGEREF _Toc178172841 \h</w:instrText>
      </w:r>
      <w:r>
        <w:rPr>
          <w:rFonts w:hint="eastAsia"/>
        </w:rPr>
        <w:instrText xml:space="preserve"> </w:instrText>
      </w:r>
      <w:r>
        <w:rPr>
          <w:rFonts w:hint="eastAsia"/>
        </w:rPr>
        <w:fldChar w:fldCharType="separate"/>
      </w:r>
      <w:r>
        <w:t>42</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"_Toc178172842" </w:instrText>
      </w:r>
      <w:r>
        <w:fldChar w:fldCharType="separate"/>
      </w:r>
      <w:r>
        <w:rPr>
          <w:rStyle w:val="37"/>
          <w:rFonts w:hint="eastAsia"/>
        </w:rPr>
        <w:t>第五节</w:t>
      </w:r>
      <w:r>
        <w:rPr>
          <w:rFonts w:hint="eastAsia"/>
          <w14:ligatures w14:val="standardContextual"/>
        </w:rPr>
        <w:tab/>
      </w:r>
      <w:r>
        <w:rPr>
          <w:rStyle w:val="37"/>
          <w:rFonts w:hint="eastAsia"/>
        </w:rPr>
        <w:t>推进城市有机更新，盘活存量空间资源</w:t>
      </w:r>
      <w:r>
        <w:rPr>
          <w:rFonts w:hint="eastAsia"/>
        </w:rPr>
        <w:tab/>
      </w:r>
      <w:r>
        <w:rPr>
          <w:rFonts w:hint="eastAsia"/>
        </w:rPr>
        <w:fldChar w:fldCharType="begin"/>
      </w:r>
      <w:r>
        <w:rPr>
          <w:rFonts w:hint="eastAsia"/>
        </w:rPr>
        <w:instrText xml:space="preserve"> </w:instrText>
      </w:r>
      <w:r>
        <w:instrText xml:space="preserve">PAGEREF _Toc178172842 \h</w:instrText>
      </w:r>
      <w:r>
        <w:rPr>
          <w:rFonts w:hint="eastAsia"/>
        </w:rPr>
        <w:instrText xml:space="preserve"> </w:instrText>
      </w:r>
      <w:r>
        <w:rPr>
          <w:rFonts w:hint="eastAsia"/>
        </w:rPr>
        <w:fldChar w:fldCharType="separate"/>
      </w:r>
      <w:r>
        <w:t>43</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"_Toc178172843" </w:instrText>
      </w:r>
      <w:r>
        <w:fldChar w:fldCharType="separate"/>
      </w:r>
      <w:r>
        <w:rPr>
          <w:rStyle w:val="37"/>
          <w:rFonts w:hint="eastAsia"/>
        </w:rPr>
        <w:t>第六节</w:t>
      </w:r>
      <w:r>
        <w:rPr>
          <w:rFonts w:hint="eastAsia"/>
          <w14:ligatures w14:val="standardContextual"/>
        </w:rPr>
        <w:tab/>
      </w:r>
      <w:r>
        <w:rPr>
          <w:rStyle w:val="37"/>
          <w:rFonts w:hint="eastAsia"/>
        </w:rPr>
        <w:t>加强地下空间开发，促进土地高效复合使用</w:t>
      </w:r>
      <w:r>
        <w:rPr>
          <w:rFonts w:hint="eastAsia"/>
        </w:rPr>
        <w:tab/>
      </w:r>
      <w:r>
        <w:rPr>
          <w:rFonts w:hint="eastAsia"/>
        </w:rPr>
        <w:fldChar w:fldCharType="begin"/>
      </w:r>
      <w:r>
        <w:rPr>
          <w:rFonts w:hint="eastAsia"/>
        </w:rPr>
        <w:instrText xml:space="preserve"> </w:instrText>
      </w:r>
      <w:r>
        <w:instrText xml:space="preserve">PAGEREF _Toc178172843 \h</w:instrText>
      </w:r>
      <w:r>
        <w:rPr>
          <w:rFonts w:hint="eastAsia"/>
        </w:rPr>
        <w:instrText xml:space="preserve"> </w:instrText>
      </w:r>
      <w:r>
        <w:rPr>
          <w:rFonts w:hint="eastAsia"/>
        </w:rPr>
        <w:fldChar w:fldCharType="separate"/>
      </w:r>
      <w:r>
        <w:t>45</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"_Toc178172844" </w:instrText>
      </w:r>
      <w:r>
        <w:fldChar w:fldCharType="separate"/>
      </w:r>
      <w:r>
        <w:rPr>
          <w:rStyle w:val="37"/>
          <w:rFonts w:hint="eastAsia"/>
        </w:rPr>
        <w:t>第七节</w:t>
      </w:r>
      <w:r>
        <w:rPr>
          <w:rFonts w:hint="eastAsia"/>
          <w14:ligatures w14:val="standardContextual"/>
        </w:rPr>
        <w:tab/>
      </w:r>
      <w:r>
        <w:rPr>
          <w:rStyle w:val="37"/>
          <w:rFonts w:hint="eastAsia"/>
        </w:rPr>
        <w:t>统筹城市四线划定，加强城市要素管控</w:t>
      </w:r>
      <w:r>
        <w:rPr>
          <w:rFonts w:hint="eastAsia"/>
        </w:rPr>
        <w:tab/>
      </w:r>
      <w:r>
        <w:rPr>
          <w:rFonts w:hint="eastAsia"/>
        </w:rPr>
        <w:fldChar w:fldCharType="begin"/>
      </w:r>
      <w:r>
        <w:rPr>
          <w:rFonts w:hint="eastAsia"/>
        </w:rPr>
        <w:instrText xml:space="preserve"> </w:instrText>
      </w:r>
      <w:r>
        <w:instrText xml:space="preserve">PAGEREF _Toc178172844 \h</w:instrText>
      </w:r>
      <w:r>
        <w:rPr>
          <w:rFonts w:hint="eastAsia"/>
        </w:rPr>
        <w:instrText xml:space="preserve"> </w:instrText>
      </w:r>
      <w:r>
        <w:rPr>
          <w:rFonts w:hint="eastAsia"/>
        </w:rPr>
        <w:fldChar w:fldCharType="separate"/>
      </w:r>
      <w:r>
        <w:t>47</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"_Toc178172845" </w:instrText>
      </w:r>
      <w:r>
        <w:fldChar w:fldCharType="separate"/>
      </w:r>
      <w:r>
        <w:rPr>
          <w:rStyle w:val="37"/>
          <w:rFonts w:hint="eastAsia"/>
        </w:rPr>
        <w:t>第八节</w:t>
      </w:r>
      <w:r>
        <w:rPr>
          <w:rFonts w:hint="eastAsia"/>
          <w14:ligatures w14:val="standardContextual"/>
        </w:rPr>
        <w:tab/>
      </w:r>
      <w:r>
        <w:rPr>
          <w:rStyle w:val="37"/>
          <w:rFonts w:hint="eastAsia"/>
        </w:rPr>
        <w:t>坚持城市设计引领，塑造城市特色风貌</w:t>
      </w:r>
      <w:r>
        <w:rPr>
          <w:rFonts w:hint="eastAsia"/>
        </w:rPr>
        <w:tab/>
      </w:r>
      <w:r>
        <w:rPr>
          <w:rFonts w:hint="eastAsia"/>
        </w:rPr>
        <w:fldChar w:fldCharType="begin"/>
      </w:r>
      <w:r>
        <w:rPr>
          <w:rFonts w:hint="eastAsia"/>
        </w:rPr>
        <w:instrText xml:space="preserve"> </w:instrText>
      </w:r>
      <w:r>
        <w:instrText xml:space="preserve">PAGEREF _Toc178172845 \h</w:instrText>
      </w:r>
      <w:r>
        <w:rPr>
          <w:rFonts w:hint="eastAsia"/>
        </w:rPr>
        <w:instrText xml:space="preserve"> </w:instrText>
      </w:r>
      <w:r>
        <w:rPr>
          <w:rFonts w:hint="eastAsia"/>
        </w:rPr>
        <w:fldChar w:fldCharType="separate"/>
      </w:r>
      <w:r>
        <w:t>48</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"_Toc178172846" </w:instrText>
      </w:r>
      <w:r>
        <w:fldChar w:fldCharType="separate"/>
      </w:r>
      <w:r>
        <w:rPr>
          <w:rStyle w:val="37"/>
          <w:rFonts w:hint="eastAsia"/>
        </w:rPr>
        <w:t>第九节</w:t>
      </w:r>
      <w:r>
        <w:rPr>
          <w:rFonts w:hint="eastAsia"/>
          <w14:ligatures w14:val="standardContextual"/>
        </w:rPr>
        <w:tab/>
      </w:r>
      <w:r>
        <w:rPr>
          <w:rStyle w:val="37"/>
          <w:rFonts w:hint="eastAsia"/>
        </w:rPr>
        <w:t>合理划定功能单元，明确控规传导内容</w:t>
      </w:r>
      <w:r>
        <w:rPr>
          <w:rFonts w:hint="eastAsia"/>
        </w:rPr>
        <w:tab/>
      </w:r>
      <w:r>
        <w:rPr>
          <w:rFonts w:hint="eastAsia"/>
        </w:rPr>
        <w:fldChar w:fldCharType="begin"/>
      </w:r>
      <w:r>
        <w:rPr>
          <w:rFonts w:hint="eastAsia"/>
        </w:rPr>
        <w:instrText xml:space="preserve"> </w:instrText>
      </w:r>
      <w:r>
        <w:instrText xml:space="preserve">PAGEREF _Toc178172846 \h</w:instrText>
      </w:r>
      <w:r>
        <w:rPr>
          <w:rFonts w:hint="eastAsia"/>
        </w:rPr>
        <w:instrText xml:space="preserve"> </w:instrText>
      </w:r>
      <w:r>
        <w:rPr>
          <w:rFonts w:hint="eastAsia"/>
        </w:rPr>
        <w:fldChar w:fldCharType="separate"/>
      </w:r>
      <w:r>
        <w:t>51</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"_Toc178172847" </w:instrText>
      </w:r>
      <w:r>
        <w:fldChar w:fldCharType="separate"/>
      </w:r>
      <w:r>
        <w:rPr>
          <w:rStyle w:val="37"/>
          <w:rFonts w:hint="eastAsia"/>
        </w:rPr>
        <w:t>第十节</w:t>
      </w:r>
      <w:r>
        <w:rPr>
          <w:rFonts w:hint="eastAsia"/>
          <w14:ligatures w14:val="standardContextual"/>
        </w:rPr>
        <w:tab/>
      </w:r>
      <w:r>
        <w:rPr>
          <w:rStyle w:val="37"/>
          <w:rFonts w:hint="eastAsia"/>
        </w:rPr>
        <w:t>近远结合，明确发展时序</w:t>
      </w:r>
      <w:r>
        <w:rPr>
          <w:rFonts w:hint="eastAsia"/>
        </w:rPr>
        <w:tab/>
      </w:r>
      <w:r>
        <w:rPr>
          <w:rFonts w:hint="eastAsia"/>
        </w:rPr>
        <w:fldChar w:fldCharType="begin"/>
      </w:r>
      <w:r>
        <w:rPr>
          <w:rFonts w:hint="eastAsia"/>
        </w:rPr>
        <w:instrText xml:space="preserve"> </w:instrText>
      </w:r>
      <w:r>
        <w:instrText xml:space="preserve">PAGEREF _Toc178172847 \h</w:instrText>
      </w:r>
      <w:r>
        <w:rPr>
          <w:rFonts w:hint="eastAsia"/>
        </w:rPr>
        <w:instrText xml:space="preserve"> </w:instrText>
      </w:r>
      <w:r>
        <w:rPr>
          <w:rFonts w:hint="eastAsia"/>
        </w:rPr>
        <w:fldChar w:fldCharType="separate"/>
      </w:r>
      <w:r>
        <w:t>52</w:t>
      </w:r>
      <w:r>
        <w:rPr>
          <w:rFonts w:hint="eastAsia"/>
        </w:rPr>
        <w:fldChar w:fldCharType="end"/>
      </w:r>
      <w:r>
        <w:rPr>
          <w:rFonts w:hint="eastAsia"/>
        </w:rPr>
        <w:fldChar w:fldCharType="end"/>
      </w:r>
    </w:p>
    <w:p>
      <w:pPr>
        <w:pStyle w:val="26"/>
        <w:rPr>
          <w:rFonts w:asciiTheme="minorHAnsi" w:hAnsiTheme="minorHAnsi" w:eastAsiaTheme="minorEastAsia"/>
          <w:sz w:val="21"/>
          <w14:ligatures w14:val="standardContextual"/>
        </w:rPr>
      </w:pPr>
      <w:r>
        <w:fldChar w:fldCharType="begin"/>
      </w:r>
      <w:r>
        <w:instrText xml:space="preserve"> HYPERLINK \l "_Toc178172848" </w:instrText>
      </w:r>
      <w:r>
        <w:fldChar w:fldCharType="separate"/>
      </w:r>
      <w:r>
        <w:rPr>
          <w:rStyle w:val="37"/>
          <w:rFonts w:hint="eastAsia"/>
        </w:rPr>
        <w:t>第八章 资源保护与利用</w:t>
      </w:r>
      <w:r>
        <w:rPr>
          <w:rFonts w:hint="eastAsia"/>
        </w:rPr>
        <w:tab/>
      </w:r>
      <w:r>
        <w:rPr>
          <w:rFonts w:hint="eastAsia"/>
        </w:rPr>
        <w:fldChar w:fldCharType="begin"/>
      </w:r>
      <w:r>
        <w:rPr>
          <w:rFonts w:hint="eastAsia"/>
        </w:rPr>
        <w:instrText xml:space="preserve"> </w:instrText>
      </w:r>
      <w:r>
        <w:instrText xml:space="preserve">PAGEREF _Toc178172848 \h</w:instrText>
      </w:r>
      <w:r>
        <w:rPr>
          <w:rFonts w:hint="eastAsia"/>
        </w:rPr>
        <w:instrText xml:space="preserve"> </w:instrText>
      </w:r>
      <w:r>
        <w:rPr>
          <w:rFonts w:hint="eastAsia"/>
        </w:rPr>
        <w:fldChar w:fldCharType="separate"/>
      </w:r>
      <w:r>
        <w:t>54</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"_Toc178172849" </w:instrText>
      </w:r>
      <w:r>
        <w:fldChar w:fldCharType="separate"/>
      </w:r>
      <w:r>
        <w:rPr>
          <w:rStyle w:val="37"/>
          <w:rFonts w:hint="eastAsia"/>
        </w:rPr>
        <w:t>第一节</w:t>
      </w:r>
      <w:r>
        <w:rPr>
          <w:rFonts w:hint="eastAsia"/>
          <w14:ligatures w14:val="standardContextual"/>
        </w:rPr>
        <w:tab/>
      </w:r>
      <w:r>
        <w:rPr>
          <w:rStyle w:val="37"/>
          <w:rFonts w:hint="eastAsia"/>
        </w:rPr>
        <w:t>建设用地节约集约利用</w:t>
      </w:r>
      <w:r>
        <w:rPr>
          <w:rFonts w:hint="eastAsia"/>
        </w:rPr>
        <w:tab/>
      </w:r>
      <w:r>
        <w:rPr>
          <w:rFonts w:hint="eastAsia"/>
        </w:rPr>
        <w:fldChar w:fldCharType="begin"/>
      </w:r>
      <w:r>
        <w:rPr>
          <w:rFonts w:hint="eastAsia"/>
        </w:rPr>
        <w:instrText xml:space="preserve"> </w:instrText>
      </w:r>
      <w:r>
        <w:instrText xml:space="preserve">PAGEREF _Toc178172849 \h</w:instrText>
      </w:r>
      <w:r>
        <w:rPr>
          <w:rFonts w:hint="eastAsia"/>
        </w:rPr>
        <w:instrText xml:space="preserve"> </w:instrText>
      </w:r>
      <w:r>
        <w:rPr>
          <w:rFonts w:hint="eastAsia"/>
        </w:rPr>
        <w:fldChar w:fldCharType="separate"/>
      </w:r>
      <w:r>
        <w:t>54</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"_Toc178172850" </w:instrText>
      </w:r>
      <w:r>
        <w:fldChar w:fldCharType="separate"/>
      </w:r>
      <w:r>
        <w:rPr>
          <w:rStyle w:val="37"/>
          <w:rFonts w:hint="eastAsia"/>
        </w:rPr>
        <w:t>第二节</w:t>
      </w:r>
      <w:r>
        <w:rPr>
          <w:rFonts w:hint="eastAsia"/>
          <w14:ligatures w14:val="standardContextual"/>
        </w:rPr>
        <w:tab/>
      </w:r>
      <w:r>
        <w:rPr>
          <w:rStyle w:val="37"/>
          <w:rFonts w:hint="eastAsia"/>
        </w:rPr>
        <w:t>森林资源保护与利用</w:t>
      </w:r>
      <w:r>
        <w:rPr>
          <w:rFonts w:hint="eastAsia"/>
        </w:rPr>
        <w:tab/>
      </w:r>
      <w:r>
        <w:rPr>
          <w:rFonts w:hint="eastAsia"/>
        </w:rPr>
        <w:fldChar w:fldCharType="begin"/>
      </w:r>
      <w:r>
        <w:rPr>
          <w:rFonts w:hint="eastAsia"/>
        </w:rPr>
        <w:instrText xml:space="preserve"> </w:instrText>
      </w:r>
      <w:r>
        <w:instrText xml:space="preserve">PAGEREF _Toc178172850 \h</w:instrText>
      </w:r>
      <w:r>
        <w:rPr>
          <w:rFonts w:hint="eastAsia"/>
        </w:rPr>
        <w:instrText xml:space="preserve"> </w:instrText>
      </w:r>
      <w:r>
        <w:rPr>
          <w:rFonts w:hint="eastAsia"/>
        </w:rPr>
        <w:fldChar w:fldCharType="separate"/>
      </w:r>
      <w:r>
        <w:t>55</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"_Toc178172851" </w:instrText>
      </w:r>
      <w:r>
        <w:fldChar w:fldCharType="separate"/>
      </w:r>
      <w:r>
        <w:rPr>
          <w:rStyle w:val="37"/>
          <w:rFonts w:hint="eastAsia"/>
        </w:rPr>
        <w:t>第三节</w:t>
      </w:r>
      <w:r>
        <w:rPr>
          <w:rFonts w:hint="eastAsia"/>
          <w14:ligatures w14:val="standardContextual"/>
        </w:rPr>
        <w:tab/>
      </w:r>
      <w:r>
        <w:rPr>
          <w:rStyle w:val="37"/>
          <w:rFonts w:hint="eastAsia"/>
        </w:rPr>
        <w:t>水资源保护利用</w:t>
      </w:r>
      <w:r>
        <w:rPr>
          <w:rFonts w:hint="eastAsia"/>
        </w:rPr>
        <w:tab/>
      </w:r>
      <w:r>
        <w:rPr>
          <w:rFonts w:hint="eastAsia"/>
        </w:rPr>
        <w:fldChar w:fldCharType="begin"/>
      </w:r>
      <w:r>
        <w:rPr>
          <w:rFonts w:hint="eastAsia"/>
        </w:rPr>
        <w:instrText xml:space="preserve"> </w:instrText>
      </w:r>
      <w:r>
        <w:instrText xml:space="preserve">PAGEREF _Toc178172851 \h</w:instrText>
      </w:r>
      <w:r>
        <w:rPr>
          <w:rFonts w:hint="eastAsia"/>
        </w:rPr>
        <w:instrText xml:space="preserve"> </w:instrText>
      </w:r>
      <w:r>
        <w:rPr>
          <w:rFonts w:hint="eastAsia"/>
        </w:rPr>
        <w:fldChar w:fldCharType="separate"/>
      </w:r>
      <w:r>
        <w:t>56</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"_Toc178172852" </w:instrText>
      </w:r>
      <w:r>
        <w:fldChar w:fldCharType="separate"/>
      </w:r>
      <w:r>
        <w:rPr>
          <w:rStyle w:val="37"/>
          <w:rFonts w:hint="eastAsia"/>
        </w:rPr>
        <w:t>第四节</w:t>
      </w:r>
      <w:r>
        <w:rPr>
          <w:rFonts w:hint="eastAsia"/>
          <w14:ligatures w14:val="standardContextual"/>
        </w:rPr>
        <w:tab/>
      </w:r>
      <w:r>
        <w:rPr>
          <w:rStyle w:val="37"/>
          <w:rFonts w:hint="eastAsia"/>
        </w:rPr>
        <w:t>生物多样性保护</w:t>
      </w:r>
      <w:r>
        <w:rPr>
          <w:rFonts w:hint="eastAsia"/>
        </w:rPr>
        <w:tab/>
      </w:r>
      <w:r>
        <w:rPr>
          <w:rFonts w:hint="eastAsia"/>
        </w:rPr>
        <w:fldChar w:fldCharType="begin"/>
      </w:r>
      <w:r>
        <w:rPr>
          <w:rFonts w:hint="eastAsia"/>
        </w:rPr>
        <w:instrText xml:space="preserve"> </w:instrText>
      </w:r>
      <w:r>
        <w:instrText xml:space="preserve">PAGEREF _Toc178172852 \h</w:instrText>
      </w:r>
      <w:r>
        <w:rPr>
          <w:rFonts w:hint="eastAsia"/>
        </w:rPr>
        <w:instrText xml:space="preserve"> </w:instrText>
      </w:r>
      <w:r>
        <w:rPr>
          <w:rFonts w:hint="eastAsia"/>
        </w:rPr>
        <w:fldChar w:fldCharType="separate"/>
      </w:r>
      <w:r>
        <w:t>57</w:t>
      </w:r>
      <w:r>
        <w:rPr>
          <w:rFonts w:hint="eastAsia"/>
        </w:rPr>
        <w:fldChar w:fldCharType="end"/>
      </w:r>
      <w:r>
        <w:rPr>
          <w:rFonts w:hint="eastAsia"/>
        </w:rPr>
        <w:fldChar w:fldCharType="end"/>
      </w:r>
    </w:p>
    <w:p>
      <w:pPr>
        <w:pStyle w:val="26"/>
        <w:rPr>
          <w:rFonts w:asciiTheme="minorHAnsi" w:hAnsiTheme="minorHAnsi" w:eastAsiaTheme="minorEastAsia"/>
          <w:sz w:val="21"/>
          <w14:ligatures w14:val="standardContextual"/>
        </w:rPr>
      </w:pPr>
      <w:r>
        <w:fldChar w:fldCharType="begin"/>
      </w:r>
      <w:r>
        <w:instrText xml:space="preserve"> HYPERLINK \l "_Toc178172853" </w:instrText>
      </w:r>
      <w:r>
        <w:fldChar w:fldCharType="separate"/>
      </w:r>
      <w:r>
        <w:rPr>
          <w:rStyle w:val="37"/>
          <w:rFonts w:hint="eastAsia"/>
        </w:rPr>
        <w:t>第九章 历史文化保护与乡村风貌特色</w:t>
      </w:r>
      <w:r>
        <w:rPr>
          <w:rFonts w:hint="eastAsia"/>
        </w:rPr>
        <w:tab/>
      </w:r>
      <w:r>
        <w:rPr>
          <w:rFonts w:hint="eastAsia"/>
        </w:rPr>
        <w:fldChar w:fldCharType="begin"/>
      </w:r>
      <w:r>
        <w:rPr>
          <w:rFonts w:hint="eastAsia"/>
        </w:rPr>
        <w:instrText xml:space="preserve"> </w:instrText>
      </w:r>
      <w:r>
        <w:instrText xml:space="preserve">PAGEREF _Toc178172853 \h</w:instrText>
      </w:r>
      <w:r>
        <w:rPr>
          <w:rFonts w:hint="eastAsia"/>
        </w:rPr>
        <w:instrText xml:space="preserve"> </w:instrText>
      </w:r>
      <w:r>
        <w:rPr>
          <w:rFonts w:hint="eastAsia"/>
        </w:rPr>
        <w:fldChar w:fldCharType="separate"/>
      </w:r>
      <w:r>
        <w:t>58</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"_Toc178172854" </w:instrText>
      </w:r>
      <w:r>
        <w:fldChar w:fldCharType="separate"/>
      </w:r>
      <w:r>
        <w:rPr>
          <w:rStyle w:val="37"/>
          <w:rFonts w:hint="eastAsia"/>
        </w:rPr>
        <w:t>第一节</w:t>
      </w:r>
      <w:r>
        <w:rPr>
          <w:rFonts w:hint="eastAsia"/>
          <w14:ligatures w14:val="standardContextual"/>
        </w:rPr>
        <w:tab/>
      </w:r>
      <w:r>
        <w:rPr>
          <w:rStyle w:val="37"/>
          <w:rFonts w:hint="eastAsia"/>
        </w:rPr>
        <w:t>挖掘历史文化资源，明确保护利用措施</w:t>
      </w:r>
      <w:r>
        <w:rPr>
          <w:rFonts w:hint="eastAsia"/>
        </w:rPr>
        <w:tab/>
      </w:r>
      <w:r>
        <w:rPr>
          <w:rFonts w:hint="eastAsia"/>
        </w:rPr>
        <w:fldChar w:fldCharType="begin"/>
      </w:r>
      <w:r>
        <w:rPr>
          <w:rFonts w:hint="eastAsia"/>
        </w:rPr>
        <w:instrText xml:space="preserve"> </w:instrText>
      </w:r>
      <w:r>
        <w:instrText xml:space="preserve">PAGEREF _Toc178172854 \h</w:instrText>
      </w:r>
      <w:r>
        <w:rPr>
          <w:rFonts w:hint="eastAsia"/>
        </w:rPr>
        <w:instrText xml:space="preserve"> </w:instrText>
      </w:r>
      <w:r>
        <w:rPr>
          <w:rFonts w:hint="eastAsia"/>
        </w:rPr>
        <w:fldChar w:fldCharType="separate"/>
      </w:r>
      <w:r>
        <w:t>58</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"_Toc178172855" </w:instrText>
      </w:r>
      <w:r>
        <w:fldChar w:fldCharType="separate"/>
      </w:r>
      <w:r>
        <w:rPr>
          <w:rStyle w:val="37"/>
          <w:rFonts w:hint="eastAsia"/>
        </w:rPr>
        <w:t>第二节</w:t>
      </w:r>
      <w:r>
        <w:rPr>
          <w:rFonts w:hint="eastAsia"/>
          <w14:ligatures w14:val="standardContextual"/>
        </w:rPr>
        <w:tab/>
      </w:r>
      <w:r>
        <w:rPr>
          <w:rStyle w:val="37"/>
          <w:rFonts w:hint="eastAsia"/>
        </w:rPr>
        <w:t>凸显地方特色，因地制宜塑造城乡整体风貌</w:t>
      </w:r>
      <w:r>
        <w:rPr>
          <w:rFonts w:hint="eastAsia"/>
        </w:rPr>
        <w:tab/>
      </w:r>
      <w:r>
        <w:rPr>
          <w:rFonts w:hint="eastAsia"/>
        </w:rPr>
        <w:fldChar w:fldCharType="begin"/>
      </w:r>
      <w:r>
        <w:rPr>
          <w:rFonts w:hint="eastAsia"/>
        </w:rPr>
        <w:instrText xml:space="preserve"> </w:instrText>
      </w:r>
      <w:r>
        <w:instrText xml:space="preserve">PAGEREF _Toc178172855 \h</w:instrText>
      </w:r>
      <w:r>
        <w:rPr>
          <w:rFonts w:hint="eastAsia"/>
        </w:rPr>
        <w:instrText xml:space="preserve"> </w:instrText>
      </w:r>
      <w:r>
        <w:rPr>
          <w:rFonts w:hint="eastAsia"/>
        </w:rPr>
        <w:fldChar w:fldCharType="separate"/>
      </w:r>
      <w:r>
        <w:t>61</w:t>
      </w:r>
      <w:r>
        <w:rPr>
          <w:rFonts w:hint="eastAsia"/>
        </w:rPr>
        <w:fldChar w:fldCharType="end"/>
      </w:r>
      <w:r>
        <w:rPr>
          <w:rFonts w:hint="eastAsia"/>
        </w:rPr>
        <w:fldChar w:fldCharType="end"/>
      </w:r>
    </w:p>
    <w:p>
      <w:pPr>
        <w:pStyle w:val="26"/>
        <w:rPr>
          <w:rFonts w:asciiTheme="minorHAnsi" w:hAnsiTheme="minorHAnsi" w:eastAsiaTheme="minorEastAsia"/>
          <w:sz w:val="21"/>
          <w14:ligatures w14:val="standardContextual"/>
        </w:rPr>
      </w:pPr>
      <w:r>
        <w:fldChar w:fldCharType="begin"/>
      </w:r>
      <w:r>
        <w:instrText xml:space="preserve"> HYPERLINK \l "_Toc178172856" </w:instrText>
      </w:r>
      <w:r>
        <w:fldChar w:fldCharType="separate"/>
      </w:r>
      <w:r>
        <w:rPr>
          <w:rStyle w:val="37"/>
          <w:rFonts w:hint="eastAsia"/>
        </w:rPr>
        <w:t>第十章 城乡支撑体系</w:t>
      </w:r>
      <w:r>
        <w:rPr>
          <w:rFonts w:hint="eastAsia"/>
        </w:rPr>
        <w:tab/>
      </w:r>
      <w:r>
        <w:rPr>
          <w:rFonts w:hint="eastAsia"/>
        </w:rPr>
        <w:fldChar w:fldCharType="begin"/>
      </w:r>
      <w:r>
        <w:rPr>
          <w:rFonts w:hint="eastAsia"/>
        </w:rPr>
        <w:instrText xml:space="preserve"> </w:instrText>
      </w:r>
      <w:r>
        <w:instrText xml:space="preserve">PAGEREF _Toc178172856 \h</w:instrText>
      </w:r>
      <w:r>
        <w:rPr>
          <w:rFonts w:hint="eastAsia"/>
        </w:rPr>
        <w:instrText xml:space="preserve"> </w:instrText>
      </w:r>
      <w:r>
        <w:rPr>
          <w:rFonts w:hint="eastAsia"/>
        </w:rPr>
        <w:fldChar w:fldCharType="separate"/>
      </w:r>
      <w:r>
        <w:t>63</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"_Toc178172857" </w:instrText>
      </w:r>
      <w:r>
        <w:fldChar w:fldCharType="separate"/>
      </w:r>
      <w:r>
        <w:rPr>
          <w:rStyle w:val="37"/>
          <w:rFonts w:hint="eastAsia"/>
        </w:rPr>
        <w:t>第一节</w:t>
      </w:r>
      <w:r>
        <w:rPr>
          <w:rFonts w:hint="eastAsia"/>
          <w14:ligatures w14:val="standardContextual"/>
        </w:rPr>
        <w:tab/>
      </w:r>
      <w:r>
        <w:rPr>
          <w:rStyle w:val="37"/>
          <w:rFonts w:hint="eastAsia"/>
        </w:rPr>
        <w:t>构建直联互通、便捷高效的城乡交通体系</w:t>
      </w:r>
      <w:r>
        <w:rPr>
          <w:rFonts w:hint="eastAsia"/>
        </w:rPr>
        <w:tab/>
      </w:r>
      <w:r>
        <w:rPr>
          <w:rFonts w:hint="eastAsia"/>
        </w:rPr>
        <w:fldChar w:fldCharType="begin"/>
      </w:r>
      <w:r>
        <w:rPr>
          <w:rFonts w:hint="eastAsia"/>
        </w:rPr>
        <w:instrText xml:space="preserve"> </w:instrText>
      </w:r>
      <w:r>
        <w:instrText xml:space="preserve">PAGEREF _Toc178172857 \h</w:instrText>
      </w:r>
      <w:r>
        <w:rPr>
          <w:rFonts w:hint="eastAsia"/>
        </w:rPr>
        <w:instrText xml:space="preserve"> </w:instrText>
      </w:r>
      <w:r>
        <w:rPr>
          <w:rFonts w:hint="eastAsia"/>
        </w:rPr>
        <w:fldChar w:fldCharType="separate"/>
      </w:r>
      <w:r>
        <w:t>63</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"_Toc178172858" </w:instrText>
      </w:r>
      <w:r>
        <w:fldChar w:fldCharType="separate"/>
      </w:r>
      <w:r>
        <w:rPr>
          <w:rStyle w:val="37"/>
          <w:rFonts w:hint="eastAsia"/>
        </w:rPr>
        <w:t>第二节</w:t>
      </w:r>
      <w:r>
        <w:rPr>
          <w:rFonts w:hint="eastAsia"/>
          <w14:ligatures w14:val="standardContextual"/>
        </w:rPr>
        <w:tab/>
      </w:r>
      <w:r>
        <w:rPr>
          <w:rStyle w:val="37"/>
          <w:rFonts w:hint="eastAsia"/>
        </w:rPr>
        <w:t>统筹基础设施布局，预留重大廊道和空间</w:t>
      </w:r>
      <w:r>
        <w:rPr>
          <w:rFonts w:hint="eastAsia"/>
        </w:rPr>
        <w:tab/>
      </w:r>
      <w:r>
        <w:rPr>
          <w:rFonts w:hint="eastAsia"/>
        </w:rPr>
        <w:fldChar w:fldCharType="begin"/>
      </w:r>
      <w:r>
        <w:rPr>
          <w:rFonts w:hint="eastAsia"/>
        </w:rPr>
        <w:instrText xml:space="preserve"> </w:instrText>
      </w:r>
      <w:r>
        <w:instrText xml:space="preserve">PAGEREF _Toc178172858 \h</w:instrText>
      </w:r>
      <w:r>
        <w:rPr>
          <w:rFonts w:hint="eastAsia"/>
        </w:rPr>
        <w:instrText xml:space="preserve"> </w:instrText>
      </w:r>
      <w:r>
        <w:rPr>
          <w:rFonts w:hint="eastAsia"/>
        </w:rPr>
        <w:fldChar w:fldCharType="separate"/>
      </w:r>
      <w:r>
        <w:t>67</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"_Toc178172859" </w:instrText>
      </w:r>
      <w:r>
        <w:fldChar w:fldCharType="separate"/>
      </w:r>
      <w:r>
        <w:rPr>
          <w:rStyle w:val="37"/>
          <w:rFonts w:hint="eastAsia"/>
        </w:rPr>
        <w:t>第三节</w:t>
      </w:r>
      <w:r>
        <w:rPr>
          <w:rFonts w:hint="eastAsia"/>
          <w14:ligatures w14:val="standardContextual"/>
        </w:rPr>
        <w:tab/>
      </w:r>
      <w:r>
        <w:rPr>
          <w:rStyle w:val="37"/>
          <w:rFonts w:hint="eastAsia"/>
        </w:rPr>
        <w:t>健全城乡安全体系，提升城乡安全韧性</w:t>
      </w:r>
      <w:r>
        <w:rPr>
          <w:rFonts w:hint="eastAsia"/>
        </w:rPr>
        <w:tab/>
      </w:r>
      <w:r>
        <w:rPr>
          <w:rFonts w:hint="eastAsia"/>
        </w:rPr>
        <w:fldChar w:fldCharType="begin"/>
      </w:r>
      <w:r>
        <w:rPr>
          <w:rFonts w:hint="eastAsia"/>
        </w:rPr>
        <w:instrText xml:space="preserve"> </w:instrText>
      </w:r>
      <w:r>
        <w:instrText xml:space="preserve">PAGEREF _Toc178172859 \h</w:instrText>
      </w:r>
      <w:r>
        <w:rPr>
          <w:rFonts w:hint="eastAsia"/>
        </w:rPr>
        <w:instrText xml:space="preserve"> </w:instrText>
      </w:r>
      <w:r>
        <w:rPr>
          <w:rFonts w:hint="eastAsia"/>
        </w:rPr>
        <w:fldChar w:fldCharType="separate"/>
      </w:r>
      <w:r>
        <w:t>70</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"_Toc178172860" </w:instrText>
      </w:r>
      <w:r>
        <w:fldChar w:fldCharType="separate"/>
      </w:r>
      <w:r>
        <w:rPr>
          <w:rStyle w:val="37"/>
          <w:rFonts w:hint="eastAsia"/>
        </w:rPr>
        <w:t>第四节</w:t>
      </w:r>
      <w:r>
        <w:rPr>
          <w:rFonts w:hint="eastAsia"/>
          <w14:ligatures w14:val="standardContextual"/>
        </w:rPr>
        <w:tab/>
      </w:r>
      <w:r>
        <w:rPr>
          <w:rStyle w:val="37"/>
          <w:rFonts w:hint="eastAsia"/>
        </w:rPr>
        <w:t>推动新型基建物联智能，建设智慧城市</w:t>
      </w:r>
      <w:r>
        <w:rPr>
          <w:rFonts w:hint="eastAsia"/>
        </w:rPr>
        <w:tab/>
      </w:r>
      <w:r>
        <w:rPr>
          <w:rFonts w:hint="eastAsia"/>
        </w:rPr>
        <w:fldChar w:fldCharType="begin"/>
      </w:r>
      <w:r>
        <w:rPr>
          <w:rFonts w:hint="eastAsia"/>
        </w:rPr>
        <w:instrText xml:space="preserve"> </w:instrText>
      </w:r>
      <w:r>
        <w:instrText xml:space="preserve">PAGEREF _Toc178172860 \h</w:instrText>
      </w:r>
      <w:r>
        <w:rPr>
          <w:rFonts w:hint="eastAsia"/>
        </w:rPr>
        <w:instrText xml:space="preserve"> </w:instrText>
      </w:r>
      <w:r>
        <w:rPr>
          <w:rFonts w:hint="eastAsia"/>
        </w:rPr>
        <w:fldChar w:fldCharType="separate"/>
      </w:r>
      <w:r>
        <w:t>75</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"_Toc178172861" </w:instrText>
      </w:r>
      <w:r>
        <w:fldChar w:fldCharType="separate"/>
      </w:r>
      <w:r>
        <w:rPr>
          <w:rStyle w:val="37"/>
          <w:rFonts w:hint="eastAsia"/>
        </w:rPr>
        <w:t>第五节</w:t>
      </w:r>
      <w:r>
        <w:rPr>
          <w:rFonts w:hint="eastAsia"/>
          <w14:ligatures w14:val="standardContextual"/>
        </w:rPr>
        <w:tab/>
      </w:r>
      <w:r>
        <w:rPr>
          <w:rStyle w:val="37"/>
          <w:rFonts w:hint="eastAsia"/>
        </w:rPr>
        <w:t>明确实施路径，建设海绵城市</w:t>
      </w:r>
      <w:r>
        <w:rPr>
          <w:rFonts w:hint="eastAsia"/>
        </w:rPr>
        <w:tab/>
      </w:r>
      <w:r>
        <w:rPr>
          <w:rFonts w:hint="eastAsia"/>
        </w:rPr>
        <w:fldChar w:fldCharType="begin"/>
      </w:r>
      <w:r>
        <w:rPr>
          <w:rFonts w:hint="eastAsia"/>
        </w:rPr>
        <w:instrText xml:space="preserve"> </w:instrText>
      </w:r>
      <w:r>
        <w:instrText xml:space="preserve">PAGEREF _Toc178172861 \h</w:instrText>
      </w:r>
      <w:r>
        <w:rPr>
          <w:rFonts w:hint="eastAsia"/>
        </w:rPr>
        <w:instrText xml:space="preserve"> </w:instrText>
      </w:r>
      <w:r>
        <w:rPr>
          <w:rFonts w:hint="eastAsia"/>
        </w:rPr>
        <w:fldChar w:fldCharType="separate"/>
      </w:r>
      <w:r>
        <w:t>76</w:t>
      </w:r>
      <w:r>
        <w:rPr>
          <w:rFonts w:hint="eastAsia"/>
        </w:rPr>
        <w:fldChar w:fldCharType="end"/>
      </w:r>
      <w:r>
        <w:rPr>
          <w:rFonts w:hint="eastAsia"/>
        </w:rPr>
        <w:fldChar w:fldCharType="end"/>
      </w:r>
    </w:p>
    <w:p>
      <w:pPr>
        <w:pStyle w:val="26"/>
        <w:rPr>
          <w:rFonts w:asciiTheme="minorHAnsi" w:hAnsiTheme="minorHAnsi" w:eastAsiaTheme="minorEastAsia"/>
          <w:sz w:val="21"/>
          <w14:ligatures w14:val="standardContextual"/>
        </w:rPr>
      </w:pPr>
      <w:r>
        <w:fldChar w:fldCharType="begin"/>
      </w:r>
      <w:r>
        <w:instrText xml:space="preserve"> HYPERLINK \l "_Toc178172862" </w:instrText>
      </w:r>
      <w:r>
        <w:fldChar w:fldCharType="separate"/>
      </w:r>
      <w:r>
        <w:rPr>
          <w:rStyle w:val="37"/>
          <w:rFonts w:hint="eastAsia"/>
        </w:rPr>
        <w:t>第十一章 规划传导和实施保障</w:t>
      </w:r>
      <w:r>
        <w:rPr>
          <w:rFonts w:hint="eastAsia"/>
        </w:rPr>
        <w:tab/>
      </w:r>
      <w:r>
        <w:rPr>
          <w:rFonts w:hint="eastAsia"/>
        </w:rPr>
        <w:fldChar w:fldCharType="begin"/>
      </w:r>
      <w:r>
        <w:rPr>
          <w:rFonts w:hint="eastAsia"/>
        </w:rPr>
        <w:instrText xml:space="preserve"> </w:instrText>
      </w:r>
      <w:r>
        <w:instrText xml:space="preserve">PAGEREF _Toc178172862 \h</w:instrText>
      </w:r>
      <w:r>
        <w:rPr>
          <w:rFonts w:hint="eastAsia"/>
        </w:rPr>
        <w:instrText xml:space="preserve"> </w:instrText>
      </w:r>
      <w:r>
        <w:rPr>
          <w:rFonts w:hint="eastAsia"/>
        </w:rPr>
        <w:fldChar w:fldCharType="separate"/>
      </w:r>
      <w:r>
        <w:t>77</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"_Toc178172863" </w:instrText>
      </w:r>
      <w:r>
        <w:fldChar w:fldCharType="separate"/>
      </w:r>
      <w:r>
        <w:rPr>
          <w:rStyle w:val="37"/>
          <w:rFonts w:hint="eastAsia"/>
        </w:rPr>
        <w:t>第一节</w:t>
      </w:r>
      <w:r>
        <w:rPr>
          <w:rFonts w:hint="eastAsia"/>
          <w14:ligatures w14:val="standardContextual"/>
        </w:rPr>
        <w:tab/>
      </w:r>
      <w:r>
        <w:rPr>
          <w:rStyle w:val="37"/>
          <w:rFonts w:hint="eastAsia"/>
        </w:rPr>
        <w:t>加强党的领导</w:t>
      </w:r>
      <w:r>
        <w:rPr>
          <w:rFonts w:hint="eastAsia"/>
        </w:rPr>
        <w:tab/>
      </w:r>
      <w:r>
        <w:rPr>
          <w:rFonts w:hint="eastAsia"/>
        </w:rPr>
        <w:fldChar w:fldCharType="begin"/>
      </w:r>
      <w:r>
        <w:rPr>
          <w:rFonts w:hint="eastAsia"/>
        </w:rPr>
        <w:instrText xml:space="preserve"> </w:instrText>
      </w:r>
      <w:r>
        <w:instrText xml:space="preserve">PAGEREF _Toc178172863 \h</w:instrText>
      </w:r>
      <w:r>
        <w:rPr>
          <w:rFonts w:hint="eastAsia"/>
        </w:rPr>
        <w:instrText xml:space="preserve"> </w:instrText>
      </w:r>
      <w:r>
        <w:rPr>
          <w:rFonts w:hint="eastAsia"/>
        </w:rPr>
        <w:fldChar w:fldCharType="separate"/>
      </w:r>
      <w:r>
        <w:t>77</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"_Toc178172864" </w:instrText>
      </w:r>
      <w:r>
        <w:fldChar w:fldCharType="separate"/>
      </w:r>
      <w:r>
        <w:rPr>
          <w:rStyle w:val="37"/>
          <w:rFonts w:hint="eastAsia"/>
        </w:rPr>
        <w:t>第二节</w:t>
      </w:r>
      <w:r>
        <w:rPr>
          <w:rFonts w:hint="eastAsia"/>
          <w14:ligatures w14:val="standardContextual"/>
        </w:rPr>
        <w:tab/>
      </w:r>
      <w:r>
        <w:rPr>
          <w:rStyle w:val="37"/>
          <w:rFonts w:hint="eastAsia"/>
        </w:rPr>
        <w:t>完善规划编制传导体系</w:t>
      </w:r>
      <w:r>
        <w:rPr>
          <w:rFonts w:hint="eastAsia"/>
        </w:rPr>
        <w:tab/>
      </w:r>
      <w:r>
        <w:rPr>
          <w:rFonts w:hint="eastAsia"/>
        </w:rPr>
        <w:fldChar w:fldCharType="begin"/>
      </w:r>
      <w:r>
        <w:rPr>
          <w:rFonts w:hint="eastAsia"/>
        </w:rPr>
        <w:instrText xml:space="preserve"> </w:instrText>
      </w:r>
      <w:r>
        <w:instrText xml:space="preserve">PAGEREF _Toc178172864 \h</w:instrText>
      </w:r>
      <w:r>
        <w:rPr>
          <w:rFonts w:hint="eastAsia"/>
        </w:rPr>
        <w:instrText xml:space="preserve"> </w:instrText>
      </w:r>
      <w:r>
        <w:rPr>
          <w:rFonts w:hint="eastAsia"/>
        </w:rPr>
        <w:fldChar w:fldCharType="separate"/>
      </w:r>
      <w:r>
        <w:t>78</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"_Toc178172865" </w:instrText>
      </w:r>
      <w:r>
        <w:fldChar w:fldCharType="separate"/>
      </w:r>
      <w:r>
        <w:rPr>
          <w:rStyle w:val="37"/>
          <w:rFonts w:hint="eastAsia"/>
        </w:rPr>
        <w:t>第三节</w:t>
      </w:r>
      <w:r>
        <w:rPr>
          <w:rFonts w:hint="eastAsia"/>
          <w14:ligatures w14:val="standardContextual"/>
        </w:rPr>
        <w:tab/>
      </w:r>
      <w:r>
        <w:rPr>
          <w:rStyle w:val="37"/>
          <w:rFonts w:hint="eastAsia"/>
        </w:rPr>
        <w:t>制定近期行动</w:t>
      </w:r>
      <w:r>
        <w:rPr>
          <w:rFonts w:hint="eastAsia"/>
        </w:rPr>
        <w:tab/>
      </w:r>
      <w:r>
        <w:rPr>
          <w:rFonts w:hint="eastAsia"/>
        </w:rPr>
        <w:fldChar w:fldCharType="begin"/>
      </w:r>
      <w:r>
        <w:rPr>
          <w:rFonts w:hint="eastAsia"/>
        </w:rPr>
        <w:instrText xml:space="preserve"> </w:instrText>
      </w:r>
      <w:r>
        <w:instrText xml:space="preserve">PAGEREF _Toc178172865 \h</w:instrText>
      </w:r>
      <w:r>
        <w:rPr>
          <w:rFonts w:hint="eastAsia"/>
        </w:rPr>
        <w:instrText xml:space="preserve"> </w:instrText>
      </w:r>
      <w:r>
        <w:rPr>
          <w:rFonts w:hint="eastAsia"/>
        </w:rPr>
        <w:fldChar w:fldCharType="separate"/>
      </w:r>
      <w:r>
        <w:t>79</w:t>
      </w:r>
      <w:r>
        <w:rPr>
          <w:rFonts w:hint="eastAsia"/>
        </w:rPr>
        <w:fldChar w:fldCharType="end"/>
      </w:r>
      <w:r>
        <w:rPr>
          <w:rFonts w:hint="eastAsia"/>
        </w:rPr>
        <w:fldChar w:fldCharType="end"/>
      </w:r>
    </w:p>
    <w:p>
      <w:pPr>
        <w:pStyle w:val="30"/>
        <w:ind w:left="1365" w:hanging="735"/>
        <w:rPr>
          <w14:ligatures w14:val="standardContextual"/>
        </w:rPr>
      </w:pPr>
      <w:r>
        <w:fldChar w:fldCharType="begin"/>
      </w:r>
      <w:r>
        <w:instrText xml:space="preserve"> HYPERLINK \l "_Toc178172866" </w:instrText>
      </w:r>
      <w:r>
        <w:fldChar w:fldCharType="separate"/>
      </w:r>
      <w:r>
        <w:rPr>
          <w:rStyle w:val="37"/>
          <w:rFonts w:hint="eastAsia"/>
        </w:rPr>
        <w:t>第四节</w:t>
      </w:r>
      <w:r>
        <w:rPr>
          <w:rFonts w:hint="eastAsia"/>
          <w14:ligatures w14:val="standardContextual"/>
        </w:rPr>
        <w:tab/>
      </w:r>
      <w:r>
        <w:rPr>
          <w:rStyle w:val="37"/>
          <w:rFonts w:hint="eastAsia"/>
        </w:rPr>
        <w:t>实施规划全生命周期管理</w:t>
      </w:r>
      <w:r>
        <w:rPr>
          <w:rFonts w:hint="eastAsia"/>
        </w:rPr>
        <w:tab/>
      </w:r>
      <w:r>
        <w:rPr>
          <w:rFonts w:hint="eastAsia"/>
        </w:rPr>
        <w:fldChar w:fldCharType="begin"/>
      </w:r>
      <w:r>
        <w:rPr>
          <w:rFonts w:hint="eastAsia"/>
        </w:rPr>
        <w:instrText xml:space="preserve"> </w:instrText>
      </w:r>
      <w:r>
        <w:instrText xml:space="preserve">PAGEREF _Toc178172866 \h</w:instrText>
      </w:r>
      <w:r>
        <w:rPr>
          <w:rFonts w:hint="eastAsia"/>
        </w:rPr>
        <w:instrText xml:space="preserve"> </w:instrText>
      </w:r>
      <w:r>
        <w:rPr>
          <w:rFonts w:hint="eastAsia"/>
        </w:rPr>
        <w:fldChar w:fldCharType="separate"/>
      </w:r>
      <w:r>
        <w:t>81</w:t>
      </w:r>
      <w:r>
        <w:rPr>
          <w:rFonts w:hint="eastAsia"/>
        </w:rPr>
        <w:fldChar w:fldCharType="end"/>
      </w:r>
      <w:r>
        <w:rPr>
          <w:rFonts w:hint="eastAsia"/>
        </w:rPr>
        <w:fldChar w:fldCharType="end"/>
      </w:r>
    </w:p>
    <w:p>
      <w:pPr>
        <w:pStyle w:val="50"/>
        <w:numPr>
          <w:ilvl w:val="0"/>
          <w:numId w:val="0"/>
        </w:numPr>
        <w:sectPr>
          <w:footerReference r:id="rId4" w:type="default"/>
          <w:pgSz w:w="11906" w:h="16838"/>
          <w:pgMar w:top="1440" w:right="1797" w:bottom="1440" w:left="1797" w:header="851" w:footer="992" w:gutter="0"/>
          <w:pgNumType w:fmt="upperRoman" w:start="1"/>
          <w:cols w:space="425" w:num="1"/>
          <w:docGrid w:type="lines" w:linePitch="312" w:charSpace="0"/>
        </w:sectPr>
      </w:pPr>
      <w:r>
        <w:fldChar w:fldCharType="end"/>
      </w:r>
      <w:bookmarkStart w:id="0" w:name="_Toc56107851"/>
      <w:bookmarkStart w:id="1" w:name="_Toc71530109"/>
    </w:p>
    <w:p>
      <w:pPr>
        <w:pStyle w:val="50"/>
        <w:numPr>
          <w:ilvl w:val="0"/>
          <w:numId w:val="0"/>
        </w:numPr>
      </w:pPr>
    </w:p>
    <w:bookmarkEnd w:id="0"/>
    <w:bookmarkEnd w:id="1"/>
    <w:p>
      <w:pPr>
        <w:pStyle w:val="2"/>
        <w:numPr>
          <w:ilvl w:val="0"/>
          <w:numId w:val="6"/>
        </w:numPr>
        <w:rPr>
          <w:rFonts w:hint="eastAsia"/>
        </w:rPr>
      </w:pPr>
      <w:bookmarkStart w:id="2" w:name="_Toc178172810"/>
      <w:bookmarkStart w:id="3" w:name="_Toc56107852"/>
      <w:bookmarkStart w:id="4" w:name="_Toc71530110"/>
      <w:r>
        <w:rPr>
          <w:rFonts w:hint="eastAsia"/>
        </w:rPr>
        <w:t>总则</w:t>
      </w:r>
      <w:bookmarkEnd w:id="2"/>
    </w:p>
    <w:p>
      <w:pPr>
        <w:pStyle w:val="5"/>
        <w:ind w:firstLine="640"/>
      </w:pPr>
      <w:bookmarkStart w:id="5" w:name="_Hlk130200436"/>
      <w:r>
        <w:t>编制目的</w:t>
      </w:r>
    </w:p>
    <w:p>
      <w:pPr>
        <w:pStyle w:val="17"/>
      </w:pPr>
      <w:r>
        <w:rPr>
          <w:rFonts w:hint="eastAsia"/>
        </w:rPr>
        <w:t>为贯彻《中共中央国务院</w:t>
      </w:r>
      <w:r>
        <w:t xml:space="preserve"> </w:t>
      </w:r>
      <w:r>
        <w:rPr>
          <w:rFonts w:hint="eastAsia"/>
        </w:rPr>
        <w:t>关于建立国土空间规划体系并监督实施的若干意见》精神，落实河南省、新乡市政府的重大部署，实现新乡县国土空间高水平保护和高质量发展，全面提升国土空间治理体系和治理能力现代化水平，特编制</w:t>
      </w:r>
      <w:bookmarkStart w:id="6" w:name="_Hlk162187720"/>
      <w:r>
        <w:rPr>
          <w:rFonts w:hint="eastAsia"/>
        </w:rPr>
        <w:t>《新乡县国土空间总体规划（2021-2035年）》（以下简称“规划”</w:t>
      </w:r>
      <w:bookmarkEnd w:id="6"/>
      <w:r>
        <w:rPr>
          <w:rFonts w:hint="eastAsia"/>
        </w:rPr>
        <w:t>）。</w:t>
      </w:r>
    </w:p>
    <w:p>
      <w:pPr>
        <w:pStyle w:val="5"/>
        <w:ind w:firstLine="640"/>
      </w:pPr>
      <w:r>
        <w:rPr>
          <w:rFonts w:hint="eastAsia"/>
        </w:rPr>
        <w:t>规划定位</w:t>
      </w:r>
    </w:p>
    <w:p>
      <w:pPr>
        <w:pStyle w:val="17"/>
      </w:pPr>
      <w:r>
        <w:rPr>
          <w:rFonts w:hint="eastAsia"/>
        </w:rPr>
        <w:t>规划是新乡县国土空间发展的指南，是实现可持续发展的空间蓝图，是编制县级专项及以下各级各类空间规划的基本遵循，是各类开发保护建设活动的基本依据。</w:t>
      </w:r>
    </w:p>
    <w:p>
      <w:pPr>
        <w:pStyle w:val="5"/>
        <w:ind w:firstLine="640"/>
      </w:pPr>
      <w:r>
        <w:rPr>
          <w:rFonts w:hint="eastAsia"/>
        </w:rPr>
        <w:t>指导思想</w:t>
      </w:r>
    </w:p>
    <w:p>
      <w:pPr>
        <w:pStyle w:val="17"/>
      </w:pPr>
      <w:r>
        <w:rPr>
          <w:rFonts w:hint="eastAsia"/>
        </w:rPr>
        <w:t>以习近平新时代中国特色社会主义思想为指导，全面贯彻落实党的二十大精神和习近平总书记关于河南发展的重要讲话指示批示精神，立足新发展阶段、落实新发展理念、融入新发展格局，锚定“两个确保”，实施“十大战略”，坚持系统观念、以人民为中心的发展思想，统筹发展和安全、保护与保障，以资源的集约高效利用促进生产生活方式绿色转型，推动形成人与自然和谐共生的国土空间格局，推进国土空间治理体系和治理能力现代化。全力助推新乡市南向发展，促进新乡县融入郑新一体化。</w:t>
      </w:r>
    </w:p>
    <w:p>
      <w:pPr>
        <w:pStyle w:val="5"/>
        <w:ind w:firstLine="640"/>
      </w:pPr>
      <w:r>
        <w:t xml:space="preserve">规划原则 </w:t>
      </w:r>
    </w:p>
    <w:p>
      <w:pPr>
        <w:pStyle w:val="17"/>
      </w:pPr>
      <w:r>
        <w:rPr>
          <w:rFonts w:hint="eastAsia"/>
        </w:rPr>
        <w:t>坚持底线思维，推动绿色发展。强化底线约束，严格耕地保护，推动生态文明建设，</w:t>
      </w:r>
      <w:bookmarkStart w:id="7" w:name="_Hlk162187763"/>
      <w:r>
        <w:rPr>
          <w:rFonts w:hint="eastAsia"/>
        </w:rPr>
        <w:t>盘活存量空间，</w:t>
      </w:r>
      <w:bookmarkEnd w:id="7"/>
      <w:r>
        <w:rPr>
          <w:rFonts w:hint="eastAsia"/>
        </w:rPr>
        <w:t>加快国土空间节约集约和利用方式转变，提高国土空间安全韧性水平，促进人与自然和谐共生。</w:t>
      </w:r>
    </w:p>
    <w:p>
      <w:pPr>
        <w:pStyle w:val="17"/>
      </w:pPr>
      <w:r>
        <w:rPr>
          <w:rFonts w:hint="eastAsia"/>
        </w:rPr>
        <w:t xml:space="preserve">坚持安全永续，提升韧性水平。建设安全韧性城市，优化国土空间格局，完善生命线系统保障和应急救援体系，强化城市对于灾害风险的系统应对能力。 </w:t>
      </w:r>
    </w:p>
    <w:p>
      <w:pPr>
        <w:pStyle w:val="17"/>
      </w:pPr>
      <w:r>
        <w:rPr>
          <w:rFonts w:hint="eastAsia"/>
        </w:rPr>
        <w:t xml:space="preserve">坚持以人为本，促进城乡统筹。以人民为中心，构建城乡统筹的生活圈，提高公共服务水平、设施保障能力和环境品质，切实增强人民群众获得感、幸福感、安全感。 </w:t>
      </w:r>
    </w:p>
    <w:p>
      <w:pPr>
        <w:pStyle w:val="17"/>
      </w:pPr>
      <w:r>
        <w:rPr>
          <w:rFonts w:hint="eastAsia"/>
        </w:rPr>
        <w:t>坚持创新引领，推进高质量发展。强化创新资源和先进制造业的集群效应和空间保障，加快建立创新驱动的现代化经济体系，构建高效、和谐、持续的经济增长和社会发展方式，推进高质量发展。</w:t>
      </w:r>
    </w:p>
    <w:p>
      <w:pPr>
        <w:pStyle w:val="17"/>
      </w:pPr>
      <w:r>
        <w:rPr>
          <w:rFonts w:hint="eastAsia"/>
        </w:rPr>
        <w:t>坚持多方协同，完善实施保障。坚持自上而下，上下联动，部门协作，探索国土空间规划横向和纵向传导的管控机制，形成“一本规划、一张蓝图”，确保规划能用、管用、好用。</w:t>
      </w:r>
    </w:p>
    <w:p>
      <w:pPr>
        <w:pStyle w:val="17"/>
      </w:pPr>
      <w:bookmarkStart w:id="8" w:name="_Hlk162187781"/>
      <w:r>
        <w:rPr>
          <w:rFonts w:hint="eastAsia"/>
        </w:rPr>
        <w:t>坚持平战结合、安全发展。统筹兼顾经济建设与国防建设的关系，经济建设要贯彻国防要求，国土空间规划与国防建设相适，满足国防项目建设空间需求，确保安全发展。</w:t>
      </w:r>
      <w:bookmarkEnd w:id="8"/>
    </w:p>
    <w:p>
      <w:pPr>
        <w:pStyle w:val="5"/>
        <w:ind w:firstLine="640"/>
      </w:pPr>
      <w:r>
        <w:rPr>
          <w:rFonts w:hint="eastAsia"/>
        </w:rPr>
        <w:t>规划期限</w:t>
      </w:r>
    </w:p>
    <w:p>
      <w:pPr>
        <w:pStyle w:val="17"/>
      </w:pPr>
      <w:r>
        <w:rPr>
          <w:rFonts w:hint="eastAsia"/>
        </w:rPr>
        <w:t>规划期限为</w:t>
      </w:r>
      <w:r>
        <w:t>2021</w:t>
      </w:r>
      <w:r>
        <w:rPr>
          <w:rFonts w:hint="eastAsia"/>
        </w:rPr>
        <w:t>至</w:t>
      </w:r>
      <w:r>
        <w:t>2035</w:t>
      </w:r>
      <w:r>
        <w:rPr>
          <w:rFonts w:hint="eastAsia"/>
        </w:rPr>
        <w:t>年。</w:t>
      </w:r>
      <w:bookmarkStart w:id="9" w:name="_Hlk162187799"/>
      <w:r>
        <w:rPr>
          <w:rFonts w:hint="eastAsia"/>
        </w:rPr>
        <w:t>规划基期年为</w:t>
      </w:r>
      <w:r>
        <w:t>2020</w:t>
      </w:r>
      <w:r>
        <w:rPr>
          <w:rFonts w:hint="eastAsia"/>
        </w:rPr>
        <w:t>年，</w:t>
      </w:r>
      <w:bookmarkEnd w:id="9"/>
      <w:r>
        <w:rPr>
          <w:rFonts w:hint="eastAsia"/>
        </w:rPr>
        <w:t>近期到</w:t>
      </w:r>
      <w:r>
        <w:t>2025</w:t>
      </w:r>
      <w:r>
        <w:rPr>
          <w:rFonts w:hint="eastAsia"/>
        </w:rPr>
        <w:t>年，远景展望至</w:t>
      </w:r>
      <w:r>
        <w:t>2050</w:t>
      </w:r>
      <w:r>
        <w:rPr>
          <w:rFonts w:hint="eastAsia"/>
        </w:rPr>
        <w:t>年。</w:t>
      </w:r>
    </w:p>
    <w:p>
      <w:pPr>
        <w:pStyle w:val="5"/>
        <w:ind w:firstLine="640"/>
      </w:pPr>
      <w:r>
        <w:rPr>
          <w:rFonts w:hint="eastAsia"/>
        </w:rPr>
        <w:t>规划范围和层次</w:t>
      </w:r>
    </w:p>
    <w:p>
      <w:pPr>
        <w:pStyle w:val="17"/>
      </w:pPr>
      <w:bookmarkStart w:id="10" w:name="_Hlk162187821"/>
      <w:r>
        <w:rPr>
          <w:rFonts w:hint="eastAsia"/>
        </w:rPr>
        <w:t>规划包括县域和中心城区两个层次。</w:t>
      </w:r>
    </w:p>
    <w:p>
      <w:pPr>
        <w:pStyle w:val="17"/>
      </w:pPr>
      <w:r>
        <w:rPr>
          <w:rFonts w:hint="eastAsia"/>
        </w:rPr>
        <w:t>县域范围：新乡县行政辖区，包括翟坡镇、小冀镇、七里营镇、朗公庙镇、古固寨镇、大召营镇、合河乡、新乡经济开发区。</w:t>
      </w:r>
    </w:p>
    <w:p>
      <w:pPr>
        <w:pStyle w:val="17"/>
      </w:pPr>
      <w:r>
        <w:rPr>
          <w:rFonts w:hint="eastAsia"/>
        </w:rPr>
        <w:t>中心城区范围：东至心连心化工园区东边界、西至辉原线、南至新亚纸业南边界、北至县界。</w:t>
      </w:r>
      <w:bookmarkEnd w:id="10"/>
    </w:p>
    <w:p>
      <w:pPr>
        <w:widowControl/>
        <w:jc w:val="left"/>
        <w:rPr>
          <w:rFonts w:ascii="仿宋_GB2312" w:hAnsi="Times New Roman" w:eastAsia="仿宋_GB2312" w:cs="Times New Roman"/>
          <w:sz w:val="32"/>
          <w:szCs w:val="32"/>
        </w:rPr>
      </w:pPr>
      <w:sdt>
        <w:sdtPr>
          <w:rPr>
            <w:rFonts w:ascii="DejaVu Math TeX Gyre" w:hAnsi="DejaVu Math TeX Gyre" w:eastAsia="仿宋_GB2312" w:cstheme="minorBidi"/>
            <w:kern w:val="2"/>
            <w:sz w:val="21"/>
            <w:szCs w:val="32"/>
            <w:lang w:val="en-US" w:eastAsia="zh-CN" w:bidi="ar-SA"/>
          </w:rPr>
          <w:id w:val="147479472"/>
          <w:placeholder>
            <w:docPart w:val="DefaultPlaceholder_2098659788"/>
          </w:placeholder>
          <w:temporary/>
          <w:showingPlcHdr/>
        </w:sdtPr>
        <w:sdtEndPr>
          <w:rPr>
            <w:rFonts w:ascii="DejaVu Math TeX Gyre" w:hAnsi="DejaVu Math TeX Gyre" w:eastAsia="仿宋_GB2312" w:cstheme="minorBidi"/>
            <w:kern w:val="2"/>
            <w:sz w:val="21"/>
            <w:szCs w:val="32"/>
            <w:lang w:val="en-US" w:eastAsia="zh-CN" w:bidi="ar-SA"/>
          </w:rPr>
        </w:sdtEndPr>
        <w:sdtContent>
          <m:oMath>
            <m:r>
              <m:rPr>
                <m:sty m:val="p"/>
              </m:rPr>
              <w:rPr>
                <w:rFonts w:ascii="DejaVu Math TeX Gyre" w:hAnsi="DejaVu Math TeX Gyre"/>
                <w:color w:val="808080"/>
              </w:rPr>
              <m:t>在此处键入公式。</m:t>
            </m:r>
          </m:oMath>
        </w:sdtContent>
      </w:sdt>
      <w:r>
        <w:rPr>
          <w:rFonts w:ascii="仿宋_GB2312" w:eastAsia="仿宋_GB2312"/>
          <w:szCs w:val="32"/>
        </w:rPr>
        <w:br w:type="page"/>
      </w:r>
    </w:p>
    <w:p>
      <w:pPr>
        <w:pStyle w:val="17"/>
      </w:pPr>
    </w:p>
    <w:bookmarkEnd w:id="3"/>
    <w:bookmarkEnd w:id="4"/>
    <w:bookmarkEnd w:id="5"/>
    <w:p>
      <w:pPr>
        <w:pStyle w:val="2"/>
        <w:rPr>
          <w:rFonts w:hint="eastAsia"/>
        </w:rPr>
      </w:pPr>
      <w:bookmarkStart w:id="11" w:name="_Toc178172811"/>
      <w:r>
        <w:rPr>
          <w:rFonts w:hint="eastAsia"/>
        </w:rPr>
        <w:t>发展目标与战略</w:t>
      </w:r>
      <w:bookmarkEnd w:id="11"/>
    </w:p>
    <w:p>
      <w:pPr>
        <w:pStyle w:val="4"/>
        <w:numPr>
          <w:ilvl w:val="0"/>
          <w:numId w:val="7"/>
        </w:numPr>
        <w:rPr>
          <w:rFonts w:hint="eastAsia"/>
        </w:rPr>
      </w:pPr>
      <w:bookmarkStart w:id="12" w:name="_Toc178172812"/>
      <w:r>
        <w:rPr>
          <w:rFonts w:hint="eastAsia"/>
        </w:rPr>
        <w:t>城市性质</w:t>
      </w:r>
      <w:bookmarkEnd w:id="12"/>
    </w:p>
    <w:p>
      <w:pPr>
        <w:pStyle w:val="5"/>
        <w:ind w:firstLine="640"/>
      </w:pPr>
      <w:r>
        <w:rPr>
          <w:rFonts w:hint="eastAsia"/>
        </w:rPr>
        <w:t>总体定位</w:t>
      </w:r>
    </w:p>
    <w:p>
      <w:pPr>
        <w:pStyle w:val="17"/>
      </w:pPr>
      <w:r>
        <w:rPr>
          <w:rFonts w:hint="eastAsia"/>
        </w:rPr>
        <w:t>以新乡市南向发展战略为引领，紧抓郑新一体化、中原农谷发展机遇，高水平建设新乡县现代农业产业园，高规格打造河南省重要的化工产业、纸制品产业和特色装备制造业基地，新乡市中心城区南部宜居宜业的功能组团。</w:t>
      </w:r>
    </w:p>
    <w:p>
      <w:pPr>
        <w:pStyle w:val="5"/>
        <w:ind w:firstLine="640"/>
      </w:pPr>
      <w:r>
        <w:rPr>
          <w:rFonts w:hint="eastAsia"/>
        </w:rPr>
        <w:t>城市性质</w:t>
      </w:r>
    </w:p>
    <w:p>
      <w:pPr>
        <w:pStyle w:val="17"/>
      </w:pPr>
      <w:r>
        <w:rPr>
          <w:rFonts w:hint="eastAsia"/>
        </w:rPr>
        <w:t>河南省重要的化工产业、纸制品产业和特色装备制造业基地，郑新一体化发展带上重要节点，新乡市中心城区南部宜居宜业功能组团。</w:t>
      </w:r>
    </w:p>
    <w:p>
      <w:pPr>
        <w:pStyle w:val="4"/>
        <w:numPr>
          <w:ilvl w:val="0"/>
          <w:numId w:val="7"/>
        </w:numPr>
        <w:rPr>
          <w:rFonts w:hint="eastAsia"/>
        </w:rPr>
      </w:pPr>
      <w:bookmarkStart w:id="13" w:name="_Toc178172813"/>
      <w:r>
        <w:rPr>
          <w:rFonts w:hint="eastAsia"/>
        </w:rPr>
        <w:t>国土空间开发保护目标</w:t>
      </w:r>
      <w:bookmarkEnd w:id="13"/>
    </w:p>
    <w:p>
      <w:pPr>
        <w:pStyle w:val="5"/>
        <w:ind w:firstLine="640"/>
      </w:pPr>
      <w:r>
        <w:rPr>
          <w:rFonts w:hint="eastAsia"/>
        </w:rPr>
        <w:t>开发保护目标</w:t>
      </w:r>
    </w:p>
    <w:p>
      <w:pPr>
        <w:pStyle w:val="17"/>
      </w:pPr>
      <w:bookmarkStart w:id="14" w:name="_Hlk128050169"/>
      <w:r>
        <w:t>2025</w:t>
      </w:r>
      <w:r>
        <w:rPr>
          <w:rFonts w:hint="eastAsia"/>
        </w:rPr>
        <w:t>年，耕地和永久基本农田、生态保护红线得到严格落实，资源利用水平显著提高，在乡村振兴、产业转型创新发展方面对周边县（区）起到明显示范作用；全面融入郑新一体化发展带的基础设施支撑能力显著增强；城市经济活力、创新能力、品质特色等实力得到明显提升；民生设施建设取得显著成效，乡村地区基本实现集约发展。</w:t>
      </w:r>
    </w:p>
    <w:p>
      <w:pPr>
        <w:pStyle w:val="17"/>
      </w:pPr>
      <w:r>
        <w:t>2035</w:t>
      </w:r>
      <w:r>
        <w:rPr>
          <w:rFonts w:hint="eastAsia"/>
        </w:rPr>
        <w:t>年，国土空间治理体系和治理能力现代化基本实现，生态格局全面稳固，农业科技发展成果突出，城市功能完善，产业特点鲜明，人居环境品质优良，形成郑新一体化发展带上独具魅力、宜居宜业的精致小城。</w:t>
      </w:r>
    </w:p>
    <w:bookmarkEnd w:id="14"/>
    <w:p>
      <w:pPr>
        <w:pStyle w:val="17"/>
      </w:pPr>
      <w:r>
        <w:rPr>
          <w:rFonts w:hint="eastAsia"/>
        </w:rPr>
        <w:t>展望至</w:t>
      </w:r>
      <w:r>
        <w:t>2050</w:t>
      </w:r>
      <w:r>
        <w:rPr>
          <w:rFonts w:hint="eastAsia"/>
        </w:rPr>
        <w:t>年，国土空间治理体系和治理能力实现现代化，全面融入郑新一体化发展，在城乡统筹、绿色低碳、转型创新、社会和谐、生态宜居等方面成为郑州都市圈的典范和标杆。</w:t>
      </w:r>
    </w:p>
    <w:p>
      <w:pPr>
        <w:pStyle w:val="4"/>
        <w:numPr>
          <w:ilvl w:val="0"/>
          <w:numId w:val="7"/>
        </w:numPr>
        <w:rPr>
          <w:rFonts w:hint="eastAsia"/>
        </w:rPr>
      </w:pPr>
      <w:bookmarkStart w:id="15" w:name="_Toc178172814"/>
      <w:r>
        <w:rPr>
          <w:rFonts w:hint="eastAsia"/>
        </w:rPr>
        <w:t>国土空间开发保护战略</w:t>
      </w:r>
      <w:bookmarkEnd w:id="15"/>
    </w:p>
    <w:p>
      <w:pPr>
        <w:pStyle w:val="5"/>
        <w:ind w:firstLine="640"/>
      </w:pPr>
      <w:r>
        <w:rPr>
          <w:rFonts w:hint="eastAsia"/>
        </w:rPr>
        <w:t>助推新乡市南向发展，积极融入郑新一体化</w:t>
      </w:r>
    </w:p>
    <w:p>
      <w:pPr>
        <w:pStyle w:val="17"/>
      </w:pPr>
      <w:r>
        <w:rPr>
          <w:rFonts w:hint="eastAsia"/>
        </w:rPr>
        <w:t>以新乡市南向发展为契机，重点加强新乡县与新乡市中心城区的交通联系，促进新乡县在产业、空间、生态等方面与新乡市南向发展空间的有机耦合，拉深新乡市纵向辐射，助推郑新一体化发展，融入区域发展格局中。</w:t>
      </w:r>
    </w:p>
    <w:p>
      <w:pPr>
        <w:pStyle w:val="5"/>
        <w:ind w:firstLine="640"/>
      </w:pPr>
      <w:r>
        <w:rPr>
          <w:rFonts w:hint="eastAsia"/>
        </w:rPr>
        <w:t>强化县城战略支点作用，引领城乡统筹发展</w:t>
      </w:r>
    </w:p>
    <w:p>
      <w:pPr>
        <w:pStyle w:val="17"/>
      </w:pPr>
      <w:r>
        <w:rPr>
          <w:rFonts w:hint="eastAsia"/>
        </w:rPr>
        <w:t>加强县城建设，完善县城各类功能，推进城镇集中连片区域的发展，加强产业发展与城镇化的关系，形成以县城为支撑，引领带动县域经济高质量发展的空间格局。</w:t>
      </w:r>
    </w:p>
    <w:p>
      <w:pPr>
        <w:pStyle w:val="5"/>
        <w:ind w:firstLine="640"/>
      </w:pPr>
      <w:r>
        <w:rPr>
          <w:rFonts w:hint="eastAsia"/>
        </w:rPr>
        <w:t>优化产业空间布局，促进产业转型创新发展</w:t>
      </w:r>
    </w:p>
    <w:p>
      <w:pPr>
        <w:pStyle w:val="17"/>
      </w:pPr>
      <w:r>
        <w:rPr>
          <w:rFonts w:hint="eastAsia"/>
        </w:rPr>
        <w:t>转变以要素投入为主、土地增量扩张的传统发展模式，推进产业集聚发展，加快省级开发区、市级专业园区、县级专业园区三个层级园区体系的建设，优化产业空间布局，提高产业发展在区域高质量发展中的引领带动作用。坚持科技创新与产业发展深度融合，打造区域创新共同体。推动城市功能规划与产业发展定位相协调，构建产业、城市、人口互为依托、互相促动、高效优质的发展模式，实现产城融合与职住平衡。</w:t>
      </w:r>
    </w:p>
    <w:p>
      <w:pPr>
        <w:pStyle w:val="5"/>
        <w:ind w:firstLine="640"/>
      </w:pPr>
      <w:r>
        <w:rPr>
          <w:rFonts w:hint="eastAsia"/>
        </w:rPr>
        <w:t>推进三网融合建设，保障粮食和生态安全</w:t>
      </w:r>
    </w:p>
    <w:p>
      <w:pPr>
        <w:pStyle w:val="17"/>
      </w:pPr>
      <w:r>
        <w:rPr>
          <w:rFonts w:hint="eastAsia"/>
        </w:rPr>
        <w:t>强化生态环境共保联治，保障农田林网、水网、路网建设空间，促进农业与水网、路网和林网的融合，构筑蓝绿交织的生态本底和阡陌纵横的农业空间，确保粮食安全和生态安全。</w:t>
      </w:r>
    </w:p>
    <w:p>
      <w:pPr>
        <w:pStyle w:val="5"/>
        <w:ind w:firstLine="640"/>
      </w:pPr>
      <w:r>
        <w:rPr>
          <w:rFonts w:hint="eastAsia"/>
        </w:rPr>
        <w:t>理水通脉，塑造蓝绿交织的宜人小城。</w:t>
      </w:r>
    </w:p>
    <w:p>
      <w:pPr>
        <w:pStyle w:val="17"/>
      </w:pPr>
      <w:r>
        <w:rPr>
          <w:rFonts w:hint="eastAsia"/>
        </w:rPr>
        <w:t>加强水系连通，强化滨水空间设计，建设水美新城。构建网络化、无障碍、功能复合的公共活动网络，提升全类型公共设施品质服务，重点整合优质教育资源，完善医疗卫生设施建设，提高新乡县宜居指数和健康指数。</w:t>
      </w:r>
    </w:p>
    <w:p>
      <w:pPr>
        <w:pStyle w:val="17"/>
      </w:pPr>
      <w:bookmarkStart w:id="16" w:name="_Toc56107859"/>
      <w:bookmarkStart w:id="17" w:name="_Toc71530119"/>
      <w:r>
        <w:br w:type="page"/>
      </w:r>
    </w:p>
    <w:p>
      <w:pPr>
        <w:widowControl/>
        <w:jc w:val="left"/>
        <w:rPr>
          <w:rFonts w:hint="eastAsia" w:ascii="方正小标宋简体" w:hAnsi="方正小标宋_GBK" w:eastAsia="方正小标宋简体" w:cs="Times New Roman"/>
          <w:bCs/>
          <w:sz w:val="32"/>
          <w:szCs w:val="32"/>
        </w:rPr>
      </w:pPr>
    </w:p>
    <w:p>
      <w:pPr>
        <w:pStyle w:val="2"/>
        <w:rPr>
          <w:rFonts w:hint="eastAsia"/>
        </w:rPr>
      </w:pPr>
      <w:bookmarkStart w:id="18" w:name="_Toc178172815"/>
      <w:r>
        <w:rPr>
          <w:rFonts w:hint="eastAsia"/>
        </w:rPr>
        <w:t>国土空间总体格局</w:t>
      </w:r>
      <w:bookmarkEnd w:id="16"/>
      <w:bookmarkEnd w:id="17"/>
      <w:bookmarkEnd w:id="18"/>
    </w:p>
    <w:p>
      <w:pPr>
        <w:pStyle w:val="4"/>
        <w:numPr>
          <w:ilvl w:val="0"/>
          <w:numId w:val="8"/>
        </w:numPr>
        <w:rPr>
          <w:rFonts w:hint="eastAsia"/>
        </w:rPr>
      </w:pPr>
      <w:bookmarkStart w:id="19" w:name="_Toc82989163"/>
      <w:bookmarkStart w:id="20" w:name="_Toc178172816"/>
      <w:bookmarkStart w:id="21" w:name="_Toc82989162"/>
      <w:r>
        <w:rPr>
          <w:rFonts w:hint="eastAsia"/>
        </w:rPr>
        <w:t>落实上位规划要求，</w:t>
      </w:r>
      <w:bookmarkEnd w:id="19"/>
      <w:r>
        <w:t>筑牢安全发展空间底线</w:t>
      </w:r>
      <w:bookmarkEnd w:id="20"/>
    </w:p>
    <w:p>
      <w:pPr>
        <w:pStyle w:val="5"/>
        <w:ind w:firstLine="640"/>
      </w:pPr>
      <w:r>
        <w:rPr>
          <w:rFonts w:hint="eastAsia"/>
        </w:rPr>
        <w:t>严格保护耕地和永久基本农田</w:t>
      </w:r>
    </w:p>
    <w:p>
      <w:pPr>
        <w:pStyle w:val="17"/>
      </w:pPr>
      <w:bookmarkStart w:id="22" w:name="_Hlk162189166"/>
      <w:r>
        <w:rPr>
          <w:rFonts w:hint="eastAsia"/>
        </w:rPr>
        <w:t>严格落实新乡市分解下达的耕地和永久基本农田保护红线任务。</w:t>
      </w:r>
      <w:bookmarkEnd w:id="22"/>
    </w:p>
    <w:p>
      <w:pPr>
        <w:pStyle w:val="5"/>
        <w:ind w:firstLine="640"/>
      </w:pPr>
      <w:r>
        <w:rPr>
          <w:rFonts w:hint="eastAsia"/>
        </w:rPr>
        <w:t>科学划定生态保护红线</w:t>
      </w:r>
    </w:p>
    <w:p>
      <w:pPr>
        <w:pStyle w:val="17"/>
      </w:pPr>
      <w:bookmarkStart w:id="23" w:name="_Hlk75726429"/>
      <w:r>
        <w:rPr>
          <w:rFonts w:hint="eastAsia"/>
        </w:rPr>
        <w:t>落实新乡市下发生态保护红线。</w:t>
      </w:r>
    </w:p>
    <w:bookmarkEnd w:id="23"/>
    <w:p>
      <w:pPr>
        <w:pStyle w:val="5"/>
        <w:ind w:firstLine="640"/>
      </w:pPr>
      <w:r>
        <w:rPr>
          <w:rFonts w:hint="eastAsia"/>
        </w:rPr>
        <w:t>合理划定城镇开发边界</w:t>
      </w:r>
    </w:p>
    <w:p>
      <w:pPr>
        <w:pStyle w:val="17"/>
      </w:pPr>
      <w:r>
        <w:rPr>
          <w:rFonts w:hint="eastAsia"/>
        </w:rPr>
        <w:t>严格落实规划建设用地规模控制，促进城镇建设向开发边界内集中。</w:t>
      </w:r>
    </w:p>
    <w:p>
      <w:pPr>
        <w:pStyle w:val="5"/>
        <w:ind w:firstLine="640"/>
      </w:pPr>
      <w:r>
        <w:rPr>
          <w:rFonts w:hint="eastAsia"/>
        </w:rPr>
        <w:t>划定洪涝风险控制线</w:t>
      </w:r>
    </w:p>
    <w:p>
      <w:pPr>
        <w:pStyle w:val="17"/>
        <w:rPr>
          <w:rFonts w:asciiTheme="minorHAnsi" w:hAnsiTheme="minorHAnsi"/>
        </w:rPr>
      </w:pPr>
      <w:r>
        <w:rPr>
          <w:rFonts w:hint="eastAsia"/>
        </w:rPr>
        <w:t>强化洪涝风险防御。将卫河共渠管理范围划入洪涝风险控制线，管控雨洪行泄和蓄滞空间，保障防洪排涝系统的完整性和通达性。</w:t>
      </w:r>
    </w:p>
    <w:p>
      <w:pPr>
        <w:pStyle w:val="4"/>
        <w:numPr>
          <w:ilvl w:val="0"/>
          <w:numId w:val="8"/>
        </w:numPr>
        <w:rPr>
          <w:rFonts w:hint="eastAsia"/>
        </w:rPr>
      </w:pPr>
      <w:bookmarkStart w:id="24" w:name="_Toc178172817"/>
      <w:r>
        <w:rPr>
          <w:rFonts w:hint="eastAsia"/>
        </w:rPr>
        <w:t>细化各乡（镇）主体功能区定位</w:t>
      </w:r>
      <w:bookmarkEnd w:id="24"/>
    </w:p>
    <w:p>
      <w:pPr>
        <w:pStyle w:val="5"/>
        <w:ind w:firstLine="640"/>
      </w:pPr>
      <w:r>
        <w:rPr>
          <w:rFonts w:hint="eastAsia"/>
        </w:rPr>
        <w:t>乡（镇）主体功能区规划</w:t>
      </w:r>
    </w:p>
    <w:p>
      <w:pPr>
        <w:pStyle w:val="17"/>
      </w:pPr>
      <w:r>
        <w:rPr>
          <w:rFonts w:hint="eastAsia"/>
        </w:rPr>
        <w:t>确定翟坡镇、小冀镇、七里营镇、朗公庙镇、古固寨镇、大召营镇、合河乡、新乡经济开发区为城市化地区。</w:t>
      </w:r>
    </w:p>
    <w:p>
      <w:pPr>
        <w:pStyle w:val="17"/>
      </w:pPr>
      <w:r>
        <w:rPr>
          <w:rFonts w:hint="eastAsia"/>
        </w:rPr>
        <w:t>严格落实国家、省关于主体功能区管控要求，项目实施应符合产业准入政策。</w:t>
      </w:r>
    </w:p>
    <w:bookmarkEnd w:id="21"/>
    <w:p>
      <w:pPr>
        <w:pStyle w:val="4"/>
        <w:numPr>
          <w:ilvl w:val="0"/>
          <w:numId w:val="8"/>
        </w:numPr>
        <w:rPr>
          <w:rFonts w:hint="eastAsia"/>
        </w:rPr>
      </w:pPr>
      <w:bookmarkStart w:id="25" w:name="_Toc178172818"/>
      <w:r>
        <w:rPr>
          <w:rFonts w:hint="eastAsia"/>
        </w:rPr>
        <w:t>塑造开放式、网络化、复合型的总体格局</w:t>
      </w:r>
      <w:bookmarkEnd w:id="25"/>
    </w:p>
    <w:p>
      <w:pPr>
        <w:pStyle w:val="5"/>
        <w:ind w:firstLine="640"/>
      </w:pPr>
      <w:r>
        <w:rPr>
          <w:rFonts w:hint="eastAsia"/>
        </w:rPr>
        <w:t>总体空间格局</w:t>
      </w:r>
    </w:p>
    <w:p>
      <w:pPr>
        <w:pStyle w:val="17"/>
      </w:pPr>
      <w:r>
        <w:rPr>
          <w:rFonts w:hint="eastAsia"/>
        </w:rPr>
        <w:t>立足新乡县资源禀赋和自然地理格局，构建“十字引领、</w:t>
      </w:r>
      <w:bookmarkStart w:id="26" w:name="_Hlk162189704"/>
      <w:r>
        <w:rPr>
          <w:rFonts w:hint="eastAsia"/>
        </w:rPr>
        <w:t>空间协同、点线串联、</w:t>
      </w:r>
      <w:bookmarkEnd w:id="26"/>
      <w:r>
        <w:rPr>
          <w:rFonts w:hint="eastAsia"/>
        </w:rPr>
        <w:t>全面融入”的总体空间格局。</w:t>
      </w:r>
    </w:p>
    <w:p>
      <w:pPr>
        <w:pStyle w:val="17"/>
      </w:pPr>
      <w:r>
        <w:rPr>
          <w:rFonts w:hint="eastAsia"/>
        </w:rPr>
        <w:t>十字引领：由郑新创新科技走廊、金融路城市发展轴、S</w:t>
      </w:r>
      <w:r>
        <w:t>229</w:t>
      </w:r>
      <w:r>
        <w:rPr>
          <w:rFonts w:hint="eastAsia"/>
        </w:rPr>
        <w:t>城镇发展轴形成的双十字结构，引领城镇布局。</w:t>
      </w:r>
    </w:p>
    <w:p>
      <w:pPr>
        <w:pStyle w:val="17"/>
      </w:pPr>
      <w:bookmarkStart w:id="27" w:name="_Hlk162189722"/>
      <w:r>
        <w:rPr>
          <w:rFonts w:hint="eastAsia"/>
        </w:rPr>
        <w:t>空间协同：以三条控制线为基础，确定以都市生态绿色农业、高新技术农业主的</w:t>
      </w:r>
      <w:r>
        <w:rPr>
          <w:rFonts w:hint="eastAsia" w:ascii="仿宋_GB2312"/>
        </w:rPr>
        <w:t>农业生产空间，以城镇为中心的城镇生活空间和林水相依、廊道串联的生态空间，促进三大空间的协同发展。</w:t>
      </w:r>
    </w:p>
    <w:p>
      <w:pPr>
        <w:pStyle w:val="17"/>
      </w:pPr>
      <w:r>
        <w:rPr>
          <w:rFonts w:hint="eastAsia"/>
        </w:rPr>
        <w:t>点线串联：由卫河、人民胜利渠、东孟姜女河、金融路、S229等多条生态廊道和城镇发展轴将县综合服务中心、创智创新中心、各乡（镇）等形成的经济增长点有机串联，形成整体。</w:t>
      </w:r>
      <w:bookmarkEnd w:id="27"/>
    </w:p>
    <w:p>
      <w:pPr>
        <w:pStyle w:val="17"/>
      </w:pPr>
      <w:r>
        <w:rPr>
          <w:rFonts w:hint="eastAsia"/>
        </w:rPr>
        <w:t>全面融入：突出新乡县地缘特点，以区域交通廊道为轴，促进县城、乡（镇）面向市区的向心集聚的城镇空间格局，逐步在空间和功能上融入新乡市中心城区。</w:t>
      </w:r>
    </w:p>
    <w:p>
      <w:pPr>
        <w:pStyle w:val="4"/>
        <w:numPr>
          <w:ilvl w:val="0"/>
          <w:numId w:val="8"/>
        </w:numPr>
        <w:rPr>
          <w:rFonts w:hint="eastAsia"/>
        </w:rPr>
      </w:pPr>
      <w:bookmarkStart w:id="28" w:name="_Toc178172819"/>
      <w:bookmarkStart w:id="29" w:name="_Toc82989164"/>
      <w:r>
        <w:rPr>
          <w:rFonts w:hint="eastAsia"/>
        </w:rPr>
        <w:t>合理划定国土空间规划分区</w:t>
      </w:r>
      <w:bookmarkEnd w:id="28"/>
    </w:p>
    <w:p>
      <w:pPr>
        <w:pStyle w:val="5"/>
        <w:ind w:firstLine="640"/>
      </w:pPr>
      <w:r>
        <w:rPr>
          <w:rFonts w:hint="eastAsia"/>
        </w:rPr>
        <w:t>划定国土空间规划分区</w:t>
      </w:r>
    </w:p>
    <w:p>
      <w:pPr>
        <w:pStyle w:val="17"/>
      </w:pPr>
      <w:r>
        <w:rPr>
          <w:rFonts w:hint="eastAsia"/>
        </w:rPr>
        <w:t>优化国土空间分区管制，划定农田保护区、生态保护区、生态控制区、城镇发展区、乡村发展区五类国土空间保护开发规划分区。</w:t>
      </w:r>
    </w:p>
    <w:p>
      <w:pPr>
        <w:pStyle w:val="17"/>
      </w:pPr>
      <w:r>
        <w:rPr>
          <w:rFonts w:hint="eastAsia"/>
        </w:rPr>
        <w:t>1.农田保护区范围及管控要求</w:t>
      </w:r>
    </w:p>
    <w:p>
      <w:pPr>
        <w:pStyle w:val="17"/>
      </w:pPr>
      <w:r>
        <w:rPr>
          <w:rFonts w:hint="eastAsia"/>
        </w:rPr>
        <w:t>从严管控非农建设活动，严禁“非农化”和“非粮化”，鼓励开展高标准农田建设和土地综合整治，提高耕地和永久基本农田质量，完善区域内农业基础设施水平。</w:t>
      </w:r>
    </w:p>
    <w:p>
      <w:pPr>
        <w:pStyle w:val="17"/>
      </w:pPr>
      <w:r>
        <w:rPr>
          <w:rFonts w:hint="eastAsia"/>
        </w:rPr>
        <w:t>2.生态保护区范围及管控要求</w:t>
      </w:r>
    </w:p>
    <w:p>
      <w:pPr>
        <w:pStyle w:val="17"/>
      </w:pPr>
      <w:r>
        <w:rPr>
          <w:rFonts w:hint="eastAsia"/>
        </w:rPr>
        <w:t>新乡县饮用水水源地保护区，全部划入生态保护区内，对生态保护区实行严格保护，建立最严格的准入机制，禁止影响生态功能的开发建设活动，已有开发建设行为逐步引导退出。</w:t>
      </w:r>
    </w:p>
    <w:p>
      <w:pPr>
        <w:pStyle w:val="17"/>
      </w:pPr>
      <w:r>
        <w:rPr>
          <w:rFonts w:hint="eastAsia"/>
        </w:rPr>
        <w:t>3.生态控制区范围及管控要求</w:t>
      </w:r>
    </w:p>
    <w:p>
      <w:pPr>
        <w:pStyle w:val="17"/>
      </w:pPr>
      <w:bookmarkStart w:id="30" w:name="_Hlk162189773"/>
      <w:r>
        <w:rPr>
          <w:rFonts w:hint="eastAsia"/>
        </w:rPr>
        <w:t>生态控制区</w:t>
      </w:r>
      <w:bookmarkEnd w:id="30"/>
      <w:r>
        <w:rPr>
          <w:rFonts w:hint="eastAsia"/>
        </w:rPr>
        <w:t>主要是卫河共渠洪涝灾害风险区，禁止开展对主导生态功能产生影响的开发建设活动，限制除市政、交通、水利基础设施以外的其他新增建设用地。</w:t>
      </w:r>
    </w:p>
    <w:p>
      <w:pPr>
        <w:pStyle w:val="17"/>
      </w:pPr>
      <w:r>
        <w:rPr>
          <w:rFonts w:hint="eastAsia"/>
        </w:rPr>
        <w:t>4.城镇发展区范围及管控要求</w:t>
      </w:r>
    </w:p>
    <w:p>
      <w:pPr>
        <w:pStyle w:val="17"/>
      </w:pPr>
      <w:r>
        <w:rPr>
          <w:rFonts w:hint="eastAsia"/>
        </w:rPr>
        <w:t>在不突破规划城镇建设用地规模的前提下，城镇建设用地布局可在城镇开发边界内进行调整。</w:t>
      </w:r>
    </w:p>
    <w:p>
      <w:pPr>
        <w:pStyle w:val="17"/>
      </w:pPr>
      <w:r>
        <w:rPr>
          <w:rFonts w:hint="eastAsia"/>
        </w:rPr>
        <w:t>5.乡村发展区范围及管控要求</w:t>
      </w:r>
    </w:p>
    <w:p>
      <w:pPr>
        <w:pStyle w:val="17"/>
      </w:pPr>
      <w:r>
        <w:rPr>
          <w:rFonts w:hint="eastAsia"/>
        </w:rPr>
        <w:t>按照“详细规划+规划许可”和“约束指标+分区准入”的方式，根据具体土地用途类型进行管理。允许农业和乡村特色产业发展及其配套设施建设，以及为改善农村人居环境而进行的村庄建设与整治；严禁集中连片的城镇开发建设。</w:t>
      </w:r>
    </w:p>
    <w:p>
      <w:pPr>
        <w:pStyle w:val="17"/>
      </w:pPr>
    </w:p>
    <w:p>
      <w:pPr>
        <w:pStyle w:val="17"/>
      </w:pPr>
    </w:p>
    <w:p>
      <w:pPr>
        <w:pStyle w:val="4"/>
        <w:numPr>
          <w:ilvl w:val="0"/>
          <w:numId w:val="8"/>
        </w:numPr>
        <w:rPr>
          <w:rFonts w:hint="eastAsia"/>
        </w:rPr>
      </w:pPr>
      <w:bookmarkStart w:id="31" w:name="_Toc178172820"/>
      <w:r>
        <w:rPr>
          <w:rFonts w:hint="eastAsia"/>
        </w:rPr>
        <w:t>优化调整国土空间功能结构</w:t>
      </w:r>
      <w:bookmarkEnd w:id="29"/>
      <w:bookmarkEnd w:id="31"/>
    </w:p>
    <w:p>
      <w:pPr>
        <w:pStyle w:val="5"/>
        <w:ind w:firstLine="640"/>
      </w:pPr>
      <w:r>
        <w:rPr>
          <w:rFonts w:hint="eastAsia"/>
        </w:rPr>
        <w:t>优化土地利用结构</w:t>
      </w:r>
    </w:p>
    <w:p>
      <w:pPr>
        <w:pStyle w:val="17"/>
      </w:pPr>
      <w:r>
        <w:rPr>
          <w:rFonts w:hint="eastAsia"/>
        </w:rPr>
        <w:t>1.合理调整农用地</w:t>
      </w:r>
    </w:p>
    <w:p>
      <w:pPr>
        <w:pStyle w:val="17"/>
      </w:pPr>
      <w:r>
        <w:rPr>
          <w:rFonts w:hint="eastAsia"/>
        </w:rPr>
        <w:t>坚持最严格的耕地保护制度，坚守耕地红线。确保可以长期稳定利用的耕地总量不再减少，严格控制非农建设占用耕地，明确耕地利用优先序，严格控制耕地转为林地、园地等其他类型农用地。综合考虑建设占用、廊道绿化整改、非粮化整治、适当恢复部分即可恢复地类的耕地功能、规划绿化造林空间等因素，合理确定园地和林地布局；保障农村一二三产融合发展合理用地，适度扩大农业设施建设用地，为发展多样化的现代高效农业提供空间支持。</w:t>
      </w:r>
    </w:p>
    <w:p>
      <w:pPr>
        <w:pStyle w:val="17"/>
      </w:pPr>
      <w:r>
        <w:rPr>
          <w:rFonts w:hint="eastAsia"/>
        </w:rPr>
        <w:t>2.有序增加建设用地</w:t>
      </w:r>
    </w:p>
    <w:p>
      <w:pPr>
        <w:pStyle w:val="17"/>
      </w:pPr>
      <w:r>
        <w:rPr>
          <w:rFonts w:hint="eastAsia"/>
        </w:rPr>
        <w:t>坚持“严控增量、盘活存量、有保有压”原则，严控建设用地规模增加，在现状城镇用地的基础上，规划安排上级下达的新增城镇建设用地指标，以及用于城镇用地布局的批而未建和村庄用地，合理增加城镇用地规模。重点保障“十四五”期间重大基础设施、基本民生等用地需求。逐步缩减村庄规模，预留乡村振兴产业用地。合理安排其他建设用地，保障军事、殡葬场所等经济社会发展的特殊用地需求。</w:t>
      </w:r>
    </w:p>
    <w:p>
      <w:pPr>
        <w:pStyle w:val="17"/>
      </w:pPr>
      <w:r>
        <w:rPr>
          <w:rFonts w:hint="eastAsia"/>
        </w:rPr>
        <w:t>3.适度开发其他土地</w:t>
      </w:r>
    </w:p>
    <w:p>
      <w:pPr>
        <w:pStyle w:val="17"/>
      </w:pPr>
      <w:r>
        <w:rPr>
          <w:rFonts w:hint="eastAsia"/>
        </w:rPr>
        <w:t>完善湿地与水域保护修复机制，推进生态保护高质量发展，严格控制湿地流失，严格保护生态保护红线内的滩涂、河流水面等陆地水域用地，保护生物多样性。</w:t>
      </w:r>
    </w:p>
    <w:p>
      <w:pPr>
        <w:widowControl/>
        <w:jc w:val="left"/>
        <w:rPr>
          <w:rFonts w:ascii="仿宋_GB2312" w:hAnsi="Times New Roman" w:eastAsia="仿宋_GB2312" w:cs="Times New Roman"/>
          <w:sz w:val="32"/>
          <w:szCs w:val="32"/>
        </w:rPr>
      </w:pPr>
    </w:p>
    <w:p>
      <w:pPr>
        <w:pStyle w:val="2"/>
        <w:rPr>
          <w:rFonts w:hint="eastAsia"/>
        </w:rPr>
      </w:pPr>
      <w:bookmarkStart w:id="32" w:name="_Toc178172821"/>
      <w:bookmarkStart w:id="33" w:name="_Toc71530128"/>
      <w:bookmarkStart w:id="34" w:name="_Toc56107869"/>
      <w:r>
        <w:rPr>
          <w:rFonts w:hint="eastAsia"/>
        </w:rPr>
        <w:t>耕地保护与乡村振兴</w:t>
      </w:r>
      <w:bookmarkEnd w:id="32"/>
    </w:p>
    <w:p>
      <w:pPr>
        <w:pStyle w:val="4"/>
        <w:numPr>
          <w:ilvl w:val="0"/>
          <w:numId w:val="9"/>
        </w:numPr>
        <w:rPr>
          <w:rFonts w:hint="eastAsia"/>
        </w:rPr>
      </w:pPr>
      <w:bookmarkStart w:id="35" w:name="_Toc178172822"/>
      <w:r>
        <w:rPr>
          <w:rFonts w:hint="eastAsia"/>
        </w:rPr>
        <w:t>严格保护耕地，稳步提升耕地质量</w:t>
      </w:r>
      <w:bookmarkEnd w:id="35"/>
    </w:p>
    <w:p>
      <w:pPr>
        <w:pStyle w:val="5"/>
        <w:ind w:firstLine="640"/>
      </w:pPr>
      <w:r>
        <w:rPr>
          <w:rFonts w:hint="eastAsia"/>
        </w:rPr>
        <w:t>严格落实耕地保护任务</w:t>
      </w:r>
    </w:p>
    <w:p>
      <w:pPr>
        <w:pStyle w:val="17"/>
      </w:pPr>
      <w:r>
        <w:rPr>
          <w:rFonts w:hint="eastAsia"/>
        </w:rPr>
        <w:t>采取“长牙齿”的硬措施，实施最严格的耕地保护制度，强化耕地数量、质量、生态“三位一体”保护。建立县、乡、村、组、户五级耕地保护责任体系，层层分解保护责任。</w:t>
      </w:r>
    </w:p>
    <w:p>
      <w:pPr>
        <w:pStyle w:val="17"/>
      </w:pPr>
      <w:r>
        <w:rPr>
          <w:rFonts w:hint="eastAsia"/>
        </w:rPr>
        <w:t>明确永久基本农田和一般耕地利用优先序，严格落实永久基本农田特殊保护制度，严格管控一般耕地转为其他农用地，严格落实建设占用耕地占补平衡制度和耕地转为其他农用地年度“进出平衡”制度，通过多种手段坚决制止耕地“非农化”，防止耕地“非粮化”。</w:t>
      </w:r>
    </w:p>
    <w:p>
      <w:pPr>
        <w:pStyle w:val="5"/>
        <w:ind w:firstLine="640"/>
      </w:pPr>
      <w:r>
        <w:rPr>
          <w:rFonts w:hint="eastAsia"/>
        </w:rPr>
        <w:t>稳妥有序恢复耕地</w:t>
      </w:r>
    </w:p>
    <w:p>
      <w:pPr>
        <w:pStyle w:val="17"/>
      </w:pPr>
      <w:r>
        <w:rPr>
          <w:rFonts w:hint="eastAsia"/>
        </w:rPr>
        <w:t>在不破坏生态，不影响林地保有量和森林覆盖率目标的前提下，稳妥有序推进耕地恢复。优先恢复高标准农田建设区和粮食生产功能区范围内及周边园地、林地、坑塘、废弃设施农用地等可恢复地类，实现耕地集中连片发展，确保完成耕地保护任务。</w:t>
      </w:r>
    </w:p>
    <w:p>
      <w:pPr>
        <w:pStyle w:val="5"/>
        <w:ind w:firstLine="640"/>
      </w:pPr>
      <w:r>
        <w:rPr>
          <w:rFonts w:hint="eastAsia"/>
        </w:rPr>
        <w:t>落实耕地占补平衡和进出平衡</w:t>
      </w:r>
    </w:p>
    <w:p>
      <w:pPr>
        <w:pStyle w:val="17"/>
      </w:pPr>
      <w:r>
        <w:rPr>
          <w:rFonts w:hint="eastAsia"/>
        </w:rPr>
        <w:t>各类非农建设选址布局尽量不占或少占耕地，特别是永久基本农田，确需占用的，必须做到补充的耕地“数量相等、质量相当、产能不降”。</w:t>
      </w:r>
    </w:p>
    <w:p>
      <w:pPr>
        <w:pStyle w:val="17"/>
      </w:pPr>
      <w:r>
        <w:rPr>
          <w:rFonts w:hint="eastAsia"/>
        </w:rPr>
        <w:t>严禁通过擅自调整国土空间总体规划规避占用永久基本农田审批。能源、交通、水利、军事设施等重点建设项目选址确实难以避让永久基本农田的，应开展节约集约用地论证分析，编制永久基本农田补划方案，在永久基本农田储备区耕地中补划；涉及农用地转用或者土地征收的，必须经国务院批准。</w:t>
      </w:r>
    </w:p>
    <w:p>
      <w:pPr>
        <w:pStyle w:val="17"/>
      </w:pPr>
      <w:r>
        <w:rPr>
          <w:rFonts w:hint="eastAsia"/>
        </w:rPr>
        <w:t>严格落实耕地占补平衡责任，优化补充耕地途径。将农用地整治、农村建设用地整治以及宜耕后备资源开发等形成的新增耕地，纳入新增耕地指标库管理，作为补充耕地来源。</w:t>
      </w:r>
    </w:p>
    <w:p>
      <w:pPr>
        <w:pStyle w:val="5"/>
        <w:ind w:firstLine="640"/>
      </w:pPr>
      <w:r>
        <w:rPr>
          <w:rFonts w:hint="eastAsia"/>
        </w:rPr>
        <w:t>加强永久基本农田储备区建设和管理</w:t>
      </w:r>
    </w:p>
    <w:p>
      <w:pPr>
        <w:pStyle w:val="17"/>
      </w:pPr>
      <w:r>
        <w:rPr>
          <w:rFonts w:hint="eastAsia"/>
        </w:rPr>
        <w:t>严格执行永久基本农田特殊管护政策，推进永久基本农田补建结合。将通过高标准农田建设、土地综合整治等途径形成的优质耕地以及永久基本农田外符合相关要求的稳定耕地，划入永久基本农田储备库。</w:t>
      </w:r>
    </w:p>
    <w:p>
      <w:pPr>
        <w:pStyle w:val="5"/>
        <w:ind w:firstLine="640"/>
      </w:pPr>
      <w:r>
        <w:rPr>
          <w:rFonts w:hint="eastAsia"/>
        </w:rPr>
        <w:t>明确耕地用途管控</w:t>
      </w:r>
    </w:p>
    <w:p>
      <w:pPr>
        <w:pStyle w:val="17"/>
      </w:pPr>
      <w:r>
        <w:rPr>
          <w:rFonts w:hint="eastAsia"/>
        </w:rPr>
        <w:t>严格管控永久基本农田占用与补划。永久基本农田经依法划定后，任何单位和个人不得擅自占用或者改变其用途。永久基本农田不得转为林地、草地、园地等其他农用地及农业设施建设用地。严禁占用永久基本农田发展林果业和挖塘养鱼；严禁占用永久基本农田种植苗木、草皮等用于绿化装饰以及其他破坏耕作层的植物；严禁占用永久基本农田挖湖造景、建设绿化带；严禁新增占用永久基本农田建设畜禽养殖设施、水产养殖设施和破坏耕作层的种植业设施。</w:t>
      </w:r>
    </w:p>
    <w:p>
      <w:pPr>
        <w:pStyle w:val="17"/>
      </w:pPr>
      <w:r>
        <w:rPr>
          <w:rFonts w:hint="eastAsia"/>
        </w:rPr>
        <w:t>严格管控一般耕地转为其他农用地，以“零容忍”态度坚决遏制耕地“非农化”、严格管控“非粮化”，从严查处各类新增违法违规占用耕地或改变耕地用途行为，对有令不行、有禁不止、失职渎职的，严肃追责问责。</w:t>
      </w:r>
    </w:p>
    <w:p>
      <w:pPr>
        <w:pStyle w:val="5"/>
        <w:ind w:firstLine="640"/>
      </w:pPr>
      <w:r>
        <w:rPr>
          <w:rFonts w:hint="eastAsia"/>
        </w:rPr>
        <w:t>加强耕地质量提升</w:t>
      </w:r>
    </w:p>
    <w:p>
      <w:pPr>
        <w:pStyle w:val="17"/>
      </w:pPr>
      <w:r>
        <w:rPr>
          <w:rFonts w:hint="eastAsia"/>
        </w:rPr>
        <w:t>加强耕地保护与质量提升，加大中低产田改造力度，提升耕地质量。综合运用经济、技术、财政等手段，大力开展水土流失综合整治工程建设，推广节水抗旱技术，开展农田连片整治、土壤培肥改良、高效节水灌溉、退化耕地综合治理、污染耕地阻控修复等重大工程。</w:t>
      </w:r>
    </w:p>
    <w:p>
      <w:pPr>
        <w:pStyle w:val="5"/>
        <w:ind w:firstLine="640"/>
      </w:pPr>
      <w:r>
        <w:rPr>
          <w:rFonts w:hint="eastAsia"/>
        </w:rPr>
        <w:t>推进高标准农田建设</w:t>
      </w:r>
    </w:p>
    <w:p>
      <w:pPr>
        <w:pStyle w:val="17"/>
      </w:pPr>
      <w:r>
        <w:rPr>
          <w:rFonts w:hint="eastAsia"/>
        </w:rPr>
        <w:t>加快高标准农田建设，进一步提高耕地质量和产能，改善土地生态环境。统筹落实好各乡（镇）耕地数量、质量、布局和保护任务的协调统一，逐级分解高标准农田建设任务，统一建设标准、统一上图入库、统一监管考核。</w:t>
      </w:r>
    </w:p>
    <w:p>
      <w:pPr>
        <w:pStyle w:val="4"/>
        <w:numPr>
          <w:ilvl w:val="0"/>
          <w:numId w:val="9"/>
        </w:numPr>
        <w:rPr>
          <w:rFonts w:hint="eastAsia"/>
        </w:rPr>
      </w:pPr>
      <w:bookmarkStart w:id="36" w:name="_Toc178172823"/>
      <w:bookmarkStart w:id="37" w:name="_Toc56107874"/>
      <w:bookmarkStart w:id="38" w:name="_Toc71530130"/>
      <w:r>
        <w:rPr>
          <w:rFonts w:hint="eastAsia"/>
        </w:rPr>
        <w:t>优化农业生产结构，构建农业空间格局</w:t>
      </w:r>
      <w:bookmarkEnd w:id="36"/>
    </w:p>
    <w:p>
      <w:pPr>
        <w:pStyle w:val="5"/>
        <w:ind w:firstLine="640"/>
      </w:pPr>
      <w:r>
        <w:rPr>
          <w:rFonts w:hint="eastAsia"/>
        </w:rPr>
        <w:t>打造“一带、两区、多园”的农业空间格局</w:t>
      </w:r>
      <w:r>
        <w:t xml:space="preserve"> </w:t>
      </w:r>
    </w:p>
    <w:p>
      <w:pPr>
        <w:pStyle w:val="17"/>
      </w:pPr>
      <w:r>
        <w:rPr>
          <w:rFonts w:hint="eastAsia"/>
        </w:rPr>
        <w:t>一带：利用区位优势建设宜农宜游宜学品质体验高地，加大科普展示、红色文化、采摘康养等功能植入，促进农业产业园区与乡村协同发展，</w:t>
      </w:r>
      <w:bookmarkStart w:id="39" w:name="_Hlk162189882"/>
      <w:r>
        <w:rPr>
          <w:rFonts w:hint="eastAsia"/>
        </w:rPr>
        <w:t>沿S229打造</w:t>
      </w:r>
      <w:bookmarkEnd w:id="39"/>
      <w:r>
        <w:rPr>
          <w:rFonts w:hint="eastAsia"/>
        </w:rPr>
        <w:t>乡村振兴品质生活典范带。</w:t>
      </w:r>
    </w:p>
    <w:p>
      <w:pPr>
        <w:pStyle w:val="17"/>
      </w:pPr>
      <w:r>
        <w:rPr>
          <w:rFonts w:hint="eastAsia"/>
        </w:rPr>
        <w:t>两区：西部依托中原农谷创建国家农业高新技术产业示范区。东部依托优质绿色农产品核心供应基地打造环新乡市中心城区都市生态绿色农业示范区。</w:t>
      </w:r>
    </w:p>
    <w:p>
      <w:pPr>
        <w:pStyle w:val="17"/>
      </w:pPr>
      <w:r>
        <w:rPr>
          <w:rFonts w:hint="eastAsia"/>
        </w:rPr>
        <w:t>多园：</w:t>
      </w:r>
      <w:bookmarkStart w:id="40" w:name="_Hlk162189891"/>
      <w:r>
        <w:rPr>
          <w:rFonts w:hint="eastAsia"/>
        </w:rPr>
        <w:t>龙泉源高效农业园、新美家家庭农场、国秀生态园、康庄村鸿康樱桃园、七里营镇双孢菇示范园等现代农业产业园。</w:t>
      </w:r>
      <w:bookmarkEnd w:id="40"/>
    </w:p>
    <w:p>
      <w:pPr>
        <w:pStyle w:val="4"/>
        <w:numPr>
          <w:ilvl w:val="0"/>
          <w:numId w:val="9"/>
        </w:numPr>
        <w:rPr>
          <w:rFonts w:hint="eastAsia"/>
        </w:rPr>
      </w:pPr>
      <w:bookmarkStart w:id="41" w:name="_Toc178172824"/>
      <w:r>
        <w:rPr>
          <w:rFonts w:hint="eastAsia"/>
        </w:rPr>
        <w:t>布局特色农产品，建设供给保障基地</w:t>
      </w:r>
      <w:bookmarkEnd w:id="41"/>
    </w:p>
    <w:p>
      <w:pPr>
        <w:pStyle w:val="5"/>
        <w:ind w:firstLine="640"/>
      </w:pPr>
      <w:r>
        <w:t>特色农产品优势区布局</w:t>
      </w:r>
    </w:p>
    <w:p>
      <w:pPr>
        <w:pStyle w:val="17"/>
      </w:pPr>
      <w:bookmarkStart w:id="42" w:name="_Hlk152753156"/>
      <w:r>
        <w:rPr>
          <w:rFonts w:hint="eastAsia"/>
        </w:rPr>
        <w:t>以西荆楼冬桃、王府庄提子、西马吊瓜、后高村综合小田园、高村苗木、都富村水果玉米、康庄樱桃等为主，打造美丽乡村和特色农业镇。</w:t>
      </w:r>
    </w:p>
    <w:bookmarkEnd w:id="42"/>
    <w:p>
      <w:pPr>
        <w:pStyle w:val="5"/>
        <w:ind w:firstLine="640"/>
      </w:pPr>
      <w:r>
        <w:rPr>
          <w:rFonts w:hint="eastAsia"/>
        </w:rPr>
        <w:t>农业基地及特色园区建设</w:t>
      </w:r>
    </w:p>
    <w:p>
      <w:pPr>
        <w:pStyle w:val="17"/>
      </w:pPr>
      <w:r>
        <w:rPr>
          <w:rFonts w:hint="eastAsia"/>
        </w:rPr>
        <w:t>依托中国农科院新乡试验基地、国家现代农业科技展示基地和中国农大张福锁院士科技小院，创建高水平的农业高新技术产业示范区。</w:t>
      </w:r>
    </w:p>
    <w:p>
      <w:pPr>
        <w:pStyle w:val="17"/>
      </w:pPr>
      <w:r>
        <w:rPr>
          <w:rFonts w:hint="eastAsia"/>
        </w:rPr>
        <w:t>以新乡心连心科技小院为重点，开展农业科普，打造以测土配方施肥、高产栽培、病虫草害防治等农业技术为载体的集科研、教学、示范推广于一体的“三农”服务平台。</w:t>
      </w:r>
    </w:p>
    <w:p>
      <w:pPr>
        <w:pStyle w:val="5"/>
        <w:ind w:firstLine="640"/>
      </w:pPr>
      <w:r>
        <w:rPr>
          <w:rFonts w:hint="eastAsia"/>
        </w:rPr>
        <w:t>都市农产品供给保障基地建设</w:t>
      </w:r>
    </w:p>
    <w:p>
      <w:pPr>
        <w:pStyle w:val="17"/>
      </w:pPr>
      <w:r>
        <w:rPr>
          <w:rFonts w:hint="eastAsia"/>
        </w:rPr>
        <w:t>依托环新乡都市农业区地理优势加快都市农产品供给保障基地建设。</w:t>
      </w:r>
    </w:p>
    <w:p>
      <w:pPr>
        <w:pStyle w:val="17"/>
      </w:pPr>
      <w:r>
        <w:rPr>
          <w:rFonts w:hint="eastAsia"/>
        </w:rPr>
        <w:t>合理规划畜禽养殖布局，加快建设一批规模化畜禽养殖场，全面推广“猪、沼、菜”“鸡、沼、鱼”等畜禽养殖业粪便综合利用和处理模式。</w:t>
      </w:r>
    </w:p>
    <w:p>
      <w:pPr>
        <w:pStyle w:val="4"/>
        <w:numPr>
          <w:ilvl w:val="0"/>
          <w:numId w:val="9"/>
        </w:numPr>
        <w:rPr>
          <w:rFonts w:hint="eastAsia"/>
        </w:rPr>
      </w:pPr>
      <w:bookmarkStart w:id="43" w:name="_Toc178172825"/>
      <w:r>
        <w:rPr>
          <w:rFonts w:hint="eastAsia"/>
        </w:rPr>
        <w:t>分类引导乡村，支持乡村振兴发展</w:t>
      </w:r>
      <w:bookmarkEnd w:id="37"/>
      <w:bookmarkEnd w:id="38"/>
      <w:bookmarkEnd w:id="43"/>
    </w:p>
    <w:p>
      <w:pPr>
        <w:pStyle w:val="5"/>
        <w:ind w:firstLine="640"/>
      </w:pPr>
      <w:r>
        <w:rPr>
          <w:rFonts w:hint="eastAsia"/>
        </w:rPr>
        <w:t>城乡统筹发展战略</w:t>
      </w:r>
    </w:p>
    <w:p>
      <w:pPr>
        <w:pStyle w:val="17"/>
      </w:pPr>
      <w:r>
        <w:rPr>
          <w:rFonts w:hint="eastAsia"/>
        </w:rPr>
        <w:t>坚持农业农村优先发展、城乡融合发展、人与自然和谐发展以及创新开放发展，促进一二三产融合，推动乡村产业、人才、文化、生态和组织全面振兴，实现繁荣乡村、美丽乡村、人文乡村、善治乡村与共富乡村，将新乡县乡村建设成为现代都市农业发展标杆、城乡高质量融合发展典范。</w:t>
      </w:r>
    </w:p>
    <w:p>
      <w:pPr>
        <w:pStyle w:val="5"/>
        <w:ind w:firstLine="640"/>
      </w:pPr>
      <w:r>
        <w:t>因地制宜优化乡村空间</w:t>
      </w:r>
    </w:p>
    <w:p>
      <w:pPr>
        <w:pStyle w:val="17"/>
      </w:pPr>
      <w:r>
        <w:rPr>
          <w:rFonts w:hint="eastAsia"/>
        </w:rPr>
        <w:t>统筹划定村庄建设边界。在乡（镇）国土空间规划中统筹划定村庄建设边界，村庄建设用地总规模原则上不增加。</w:t>
      </w:r>
    </w:p>
    <w:p>
      <w:pPr>
        <w:pStyle w:val="17"/>
      </w:pPr>
      <w:r>
        <w:rPr>
          <w:rFonts w:hint="eastAsia"/>
        </w:rPr>
        <w:t xml:space="preserve">强化乡村建设管控引导。框定总量、严控增量、优先使用存量、适当利用流量。通过农村建设用地增减挂钩、全域综合整治等方式节余的流量指标，可在不占用永久基本农田和生态保护红线、不突破国土空间规划建设用地指标等约束条件、不破坏生态环境和乡村风貌的前提下，在村庄建设边界外安排少量建设用地，保障利用农村本地资源开展农产品初加工、发展休闲观光旅游而必须的配套设施建设的项目用地。 </w:t>
      </w:r>
    </w:p>
    <w:p>
      <w:pPr>
        <w:pStyle w:val="17"/>
      </w:pPr>
      <w:r>
        <w:rPr>
          <w:rFonts w:hint="eastAsia"/>
        </w:rPr>
        <w:t>因地制宜优化乡村空间。按照“城市品质、乡村味道”的标准，高水平编制“多规合一”的实用性村庄规划和通则式村庄规划，统筹乡村基础设施和公共服务布局。</w:t>
      </w:r>
    </w:p>
    <w:p>
      <w:pPr>
        <w:pStyle w:val="17"/>
      </w:pPr>
      <w:r>
        <w:rPr>
          <w:rFonts w:hint="eastAsia"/>
        </w:rPr>
        <w:t>保障乡村合理产业发展用地。在村庄建设边界外实行正面清单管理，将农产品初加工、观光旅游必须的配套等列入建设清单，安排少量建设用地。因地制宜合理安排产业配套的公共服务设施、基础设施，有效保障农村产业融合发展用地需要。</w:t>
      </w:r>
    </w:p>
    <w:p>
      <w:pPr>
        <w:pStyle w:val="5"/>
        <w:ind w:firstLine="640"/>
      </w:pPr>
      <w:r>
        <w:rPr>
          <w:rFonts w:hint="eastAsia"/>
        </w:rPr>
        <w:t>优化乡村布局，分类引导乡村发展</w:t>
      </w:r>
    </w:p>
    <w:p>
      <w:pPr>
        <w:pStyle w:val="17"/>
      </w:pPr>
      <w:r>
        <w:rPr>
          <w:rFonts w:hint="eastAsia"/>
        </w:rPr>
        <w:t>根据村庄发展基础和资源禀赋，划分集聚提升类村庄，城郊融合类村庄，特色保护类村庄，搬迁撤并类村，整治改善类村庄。</w:t>
      </w:r>
    </w:p>
    <w:p>
      <w:pPr>
        <w:pStyle w:val="17"/>
      </w:pPr>
      <w:r>
        <w:rPr>
          <w:rFonts w:hint="eastAsia"/>
        </w:rPr>
        <w:t>按照村庄分类，对风貌指引、配套设施、环境整治、产业发展提出对应的指引措施，促进乡村振兴。</w:t>
      </w:r>
    </w:p>
    <w:p>
      <w:pPr>
        <w:pStyle w:val="5"/>
        <w:ind w:firstLine="640"/>
      </w:pPr>
      <w:r>
        <w:rPr>
          <w:rFonts w:hint="eastAsia"/>
        </w:rPr>
        <w:t>加强农村人居环境整治，提升农村生活品质</w:t>
      </w:r>
    </w:p>
    <w:p>
      <w:pPr>
        <w:pStyle w:val="17"/>
      </w:pPr>
      <w:r>
        <w:rPr>
          <w:rFonts w:hint="eastAsia"/>
        </w:rPr>
        <w:t>保护传统风貌和自然生态环境，延续村落与自然和谐共生的整体空间格局。推动村容村貌整体提升，改善村庄公共环境。推进乡村绿化美化，突出保护乡村田园、河渠、原生植被、古树名木等，加强农田防护林建设和修复。加强乡村风貌引导，细化农村住宅建筑高度管控要求，突出乡土特色和地域特点，不搞千村一面，不搞大拆大建。</w:t>
      </w:r>
    </w:p>
    <w:p>
      <w:pPr>
        <w:pStyle w:val="17"/>
      </w:pPr>
      <w:r>
        <w:rPr>
          <w:rFonts w:hint="eastAsia"/>
        </w:rPr>
        <w:t>合理配置乡村教育、医疗、商业服务等设施网点。推进乡村地区“三通一入地”建设，分区分类推进农村生活污水治理，重点整治水源保护区和城乡结合部、乡（镇）政府驻地、集聚提升类村庄等人口居住集中区域农村生活污水。加强村庄河塘沟渠水环境保护与治理。健全生活垃圾收运处置体系，推进农村生活垃圾分类减量与利用。普及农村卫生厕所，加强厕所粪污无害化处理与资源化利用。</w:t>
      </w:r>
    </w:p>
    <w:p>
      <w:pPr>
        <w:pStyle w:val="4"/>
        <w:numPr>
          <w:ilvl w:val="0"/>
          <w:numId w:val="9"/>
        </w:numPr>
        <w:rPr>
          <w:rFonts w:hint="eastAsia"/>
        </w:rPr>
      </w:pPr>
      <w:bookmarkStart w:id="44" w:name="_Toc56107906"/>
      <w:bookmarkStart w:id="45" w:name="_Toc71530156"/>
      <w:bookmarkStart w:id="46" w:name="_Toc178172826"/>
      <w:r>
        <w:rPr>
          <w:rFonts w:hint="eastAsia"/>
        </w:rPr>
        <w:t>推进国土综合整治</w:t>
      </w:r>
      <w:bookmarkEnd w:id="44"/>
      <w:bookmarkEnd w:id="45"/>
      <w:r>
        <w:rPr>
          <w:rFonts w:hint="eastAsia"/>
        </w:rPr>
        <w:t>，保障重点项目空间</w:t>
      </w:r>
      <w:bookmarkEnd w:id="46"/>
    </w:p>
    <w:p>
      <w:pPr>
        <w:pStyle w:val="5"/>
        <w:ind w:firstLine="640"/>
      </w:pPr>
      <w:r>
        <w:rPr>
          <w:rFonts w:hint="eastAsia"/>
        </w:rPr>
        <w:t>合理测算国土综合整治潜力，科学划分整治分区</w:t>
      </w:r>
    </w:p>
    <w:p>
      <w:pPr>
        <w:pStyle w:val="17"/>
      </w:pPr>
      <w:bookmarkStart w:id="47" w:name="_Hlk77170796"/>
      <w:r>
        <w:rPr>
          <w:rFonts w:hint="eastAsia"/>
        </w:rPr>
        <w:t>1.农用地整治</w:t>
      </w:r>
    </w:p>
    <w:p>
      <w:pPr>
        <w:pStyle w:val="17"/>
      </w:pPr>
      <w:r>
        <w:rPr>
          <w:rFonts w:hint="eastAsia"/>
        </w:rPr>
        <w:t>推进农用地整治优化。统筹推进低效园地整理、高标准农田建设工程、现有耕地提质改造，在确保耕地数量有增加、质量有提升、生态有改善的前提下，完善农田基础设施条件，提升耕地质量和连片度，优化耕地和永久基本农田布局。</w:t>
      </w:r>
    </w:p>
    <w:p>
      <w:pPr>
        <w:pStyle w:val="17"/>
      </w:pPr>
      <w:r>
        <w:rPr>
          <w:rFonts w:hint="eastAsia"/>
        </w:rPr>
        <w:t>2.农村建设用地综合整治</w:t>
      </w:r>
    </w:p>
    <w:p>
      <w:pPr>
        <w:pStyle w:val="17"/>
      </w:pPr>
      <w:r>
        <w:rPr>
          <w:rFonts w:hint="eastAsia"/>
        </w:rPr>
        <w:t>规范有序推进农村建设用地整治。加强基础设施建设，完善农村道路、水电及生活垃圾和污水处理、休闲绿地、防护林带等基础设施，改善农村人居环境，改变农村脏、乱、差面貌。整治后结余的建设用地指标，优先用于县域基础设施、公共服务设施和新产业新业态发展用地，所得净收益用于乡村振兴。</w:t>
      </w:r>
    </w:p>
    <w:p>
      <w:pPr>
        <w:pStyle w:val="17"/>
      </w:pPr>
      <w:r>
        <w:rPr>
          <w:rFonts w:hint="eastAsia"/>
        </w:rPr>
        <w:t>3.乡村综合整治</w:t>
      </w:r>
    </w:p>
    <w:p>
      <w:pPr>
        <w:pStyle w:val="17"/>
      </w:pPr>
      <w:r>
        <w:rPr>
          <w:rFonts w:hint="eastAsia"/>
        </w:rPr>
        <w:t>统筹推进农村建设用地整治，有效盘活存量建设用地和农村闲置资产资源，支持农村新产业新业态发展用地，大力推进城乡建设用地增减挂钩试点项目。</w:t>
      </w:r>
    </w:p>
    <w:p>
      <w:pPr>
        <w:pStyle w:val="17"/>
      </w:pPr>
      <w:r>
        <w:rPr>
          <w:rFonts w:hint="eastAsia"/>
        </w:rPr>
        <w:t>加大力度开展增减挂钩项目，将农村危房老房、低效建设用地以及交通不便零散分布的宅基地作为拆旧区复垦为耕地</w:t>
      </w:r>
      <w:r>
        <w:t>。</w:t>
      </w:r>
    </w:p>
    <w:bookmarkEnd w:id="47"/>
    <w:p>
      <w:pPr>
        <w:pStyle w:val="5"/>
        <w:ind w:firstLine="640"/>
      </w:pPr>
      <w:r>
        <w:rPr>
          <w:rFonts w:hint="eastAsia"/>
        </w:rPr>
        <w:t>明确国土综合整治重点区域</w:t>
      </w:r>
    </w:p>
    <w:p>
      <w:pPr>
        <w:pStyle w:val="17"/>
      </w:pPr>
      <w:r>
        <w:rPr>
          <w:rFonts w:hint="eastAsia"/>
        </w:rPr>
        <w:t>实施全域土地综合整治，推进闲置浪费、低效利用建设用地整治，统筹推进生态环境整治修复。</w:t>
      </w:r>
    </w:p>
    <w:p>
      <w:pPr>
        <w:pStyle w:val="17"/>
      </w:pPr>
      <w:r>
        <w:rPr>
          <w:rFonts w:hint="eastAsia"/>
        </w:rPr>
        <w:t>推动其他农用地整理、农村建设用地复垦、耕地后备资源开发等国土综合整治工程。</w:t>
      </w:r>
    </w:p>
    <w:p>
      <w:pPr>
        <w:widowControl/>
        <w:jc w:val="left"/>
        <w:rPr>
          <w:rFonts w:ascii="Times New Roman" w:hAnsi="Times New Roman" w:eastAsia="仿宋_GB2312" w:cs="Times New Roman"/>
          <w:sz w:val="32"/>
          <w:szCs w:val="32"/>
        </w:rPr>
      </w:pPr>
      <w:r>
        <w:br w:type="page"/>
      </w:r>
    </w:p>
    <w:p>
      <w:pPr>
        <w:widowControl/>
        <w:jc w:val="left"/>
        <w:rPr>
          <w:rFonts w:ascii="仿宋_GB2312" w:hAnsi="Times New Roman" w:eastAsia="仿宋_GB2312" w:cs="Times New Roman"/>
          <w:sz w:val="32"/>
          <w:szCs w:val="32"/>
        </w:rPr>
      </w:pPr>
    </w:p>
    <w:p>
      <w:pPr>
        <w:pStyle w:val="2"/>
        <w:rPr>
          <w:rFonts w:hint="eastAsia"/>
        </w:rPr>
      </w:pPr>
      <w:bookmarkStart w:id="48" w:name="_Toc178172827"/>
      <w:r>
        <w:rPr>
          <w:rFonts w:hint="eastAsia"/>
        </w:rPr>
        <w:t>强化资源环境底线约束，推进生态优先绿色发展</w:t>
      </w:r>
      <w:bookmarkEnd w:id="48"/>
    </w:p>
    <w:p>
      <w:pPr>
        <w:pStyle w:val="4"/>
        <w:numPr>
          <w:ilvl w:val="0"/>
          <w:numId w:val="10"/>
        </w:numPr>
        <w:rPr>
          <w:rFonts w:hint="eastAsia"/>
        </w:rPr>
      </w:pPr>
      <w:bookmarkStart w:id="49" w:name="_Toc82989167"/>
      <w:bookmarkEnd w:id="49"/>
      <w:bookmarkStart w:id="50" w:name="_Toc82989170"/>
      <w:bookmarkEnd w:id="50"/>
      <w:bookmarkStart w:id="51" w:name="_Toc82989171"/>
      <w:bookmarkEnd w:id="51"/>
      <w:bookmarkStart w:id="52" w:name="_Toc82989168"/>
      <w:bookmarkEnd w:id="52"/>
      <w:bookmarkStart w:id="53" w:name="_Toc82989172"/>
      <w:bookmarkEnd w:id="53"/>
      <w:bookmarkStart w:id="54" w:name="_Toc82989169"/>
      <w:bookmarkEnd w:id="54"/>
      <w:bookmarkStart w:id="55" w:name="_Toc178172828"/>
      <w:bookmarkStart w:id="56" w:name="_Toc71530125"/>
      <w:bookmarkStart w:id="57" w:name="_Toc82989173"/>
      <w:bookmarkStart w:id="58" w:name="_Toc56107868"/>
      <w:bookmarkStart w:id="59" w:name="_Toc82989198"/>
      <w:r>
        <w:rPr>
          <w:rFonts w:hint="eastAsia"/>
        </w:rPr>
        <w:t>生态保护空间格局</w:t>
      </w:r>
      <w:bookmarkEnd w:id="55"/>
    </w:p>
    <w:p>
      <w:pPr>
        <w:pStyle w:val="5"/>
        <w:ind w:firstLine="640"/>
      </w:pPr>
      <w:r>
        <w:rPr>
          <w:rFonts w:hint="eastAsia"/>
        </w:rPr>
        <w:t>构建林水相依、安全韧性的生态空间格局</w:t>
      </w:r>
    </w:p>
    <w:p>
      <w:pPr>
        <w:pStyle w:val="17"/>
      </w:pPr>
      <w:r>
        <w:rPr>
          <w:rFonts w:hint="eastAsia"/>
        </w:rPr>
        <w:t>构建卫共生态廊道、西孟姜女生态廊道、人民胜利渠生态廊道、东孟姜女生态廊道4条蓝绿交织、功能复合的生态带。结合骨架交通林网建设，构建京广铁路、S101（老G107）、京广高铁、郑新快速路、长修高速5条纵横交错的防护性的生态廊道，</w:t>
      </w:r>
      <w:bookmarkStart w:id="60" w:name="_Hlk162190008"/>
      <w:r>
        <w:rPr>
          <w:rFonts w:hint="eastAsia"/>
        </w:rPr>
        <w:t>形成“四带五廊”的生态空间格局。</w:t>
      </w:r>
      <w:bookmarkEnd w:id="60"/>
    </w:p>
    <w:p>
      <w:pPr>
        <w:pStyle w:val="17"/>
      </w:pPr>
      <w:r>
        <w:rPr>
          <w:rFonts w:hint="eastAsia"/>
        </w:rPr>
        <w:t>以流域视角推进境内东孟姜女河、西孟姜女河、卫河、共产主义渠等水系治理，加强境内河道沟渠的纵向贯通，强化水系之间的互连互通，增强区域行洪能力，提高洪涝灾害的抵抗能力。加快卫共湿地的建设，增强卫河上游调蓄功能，降低下游城市洪涝灾害的风险。</w:t>
      </w:r>
    </w:p>
    <w:p>
      <w:pPr>
        <w:pStyle w:val="4"/>
        <w:numPr>
          <w:ilvl w:val="0"/>
          <w:numId w:val="10"/>
        </w:numPr>
        <w:rPr>
          <w:rFonts w:hint="eastAsia"/>
        </w:rPr>
      </w:pPr>
      <w:bookmarkStart w:id="61" w:name="_Toc178172829"/>
      <w:r>
        <w:rPr>
          <w:rFonts w:hint="eastAsia"/>
        </w:rPr>
        <w:t>国土空间生态修复</w:t>
      </w:r>
      <w:bookmarkEnd w:id="61"/>
    </w:p>
    <w:bookmarkEnd w:id="33"/>
    <w:bookmarkEnd w:id="34"/>
    <w:bookmarkEnd w:id="56"/>
    <w:bookmarkEnd w:id="57"/>
    <w:bookmarkEnd w:id="58"/>
    <w:bookmarkEnd w:id="59"/>
    <w:p>
      <w:pPr>
        <w:pStyle w:val="5"/>
        <w:ind w:firstLine="640"/>
      </w:pPr>
      <w:bookmarkStart w:id="62" w:name="_Toc71530139"/>
      <w:bookmarkStart w:id="63" w:name="_Toc56107886"/>
      <w:bookmarkStart w:id="64" w:name="_Toc56107896"/>
      <w:bookmarkStart w:id="65" w:name="_Toc56107873"/>
      <w:bookmarkStart w:id="66" w:name="_Toc71530135"/>
      <w:bookmarkStart w:id="67" w:name="_Toc82989209"/>
      <w:bookmarkStart w:id="68" w:name="_Toc71530144"/>
      <w:r>
        <w:rPr>
          <w:rFonts w:hint="eastAsia"/>
        </w:rPr>
        <w:t>国土空间绿化及生态修复</w:t>
      </w:r>
    </w:p>
    <w:p>
      <w:pPr>
        <w:pStyle w:val="17"/>
      </w:pPr>
      <w:bookmarkStart w:id="69" w:name="_Hlk162190682"/>
      <w:r>
        <w:rPr>
          <w:rFonts w:hint="eastAsia"/>
        </w:rPr>
        <w:t xml:space="preserve">按照标准对国省道及高速路两侧绿化进一步完善和提升。同时，采取退化林地的修复治理工程，逐步恢复河渠堤岸地区等乡镇自然生态系统功能。对具有较好自然景观、历史文化底蕴、古村落古建筑等资源优势的村庄，推动国土空间综合整治，建设生态宜居型特色村落，拓展观光农业、生态康养、特色村落等乡村旅游新业态。规划到 </w:t>
      </w:r>
      <w:r>
        <w:t>2035</w:t>
      </w:r>
      <w:r>
        <w:rPr>
          <w:rFonts w:hint="eastAsia"/>
        </w:rPr>
        <w:t>年，农田林网防护林建设工程、生态廊道网络建设工程等工程取得重大进展，形成带、片、网结合，结构合理的林业生态体系。</w:t>
      </w:r>
    </w:p>
    <w:bookmarkEnd w:id="69"/>
    <w:p>
      <w:pPr>
        <w:pStyle w:val="17"/>
      </w:pPr>
      <w:bookmarkStart w:id="70" w:name="_Hlk162190935"/>
      <w:r>
        <w:rPr>
          <w:rFonts w:hint="eastAsia"/>
        </w:rPr>
        <w:t>1</w:t>
      </w:r>
      <w:r>
        <w:t>.</w:t>
      </w:r>
      <w:r>
        <w:rPr>
          <w:rFonts w:hint="eastAsia"/>
        </w:rPr>
        <w:t>湿地生态修复区，主要位于卫河合河水利枢纽地区，加快推进卫共公园建设，通过水生植物栽植、植被恢复、野生动物栖息地营造、自然岸线构建、生态补水等措施，增强湿地生态功能，丰富生物多样性，助力“水美新乡”建设。</w:t>
      </w:r>
    </w:p>
    <w:p>
      <w:pPr>
        <w:pStyle w:val="17"/>
      </w:pPr>
      <w:r>
        <w:rPr>
          <w:rFonts w:hint="eastAsia"/>
        </w:rPr>
        <w:t>2</w:t>
      </w:r>
      <w:r>
        <w:t>.</w:t>
      </w:r>
      <w:r>
        <w:rPr>
          <w:rFonts w:hint="eastAsia"/>
        </w:rPr>
        <w:t>森林生态修复区，加快京港澳高速、菏宝高速以及S101（老G107）、G234、洪蒋线等道路沿线的造林绿化，结合河道综合整治，以县管河渠为重点，实施河渠绿化，优化树种配置，实现铁路、公路、河道两旁适宜绿化地段绿化。</w:t>
      </w:r>
    </w:p>
    <w:p>
      <w:pPr>
        <w:pStyle w:val="17"/>
      </w:pPr>
      <w:r>
        <w:rPr>
          <w:rFonts w:hint="eastAsia"/>
        </w:rPr>
        <w:t>3.土壤生态修复区。强化受污染耕地安全利用和风险管控，针对合河乡、翟坡镇、小冀镇周边农田实施土壤生态修复，重点阻断重金属镉对周围农田土壤造成的污染和破坏，因地制宜调整种植结构，确保受污染耕地安全利用。</w:t>
      </w:r>
    </w:p>
    <w:bookmarkEnd w:id="70"/>
    <w:p>
      <w:pPr>
        <w:pStyle w:val="5"/>
        <w:ind w:firstLine="640"/>
      </w:pPr>
      <w:r>
        <w:rPr>
          <w:rFonts w:hint="eastAsia"/>
        </w:rPr>
        <w:t>水环境保护修复</w:t>
      </w:r>
    </w:p>
    <w:p>
      <w:pPr>
        <w:pStyle w:val="17"/>
      </w:pPr>
      <w:r>
        <w:rPr>
          <w:rFonts w:hint="eastAsia"/>
        </w:rPr>
        <w:t>加快新乡县卫共公园建设，对卫河、东孟姜女河、西孟姜女河、人民胜利渠、共产主义渠等重要河流干渠的生态功能岸线开展保护修复工程，营造沿河水土保持林和基干防护林带。</w:t>
      </w:r>
    </w:p>
    <w:p>
      <w:pPr>
        <w:pStyle w:val="17"/>
      </w:pPr>
      <w:r>
        <w:rPr>
          <w:rFonts w:hint="eastAsia"/>
        </w:rPr>
        <w:t>坚持“四水同治”，强化河湖长制，开展污染源整治行动，开展卫河、东孟姜女河、西孟姜女河等水环境综合治理工程，全面消除黑臭水体，持续改善流域水环境质量。</w:t>
      </w:r>
    </w:p>
    <w:p>
      <w:pPr>
        <w:pStyle w:val="17"/>
      </w:pPr>
      <w:bookmarkStart w:id="71" w:name="_Hlk162190459"/>
      <w:r>
        <w:rPr>
          <w:rFonts w:hint="eastAsia"/>
        </w:rPr>
        <w:t>至2025年，水土保持率达到99.95%,至20</w:t>
      </w:r>
      <w:r>
        <w:t>3</w:t>
      </w:r>
      <w:r>
        <w:rPr>
          <w:rFonts w:hint="eastAsia"/>
        </w:rPr>
        <w:t>5年，水土保持率达到99.95%。</w:t>
      </w:r>
      <w:bookmarkEnd w:id="71"/>
    </w:p>
    <w:p>
      <w:pPr>
        <w:pStyle w:val="4"/>
        <w:numPr>
          <w:ilvl w:val="0"/>
          <w:numId w:val="10"/>
        </w:numPr>
        <w:rPr>
          <w:rFonts w:hint="eastAsia"/>
        </w:rPr>
      </w:pPr>
      <w:bookmarkStart w:id="72" w:name="_Toc178172830"/>
      <w:r>
        <w:rPr>
          <w:rFonts w:hint="eastAsia"/>
        </w:rPr>
        <w:t>优化能源结构，建设低碳城市</w:t>
      </w:r>
      <w:bookmarkEnd w:id="72"/>
    </w:p>
    <w:p>
      <w:pPr>
        <w:pStyle w:val="5"/>
        <w:ind w:firstLine="640"/>
      </w:pPr>
      <w:r>
        <w:rPr>
          <w:rFonts w:hint="eastAsia"/>
        </w:rPr>
        <w:t>能源消费总量控制与结构优化</w:t>
      </w:r>
    </w:p>
    <w:p>
      <w:pPr>
        <w:pStyle w:val="17"/>
        <w:rPr>
          <w:rFonts w:cs="仿宋"/>
        </w:rPr>
      </w:pPr>
      <w:bookmarkStart w:id="73" w:name="_Hlk162191179"/>
      <w:r>
        <w:rPr>
          <w:rFonts w:hint="eastAsia" w:cs="仿宋"/>
        </w:rPr>
        <w:t>发展多种方式、多种能源相结合的安全清洁供热体系，因地制宜建设集中供热系统。结合城乡发展，中心城区依托工业园区建设分布式能源供热系统，热源以工业余热为主，</w:t>
      </w:r>
      <w:r>
        <w:rPr>
          <w:rFonts w:cs="仿宋"/>
        </w:rPr>
        <w:t>为考虑热源的安全稳定性，规划进行多热源联供。在发展</w:t>
      </w:r>
      <w:r>
        <w:rPr>
          <w:rFonts w:hint="eastAsia" w:cs="仿宋"/>
        </w:rPr>
        <w:t>工业余热</w:t>
      </w:r>
      <w:r>
        <w:rPr>
          <w:rFonts w:cs="仿宋"/>
        </w:rPr>
        <w:t>的同时，也可采用电、燃气等清洁能源来发展中小规模的采暖装置，进一步弥补热源的不足。</w:t>
      </w:r>
    </w:p>
    <w:p>
      <w:pPr>
        <w:spacing w:line="596" w:lineRule="exact"/>
        <w:ind w:firstLine="640" w:firstLineChars="200"/>
        <w:rPr>
          <w:rFonts w:ascii="Times New Roman" w:hAnsi="Times New Roman" w:eastAsia="仿宋_GB2312" w:cs="仿宋"/>
          <w:sz w:val="32"/>
          <w:szCs w:val="32"/>
        </w:rPr>
      </w:pPr>
      <w:r>
        <w:rPr>
          <w:rFonts w:hint="eastAsia" w:ascii="Times New Roman" w:hAnsi="Times New Roman" w:eastAsia="仿宋_GB2312" w:cs="仿宋"/>
          <w:sz w:val="32"/>
          <w:szCs w:val="32"/>
        </w:rPr>
        <w:t>构建现代能源体系。至2035年，持续优化能源结构，减少煤炭消费占比，大幅提高非化石能源消费占比，大力推进清洁能源，碳排放总量达峰后稳中有降，形成清洁低碳、安全高效的能源体系。</w:t>
      </w:r>
    </w:p>
    <w:p>
      <w:pPr>
        <w:pStyle w:val="17"/>
        <w:rPr>
          <w:rFonts w:cs="仿宋"/>
        </w:rPr>
      </w:pPr>
      <w:r>
        <w:rPr>
          <w:rFonts w:hint="eastAsia" w:cs="仿宋"/>
        </w:rPr>
        <w:t>保障能源输配供应能力。拓展能源通道，加大天然气和外电引入，完善电力、油气输配供应网架。加快区域输气管网建设，完善油气输配网络设施体系。持续推进城市燃气管网设施向乡村延伸，推动农村能源结构优化升级。</w:t>
      </w:r>
    </w:p>
    <w:p>
      <w:pPr>
        <w:spacing w:line="596" w:lineRule="exact"/>
        <w:ind w:firstLine="640" w:firstLineChars="200"/>
        <w:rPr>
          <w:rFonts w:ascii="Times New Roman" w:hAnsi="Times New Roman" w:eastAsia="仿宋_GB2312" w:cs="仿宋"/>
          <w:sz w:val="32"/>
          <w:szCs w:val="32"/>
          <w:shd w:val="clear" w:color="auto" w:fill="FFFFFF"/>
        </w:rPr>
      </w:pPr>
      <w:r>
        <w:rPr>
          <w:rFonts w:hint="eastAsia" w:ascii="Times New Roman" w:hAnsi="Times New Roman" w:eastAsia="仿宋_GB2312" w:cs="仿宋"/>
          <w:sz w:val="32"/>
          <w:szCs w:val="32"/>
        </w:rPr>
        <w:t>加快发展非化石能源。推进风电、太阳能、地热能、再生水热能、生物质能等可再生能源应用。构建新型电力系统。加强电力灵活调节能力，推进分布式储能设施建设，推进光伏、风电等分布式可再生能源高效灵活接入及生产消费一体化，建设“源-网-荷-储”协调发展、集成互补的能源物联网。</w:t>
      </w:r>
    </w:p>
    <w:p>
      <w:pPr>
        <w:pStyle w:val="17"/>
      </w:pPr>
      <w:r>
        <w:rPr>
          <w:rFonts w:hint="eastAsia" w:cs="仿宋"/>
        </w:rPr>
        <w:t>持续实施节能降碳增效行动。科学控制煤炭消费总量，加快应用绿色开采和智能化技术，降低煤炭、气开采过程中碳排放。推动重点行业绿色低碳用能，提升建筑综合能效水平，提高油品、天然气利用效率，提升城市集中供热效能，推进新型基础设施节能降碳，在全社会倡导节约用能。提升节能降碳管理能力，完善能源消耗总量和强度调控，重点控制化石能源消费，逐步转向碳排放总量和强度“双控”制度。</w:t>
      </w:r>
      <w:bookmarkEnd w:id="73"/>
    </w:p>
    <w:p>
      <w:pPr>
        <w:pStyle w:val="5"/>
        <w:ind w:firstLine="640"/>
      </w:pPr>
      <w:r>
        <w:rPr>
          <w:rFonts w:hint="eastAsia"/>
        </w:rPr>
        <w:t>生态系统固碳增汇能力建设</w:t>
      </w:r>
    </w:p>
    <w:p>
      <w:pPr>
        <w:pStyle w:val="17"/>
      </w:pPr>
      <w:bookmarkStart w:id="74" w:name="_Hlk162191198"/>
      <w:r>
        <w:rPr>
          <w:rFonts w:hint="eastAsia"/>
        </w:rPr>
        <w:t>实施卫共公园保护工程，恢复湿地生态功能，增强湿地碳汇能力。加强河湖水系、道路、四旁林等林地资源空间挖潜，实施森林经营增汇措施，提升碳汇林的抚育经营和可持续管理水平。</w:t>
      </w:r>
    </w:p>
    <w:p>
      <w:pPr>
        <w:pStyle w:val="17"/>
      </w:pPr>
      <w:r>
        <w:rPr>
          <w:rFonts w:hint="eastAsia"/>
        </w:rPr>
        <w:t>统筹林业资源高质量发展，以碳汇为重点，精准提升林业质量，提高乔木林单位面积蓄积量，增强森林固碳能力。探索建立林业碳汇项目培育、开发机制及监测监管体系，完善相关配套政策。</w:t>
      </w:r>
      <w:bookmarkEnd w:id="74"/>
    </w:p>
    <w:p>
      <w:pPr>
        <w:pStyle w:val="5"/>
        <w:ind w:firstLine="640"/>
      </w:pPr>
      <w:bookmarkStart w:id="75" w:name="_Hlk162191219"/>
      <w:r>
        <w:rPr>
          <w:rFonts w:hint="eastAsia"/>
        </w:rPr>
        <w:t>加快推进发展方式绿色低碳转型，助力实现“双碳”目标</w:t>
      </w:r>
    </w:p>
    <w:p>
      <w:pPr>
        <w:pStyle w:val="17"/>
      </w:pPr>
      <w:r>
        <w:rPr>
          <w:rFonts w:hint="eastAsia"/>
        </w:rPr>
        <w:t>新乡县</w:t>
      </w:r>
      <w:r>
        <w:rPr>
          <w:rFonts w:hint="eastAsia" w:cstheme="minorBidi"/>
        </w:rPr>
        <w:t>将加快推进发展方式绿色低碳转型，</w:t>
      </w:r>
      <w:r>
        <w:rPr>
          <w:rFonts w:hint="eastAsia"/>
        </w:rPr>
        <w:t>统筹产业结构调整、污染治理、生态保护、应对气候变化，协同推进降碳、减污、扩绿、增长，推进生态优先、节约集约、绿色低碳发展，提高可再生能源比例，</w:t>
      </w:r>
      <w:r>
        <w:rPr>
          <w:rFonts w:hint="eastAsia" w:cstheme="minorBidi"/>
        </w:rPr>
        <w:t>积极稳妥推进碳达峰碳中和。</w:t>
      </w:r>
    </w:p>
    <w:bookmarkEnd w:id="75"/>
    <w:p>
      <w:pPr>
        <w:pStyle w:val="5"/>
        <w:ind w:firstLine="640"/>
      </w:pPr>
      <w:r>
        <w:rPr>
          <w:rFonts w:hint="eastAsia"/>
        </w:rPr>
        <w:t>推进水资源节约集约利用，建设节水型城市</w:t>
      </w:r>
    </w:p>
    <w:p>
      <w:pPr>
        <w:pStyle w:val="17"/>
      </w:pPr>
      <w:r>
        <w:rPr>
          <w:rFonts w:hint="eastAsia"/>
        </w:rPr>
        <w:t>实行最严格的水资源管理制度。全面落实水资源消耗总量和强度双控行动。优先保障生活用水安全，坚持农业用新水负增长、工业用新水零增长、生态用水适度增长，优化用水结构。完善水资源管理责任和考核制度，健全水资源监控体系，增强全社会水忧患意识和水资源节约保护意识。</w:t>
      </w:r>
    </w:p>
    <w:p>
      <w:pPr>
        <w:widowControl/>
        <w:jc w:val="left"/>
        <w:rPr>
          <w:rFonts w:ascii="仿宋_GB2312" w:eastAsia="仿宋_GB2312"/>
          <w:szCs w:val="32"/>
        </w:rPr>
      </w:pPr>
      <w:r>
        <w:rPr>
          <w:rFonts w:ascii="仿宋_GB2312" w:eastAsia="仿宋_GB2312"/>
          <w:szCs w:val="32"/>
        </w:rPr>
        <w:br w:type="page"/>
      </w:r>
    </w:p>
    <w:p>
      <w:pPr>
        <w:widowControl/>
        <w:jc w:val="left"/>
        <w:rPr>
          <w:rFonts w:ascii="仿宋_GB2312" w:hAnsi="Times New Roman" w:eastAsia="仿宋_GB2312" w:cs="Times New Roman"/>
          <w:sz w:val="32"/>
          <w:szCs w:val="32"/>
        </w:rPr>
      </w:pPr>
    </w:p>
    <w:p>
      <w:pPr>
        <w:pStyle w:val="2"/>
        <w:rPr>
          <w:rFonts w:hint="eastAsia"/>
        </w:rPr>
      </w:pPr>
      <w:bookmarkStart w:id="76" w:name="_Toc178172831"/>
      <w:bookmarkStart w:id="77" w:name="_Toc71530131"/>
      <w:r>
        <w:rPr>
          <w:rFonts w:hint="eastAsia"/>
        </w:rPr>
        <w:t>统筹协调城镇发展，构筑城镇发展新格局</w:t>
      </w:r>
      <w:bookmarkEnd w:id="76"/>
      <w:bookmarkEnd w:id="77"/>
    </w:p>
    <w:p>
      <w:pPr>
        <w:pStyle w:val="4"/>
        <w:numPr>
          <w:ilvl w:val="0"/>
          <w:numId w:val="11"/>
        </w:numPr>
        <w:rPr>
          <w:rFonts w:hint="eastAsia"/>
        </w:rPr>
      </w:pPr>
      <w:bookmarkStart w:id="78" w:name="_Toc178172832"/>
      <w:r>
        <w:rPr>
          <w:rFonts w:hint="eastAsia"/>
        </w:rPr>
        <w:t>推进新型城镇化</w:t>
      </w:r>
      <w:bookmarkEnd w:id="78"/>
    </w:p>
    <w:p>
      <w:pPr>
        <w:pStyle w:val="5"/>
        <w:ind w:firstLine="640"/>
      </w:pPr>
      <w:r>
        <w:rPr>
          <w:rFonts w:hint="eastAsia"/>
        </w:rPr>
        <w:t>县域人口和城镇化水平预测</w:t>
      </w:r>
    </w:p>
    <w:p>
      <w:pPr>
        <w:pStyle w:val="17"/>
      </w:pPr>
      <w:r>
        <w:rPr>
          <w:rFonts w:hint="eastAsia"/>
        </w:rPr>
        <w:t>至2025年，县域常住人口达到40.00万人，城镇人口</w:t>
      </w:r>
      <w:r>
        <w:t>24.20</w:t>
      </w:r>
      <w:r>
        <w:rPr>
          <w:rFonts w:hint="eastAsia"/>
        </w:rPr>
        <w:t>万人，城镇化率为60.50%。</w:t>
      </w:r>
    </w:p>
    <w:p>
      <w:pPr>
        <w:pStyle w:val="17"/>
      </w:pPr>
      <w:r>
        <w:rPr>
          <w:rFonts w:hint="eastAsia"/>
        </w:rPr>
        <w:t>至2035年，县域常住人口达到45.50万人，城镇人口36.40万人，城镇化率为80.00%。</w:t>
      </w:r>
    </w:p>
    <w:p>
      <w:pPr>
        <w:pStyle w:val="4"/>
        <w:numPr>
          <w:ilvl w:val="0"/>
          <w:numId w:val="11"/>
        </w:numPr>
        <w:rPr>
          <w:rFonts w:hint="eastAsia"/>
        </w:rPr>
      </w:pPr>
      <w:bookmarkStart w:id="79" w:name="_Toc178172833"/>
      <w:r>
        <w:rPr>
          <w:rFonts w:hint="eastAsia"/>
        </w:rPr>
        <w:t>构筑轴带引领、向心集聚的城镇空间格局</w:t>
      </w:r>
      <w:bookmarkEnd w:id="79"/>
    </w:p>
    <w:p>
      <w:pPr>
        <w:pStyle w:val="5"/>
        <w:ind w:firstLine="640"/>
      </w:pPr>
      <w:r>
        <w:rPr>
          <w:rFonts w:hint="eastAsia"/>
        </w:rPr>
        <w:t>城镇体系空间结构</w:t>
      </w:r>
    </w:p>
    <w:p>
      <w:pPr>
        <w:pStyle w:val="17"/>
      </w:pPr>
      <w:r>
        <w:rPr>
          <w:rFonts w:hint="eastAsia"/>
        </w:rPr>
        <w:t>突出新乡县地缘特点，以交通廊道为轴，促进县城、乡（镇）面向市区，向心集聚，形成“一中心、四重点、一特色”的城镇空间结构。</w:t>
      </w:r>
    </w:p>
    <w:p>
      <w:pPr>
        <w:pStyle w:val="17"/>
      </w:pPr>
      <w:r>
        <w:rPr>
          <w:rFonts w:hint="eastAsia"/>
        </w:rPr>
        <w:t>一中心：新乡县中心城区。四重点：大召营镇、朗公庙镇、古固寨镇、翟坡镇。一特色：合河乡。</w:t>
      </w:r>
    </w:p>
    <w:p>
      <w:pPr>
        <w:pStyle w:val="5"/>
        <w:ind w:firstLine="640"/>
      </w:pPr>
      <w:r>
        <w:rPr>
          <w:rFonts w:hint="eastAsia"/>
        </w:rPr>
        <w:t>城镇规模等级体系</w:t>
      </w:r>
    </w:p>
    <w:p>
      <w:pPr>
        <w:pStyle w:val="17"/>
      </w:pPr>
      <w:r>
        <w:rPr>
          <w:rFonts w:hint="eastAsia"/>
        </w:rPr>
        <w:t>形成“中心城区、重点镇、一般镇”三级城镇体系，为新乡市南向发展提供支撑，提升新乡县在郑新一体化发展带中的功能和地位，进一步推动空间高效集约、存量用地盘活、城镇高质量发展。</w:t>
      </w:r>
    </w:p>
    <w:p>
      <w:pPr>
        <w:pStyle w:val="17"/>
      </w:pPr>
      <w:r>
        <w:rPr>
          <w:rFonts w:hint="eastAsia"/>
        </w:rPr>
        <w:t>中心城区：包含小冀镇镇区、七里营镇镇区、新乡经济开发区（北、中、南）。</w:t>
      </w:r>
    </w:p>
    <w:p>
      <w:pPr>
        <w:pStyle w:val="17"/>
      </w:pPr>
      <w:r>
        <w:rPr>
          <w:rFonts w:hint="eastAsia"/>
        </w:rPr>
        <w:t>重点镇：大召营镇、朗公庙镇、古固寨镇、翟坡镇。</w:t>
      </w:r>
    </w:p>
    <w:p>
      <w:pPr>
        <w:pStyle w:val="17"/>
      </w:pPr>
      <w:r>
        <w:rPr>
          <w:rFonts w:hint="eastAsia"/>
        </w:rPr>
        <w:t>一般镇：合河乡。</w:t>
      </w:r>
    </w:p>
    <w:p>
      <w:pPr>
        <w:pStyle w:val="5"/>
        <w:ind w:firstLine="640"/>
      </w:pPr>
      <w:r>
        <w:rPr>
          <w:rFonts w:hint="eastAsia"/>
        </w:rPr>
        <w:t>产业发展方向</w:t>
      </w:r>
    </w:p>
    <w:p>
      <w:pPr>
        <w:pStyle w:val="17"/>
      </w:pPr>
      <w:r>
        <w:rPr>
          <w:rFonts w:hint="eastAsia"/>
        </w:rPr>
        <w:t>加快</w:t>
      </w:r>
      <w:bookmarkStart w:id="80" w:name="_Hlk64750575"/>
      <w:r>
        <w:rPr>
          <w:rFonts w:hint="eastAsia"/>
        </w:rPr>
        <w:t>装备制造业、医药产业、化工产业以及造纸</w:t>
      </w:r>
      <w:bookmarkEnd w:id="80"/>
      <w:r>
        <w:rPr>
          <w:rFonts w:hint="eastAsia"/>
        </w:rPr>
        <w:t>产业等传统优势产业转型升级，强化新材料、新能源、节能环保、生物技术、数字经济等新兴产业引领，推进各类产业园区的建设。</w:t>
      </w:r>
    </w:p>
    <w:p>
      <w:pPr>
        <w:pStyle w:val="5"/>
        <w:ind w:firstLine="640"/>
      </w:pPr>
      <w:r>
        <w:rPr>
          <w:rFonts w:hint="eastAsia"/>
        </w:rPr>
        <w:t>构建多元化创新空间网络，打造区域创新高地</w:t>
      </w:r>
    </w:p>
    <w:p>
      <w:pPr>
        <w:pStyle w:val="17"/>
      </w:pPr>
      <w:r>
        <w:rPr>
          <w:rFonts w:hint="eastAsia"/>
        </w:rPr>
        <w:t>坚持创新驱动发展，规划“一核、多点”的科创发展空间。</w:t>
      </w:r>
    </w:p>
    <w:p>
      <w:pPr>
        <w:pStyle w:val="17"/>
      </w:pPr>
      <w:r>
        <w:rPr>
          <w:rFonts w:hint="eastAsia"/>
        </w:rPr>
        <w:t>“一核”，在新乡经济开发区（东）布局创智创新中心，全面提速产业升级步伐，大力集聚创新要素，打造新乡县未来经济社会持续高质量发展的引擎工程。</w:t>
      </w:r>
    </w:p>
    <w:p>
      <w:pPr>
        <w:pStyle w:val="17"/>
      </w:pPr>
      <w:r>
        <w:rPr>
          <w:rFonts w:hint="eastAsia"/>
        </w:rPr>
        <w:t>“多点”即多个科创空间。结合县级、片区级、社区级公共中心和混合社区建设，打造满足创新、创业人才工作、生活、娱乐、康体等活动的空间载体。</w:t>
      </w:r>
    </w:p>
    <w:p>
      <w:pPr>
        <w:pStyle w:val="5"/>
        <w:ind w:firstLine="640"/>
      </w:pPr>
      <w:r>
        <w:rPr>
          <w:rFonts w:hint="eastAsia"/>
        </w:rPr>
        <w:t>建设省、市、县三级园区体系，创建区域产业高质量发展示范基地</w:t>
      </w:r>
    </w:p>
    <w:p>
      <w:pPr>
        <w:pStyle w:val="17"/>
      </w:pPr>
      <w:r>
        <w:rPr>
          <w:rFonts w:hint="eastAsia"/>
        </w:rPr>
        <w:t>明确工业用地保障空间，落实高质量发展要求，保障实体经济，建立“省级开发区+市级专业园区+县级专业园区”的分级管理体系。提高工业用地准入标准，推进高能耗、低效益的工业用地的转型和稳步退出。</w:t>
      </w:r>
    </w:p>
    <w:p>
      <w:pPr>
        <w:pStyle w:val="4"/>
        <w:numPr>
          <w:ilvl w:val="0"/>
          <w:numId w:val="11"/>
        </w:numPr>
        <w:rPr>
          <w:rFonts w:hint="eastAsia"/>
        </w:rPr>
      </w:pPr>
      <w:bookmarkStart w:id="81" w:name="_Toc178172834"/>
      <w:r>
        <w:rPr>
          <w:rFonts w:hint="eastAsia"/>
        </w:rPr>
        <w:t>提升综合服务功能，完善现代化服务体系</w:t>
      </w:r>
      <w:bookmarkEnd w:id="81"/>
    </w:p>
    <w:p>
      <w:pPr>
        <w:pStyle w:val="5"/>
        <w:ind w:firstLine="640"/>
      </w:pPr>
      <w:r>
        <w:rPr>
          <w:rFonts w:hint="eastAsia"/>
        </w:rPr>
        <w:t>整合传统商贸，推进商业商务现代化发展</w:t>
      </w:r>
    </w:p>
    <w:p>
      <w:pPr>
        <w:pStyle w:val="17"/>
      </w:pPr>
      <w:r>
        <w:rPr>
          <w:rFonts w:hint="eastAsia"/>
        </w:rPr>
        <w:t>构建“县级-片区级-乡（镇）级”三级商业商务体系。</w:t>
      </w:r>
    </w:p>
    <w:p>
      <w:pPr>
        <w:pStyle w:val="17"/>
      </w:pPr>
      <w:r>
        <w:rPr>
          <w:rFonts w:hint="eastAsia"/>
        </w:rPr>
        <w:t>规划商务中心区东侧设置县级中心，作为引领商业高质量发展的核心区域，打造集商务办公、商业服务、休闲娱乐、文化会展为一体的档次高、功能全的商业中心区，提升新乡县的门户形象。</w:t>
      </w:r>
    </w:p>
    <w:p>
      <w:pPr>
        <w:pStyle w:val="17"/>
      </w:pPr>
      <w:r>
        <w:rPr>
          <w:rFonts w:hint="eastAsia"/>
        </w:rPr>
        <w:t>片区级中心结合居住组团确定，以就近服务和“小而精”的特色服务为主，包括轻轨站前商业中心、小冀京华园传统商业中心、七里营商业中心。</w:t>
      </w:r>
    </w:p>
    <w:p>
      <w:pPr>
        <w:pStyle w:val="17"/>
      </w:pPr>
      <w:r>
        <w:rPr>
          <w:rFonts w:hint="eastAsia"/>
        </w:rPr>
        <w:t>乡（镇）级中心以服务本乡（镇）居民为主，合河乡商业中心兼具一定的旅游接待职能。</w:t>
      </w:r>
    </w:p>
    <w:p>
      <w:pPr>
        <w:pStyle w:val="5"/>
        <w:ind w:firstLine="640"/>
      </w:pPr>
      <w:r>
        <w:rPr>
          <w:rFonts w:hint="eastAsia"/>
        </w:rPr>
        <w:t>积极拓展健康养老功能，建设老年友好型社会</w:t>
      </w:r>
    </w:p>
    <w:p>
      <w:pPr>
        <w:pStyle w:val="17"/>
      </w:pPr>
      <w:r>
        <w:rPr>
          <w:rFonts w:hint="eastAsia"/>
        </w:rPr>
        <w:t>推动全域形成“一核、一带、多点”的康养发展格局。</w:t>
      </w:r>
    </w:p>
    <w:p>
      <w:pPr>
        <w:pStyle w:val="17"/>
      </w:pPr>
      <w:r>
        <w:rPr>
          <w:rFonts w:hint="eastAsia"/>
        </w:rPr>
        <w:t>“一核”，完善中心城区各类健康养老机构设施，在宋庄路东端布局建设新乡县康养服务中心1处。</w:t>
      </w:r>
    </w:p>
    <w:p>
      <w:pPr>
        <w:pStyle w:val="17"/>
      </w:pPr>
      <w:r>
        <w:rPr>
          <w:rFonts w:hint="eastAsia"/>
        </w:rPr>
        <w:t>“一带”，推进康养产业与大运河文旅产业相融合，打造休闲养生为一体的健康养老产业带。</w:t>
      </w:r>
    </w:p>
    <w:p>
      <w:pPr>
        <w:pStyle w:val="17"/>
      </w:pPr>
      <w:r>
        <w:rPr>
          <w:rFonts w:hint="eastAsia"/>
        </w:rPr>
        <w:t>“多点”，包括东大阳康养社区、爱心托老所、七里营养老院等。</w:t>
      </w:r>
    </w:p>
    <w:p>
      <w:pPr>
        <w:pStyle w:val="5"/>
        <w:ind w:firstLine="640"/>
      </w:pPr>
      <w:r>
        <w:rPr>
          <w:rFonts w:hint="eastAsia"/>
        </w:rPr>
        <w:t>构建现代化物流发展网络，融入郑新物流体系</w:t>
      </w:r>
    </w:p>
    <w:p>
      <w:pPr>
        <w:pStyle w:val="17"/>
      </w:pPr>
      <w:r>
        <w:rPr>
          <w:rFonts w:hint="eastAsia"/>
        </w:rPr>
        <w:t>完善公铁联运、仓储运输设施，发展特色装备、钢材、农副产品等专业物流服务。建设“物流中心+配送中心+末端网点”的城乡物流网络体系。</w:t>
      </w:r>
    </w:p>
    <w:p>
      <w:pPr>
        <w:pStyle w:val="4"/>
        <w:numPr>
          <w:ilvl w:val="0"/>
          <w:numId w:val="11"/>
        </w:numPr>
        <w:rPr>
          <w:rFonts w:hint="eastAsia"/>
        </w:rPr>
      </w:pPr>
      <w:bookmarkStart w:id="82" w:name="_Toc131242225"/>
      <w:bookmarkStart w:id="83" w:name="_Toc178172835"/>
      <w:r>
        <w:rPr>
          <w:rFonts w:hint="eastAsia"/>
        </w:rPr>
        <w:t>构建完善的城乡公共服务设施体系</w:t>
      </w:r>
      <w:bookmarkEnd w:id="82"/>
      <w:bookmarkEnd w:id="83"/>
    </w:p>
    <w:p>
      <w:pPr>
        <w:pStyle w:val="5"/>
        <w:ind w:firstLine="640"/>
      </w:pPr>
      <w:r>
        <w:rPr>
          <w:rFonts w:hint="eastAsia"/>
        </w:rPr>
        <w:t>构建城乡公共服务设施体系</w:t>
      </w:r>
    </w:p>
    <w:p>
      <w:pPr>
        <w:pStyle w:val="17"/>
      </w:pPr>
      <w:r>
        <w:rPr>
          <w:rFonts w:hint="eastAsia"/>
        </w:rPr>
        <w:t>1.中心城区社区生活圈</w:t>
      </w:r>
    </w:p>
    <w:p>
      <w:pPr>
        <w:pStyle w:val="17"/>
      </w:pPr>
      <w:r>
        <w:rPr>
          <w:rFonts w:hint="eastAsia"/>
        </w:rPr>
        <w:t>中心城区构建“县级-社区级”两级公共服务设施配套体系。县级公共设施服务县域，规划结合城市布局。社区级公共设施服务于以居住社区中心为核心、服务半径800-1000米，以居住功能为主的15分钟生活圈。</w:t>
      </w:r>
    </w:p>
    <w:p>
      <w:pPr>
        <w:pStyle w:val="17"/>
      </w:pPr>
      <w:r>
        <w:rPr>
          <w:rFonts w:hint="eastAsia"/>
        </w:rPr>
        <w:t>2.镇村社区生活圈</w:t>
      </w:r>
    </w:p>
    <w:p>
      <w:pPr>
        <w:pStyle w:val="17"/>
      </w:pPr>
      <w:r>
        <w:rPr>
          <w:rFonts w:hint="eastAsia"/>
        </w:rPr>
        <w:t>构建“乡（镇）生活圈-中心村生活圈-基层村生活圈” 三级公共服务设施配套体系，强化县域与乡村层面对农村基本公共服务供给的统筹。</w:t>
      </w:r>
    </w:p>
    <w:p>
      <w:pPr>
        <w:pStyle w:val="17"/>
      </w:pPr>
      <w:r>
        <w:rPr>
          <w:rFonts w:hint="eastAsia"/>
        </w:rPr>
        <w:t>乡（镇）生活圈。以合河乡集镇区、大召营镇区、翟坡镇区、朗公庙镇区、古固寨镇区为中心的乡（镇）生活圈。</w:t>
      </w:r>
    </w:p>
    <w:p>
      <w:pPr>
        <w:pStyle w:val="17"/>
      </w:pPr>
      <w:r>
        <w:rPr>
          <w:rFonts w:hint="eastAsia"/>
        </w:rPr>
        <w:t>中心村生活圈。结合中心村组织，提供齐全完善的日常生活服务项目。</w:t>
      </w:r>
    </w:p>
    <w:p>
      <w:pPr>
        <w:pStyle w:val="17"/>
      </w:pPr>
      <w:r>
        <w:rPr>
          <w:rFonts w:hint="eastAsia"/>
        </w:rPr>
        <w:t>基层村生活圈。结合基层村组织，按照15分钟可达的空间尺度，配置满足就近使用需求的服务要素，并注重相邻村庄之间服务要素的错位配置和共享使用。</w:t>
      </w:r>
    </w:p>
    <w:p>
      <w:pPr>
        <w:pStyle w:val="17"/>
      </w:pPr>
      <w:r>
        <w:rPr>
          <w:rFonts w:hint="eastAsia"/>
        </w:rPr>
        <w:t>3.教育服务设施体系</w:t>
      </w:r>
    </w:p>
    <w:p>
      <w:pPr>
        <w:pStyle w:val="17"/>
      </w:pPr>
      <w:r>
        <w:rPr>
          <w:rFonts w:hint="eastAsia"/>
        </w:rPr>
        <w:t>加速推进高质量教育体系建设，建立学前教育、义务教育、高中教育、特殊教育、职业教育、高等教育、继续教育等全覆盖的教育体系。</w:t>
      </w:r>
    </w:p>
    <w:p>
      <w:pPr>
        <w:pStyle w:val="17"/>
      </w:pPr>
      <w:r>
        <w:rPr>
          <w:rFonts w:hint="eastAsia"/>
        </w:rPr>
        <w:t>4.文化设施体系</w:t>
      </w:r>
    </w:p>
    <w:p>
      <w:pPr>
        <w:pStyle w:val="17"/>
      </w:pPr>
      <w:r>
        <w:rPr>
          <w:rFonts w:hint="eastAsia"/>
        </w:rPr>
        <w:t>全面提升公共文化设施网络，提高服务效能。完善县文化艺术中心，新建文化、图书、展览中心及娱乐设施。加强基层文化服务设施建设，提升基层综合性文化服务中心功能。持续推进公共文化馆、图书馆总分馆制建设，实现乡（镇）分馆的全覆盖。各乡（镇）建设1处文化活动中心。鼓励开展乡土文化活动，推动优质资源和服务下沉到社区、乡村。</w:t>
      </w:r>
    </w:p>
    <w:p>
      <w:pPr>
        <w:pStyle w:val="17"/>
      </w:pPr>
      <w:r>
        <w:t>5</w:t>
      </w:r>
      <w:r>
        <w:rPr>
          <w:rFonts w:hint="eastAsia"/>
        </w:rPr>
        <w:t>.公共医疗卫生体系</w:t>
      </w:r>
    </w:p>
    <w:p>
      <w:pPr>
        <w:pStyle w:val="17"/>
        <w:rPr>
          <w:b/>
          <w:bCs/>
        </w:rPr>
      </w:pPr>
      <w:r>
        <w:rPr>
          <w:rFonts w:hint="eastAsia"/>
        </w:rPr>
        <w:t>加强乡（镇）卫生院和村卫生室建设，健全社区卫生服务中心建设，到</w:t>
      </w:r>
      <w:r>
        <w:t>2035</w:t>
      </w:r>
      <w:r>
        <w:rPr>
          <w:rFonts w:hint="eastAsia"/>
        </w:rPr>
        <w:t>年实现每个乡（镇）都有一所政府办的标准化乡（镇）卫生院（社区卫生服务中心），</w:t>
      </w:r>
      <w:r>
        <w:rPr>
          <w:rFonts w:hint="eastAsia"/>
          <w:spacing w:val="1"/>
        </w:rPr>
        <w:t>每个街道办事处或每</w:t>
      </w:r>
      <w:r>
        <w:rPr>
          <w:spacing w:val="1"/>
        </w:rPr>
        <w:t>3</w:t>
      </w:r>
      <w:r>
        <w:rPr>
          <w:rFonts w:hint="eastAsia"/>
          <w:spacing w:val="1"/>
        </w:rPr>
        <w:t>万-</w:t>
      </w:r>
      <w:r>
        <w:rPr>
          <w:spacing w:val="1"/>
        </w:rPr>
        <w:t>10</w:t>
      </w:r>
      <w:r>
        <w:rPr>
          <w:rFonts w:hint="eastAsia"/>
          <w:spacing w:val="1"/>
        </w:rPr>
        <w:t>万居民原则上设置l所社区卫生服务中心，</w:t>
      </w:r>
      <w:r>
        <w:rPr>
          <w:rFonts w:hint="eastAsia"/>
        </w:rPr>
        <w:t>预留安宁疗护、康复养老等相应功能。每个行政村都有一所产权公有化、建设标准化的村卫生室。</w:t>
      </w:r>
    </w:p>
    <w:p>
      <w:pPr>
        <w:pStyle w:val="17"/>
      </w:pPr>
      <w:r>
        <w:t>6</w:t>
      </w:r>
      <w:r>
        <w:rPr>
          <w:rFonts w:hint="eastAsia"/>
        </w:rPr>
        <w:t>.全民健身体系</w:t>
      </w:r>
    </w:p>
    <w:p>
      <w:pPr>
        <w:pStyle w:val="17"/>
        <w:rPr>
          <w:kern w:val="0"/>
          <w:lang w:val="zh-CN"/>
        </w:rPr>
      </w:pPr>
      <w:r>
        <w:rPr>
          <w:rFonts w:hint="eastAsia"/>
        </w:rPr>
        <w:t>统筹建设全民健身场地设施，构建更高水平的全民健身公共服务体系。完善体育场、室外体育活动广场、体育馆、游泳馆（池）和全民健身综合馆“两场三馆”，加快社会足球场地建设。鼓励结合城市公园、郊野公园及大型商业设施合理配置体育健身设施，鼓励利用旧厂房、仓库、老旧商业设施改造建设健身设施。</w:t>
      </w:r>
    </w:p>
    <w:p>
      <w:pPr>
        <w:pStyle w:val="17"/>
      </w:pPr>
      <w:r>
        <w:t>7</w:t>
      </w:r>
      <w:r>
        <w:rPr>
          <w:rFonts w:hint="eastAsia"/>
        </w:rPr>
        <w:t>.社会福利设施</w:t>
      </w:r>
    </w:p>
    <w:p>
      <w:pPr>
        <w:pStyle w:val="17"/>
      </w:pPr>
      <w:r>
        <w:rPr>
          <w:rFonts w:hint="eastAsia"/>
        </w:rPr>
        <w:t>依据《河南省养老服务条例》，应加强养老服务基础设施建设，养老服务设施人均用地不低于 0.2 平方米/人，实现街道和社区养老服务设施全覆盖，满足老年人就近养老服务需求，新建城镇居住区当按照每一百户不低于三十平方米的标准配套建设社区养老服务设施。已建成的城镇居住区按照每一百户不低于二十平方米的标准配建社区养老服务设施。</w:t>
      </w:r>
    </w:p>
    <w:p>
      <w:pPr>
        <w:pStyle w:val="17"/>
      </w:pPr>
      <w:bookmarkStart w:id="84" w:name="_Hlk157006880"/>
      <w:r>
        <w:rPr>
          <w:rFonts w:hint="eastAsia"/>
        </w:rPr>
        <w:t>构建现代殡葬设施服务体系。落实属地管理原则，规范和加强经营性公墓管理，建立完善公益性公墓、骨灰堂管理制度，提升殡葬服务管理水平，至</w:t>
      </w:r>
      <w:r>
        <w:t>2035年，</w:t>
      </w:r>
      <w:r>
        <w:rPr>
          <w:rFonts w:hint="eastAsia"/>
        </w:rPr>
        <w:t>新乡县</w:t>
      </w:r>
      <w:r>
        <w:t>至少</w:t>
      </w:r>
      <w:r>
        <w:rPr>
          <w:rFonts w:hint="eastAsia"/>
        </w:rPr>
        <w:t>建成</w:t>
      </w:r>
      <w:r>
        <w:t>1个</w:t>
      </w:r>
      <w:r>
        <w:rPr>
          <w:rFonts w:hint="eastAsia"/>
        </w:rPr>
        <w:t>不少于1</w:t>
      </w:r>
      <w:r>
        <w:t>00</w:t>
      </w:r>
      <w:r>
        <w:rPr>
          <w:rFonts w:hint="eastAsia"/>
        </w:rPr>
        <w:t>亩的</w:t>
      </w:r>
      <w:r>
        <w:t>城市公益性公墓</w:t>
      </w:r>
      <w:r>
        <w:rPr>
          <w:rFonts w:hint="eastAsia"/>
        </w:rPr>
        <w:t>，每个乡镇至少建成</w:t>
      </w:r>
      <w:r>
        <w:t>1个</w:t>
      </w:r>
      <w:r>
        <w:rPr>
          <w:rFonts w:hint="eastAsia"/>
        </w:rPr>
        <w:t>面积不少于50亩的</w:t>
      </w:r>
      <w:r>
        <w:t>示范性农村公益性公墓，</w:t>
      </w:r>
      <w:r>
        <w:rPr>
          <w:rFonts w:hint="eastAsia"/>
        </w:rPr>
        <w:t>殡葬基础设施实现县乡两级全覆盖</w:t>
      </w:r>
      <w:r>
        <w:t>。</w:t>
      </w:r>
    </w:p>
    <w:bookmarkEnd w:id="84"/>
    <w:p>
      <w:pPr>
        <w:pStyle w:val="4"/>
        <w:numPr>
          <w:ilvl w:val="0"/>
          <w:numId w:val="11"/>
        </w:numPr>
        <w:rPr>
          <w:rFonts w:hint="eastAsia"/>
        </w:rPr>
      </w:pPr>
      <w:bookmarkStart w:id="85" w:name="_Toc178172836"/>
      <w:r>
        <w:rPr>
          <w:rFonts w:hint="eastAsia"/>
        </w:rPr>
        <w:t>保障城镇发展用地，提升集约利用水平</w:t>
      </w:r>
      <w:bookmarkEnd w:id="85"/>
    </w:p>
    <w:p>
      <w:pPr>
        <w:pStyle w:val="5"/>
        <w:ind w:firstLine="640"/>
      </w:pPr>
      <w:r>
        <w:rPr>
          <w:rFonts w:hint="eastAsia"/>
        </w:rPr>
        <w:t>城镇发展用地保障</w:t>
      </w:r>
    </w:p>
    <w:p>
      <w:pPr>
        <w:pStyle w:val="17"/>
      </w:pPr>
      <w:r>
        <w:rPr>
          <w:rFonts w:hint="eastAsia"/>
        </w:rPr>
        <w:t>进一步明晰计划指标配置，对纳入国家和省级重大项目清单单独选址项目的用地，实行计划指标重点保障。其他建设项目和城镇村批次用地，继续实施增减挂钩。</w:t>
      </w:r>
    </w:p>
    <w:p>
      <w:pPr>
        <w:pStyle w:val="5"/>
        <w:ind w:firstLine="640"/>
      </w:pPr>
      <w:r>
        <w:rPr>
          <w:rFonts w:hint="eastAsia"/>
        </w:rPr>
        <w:t>城镇用地集约利用</w:t>
      </w:r>
    </w:p>
    <w:p>
      <w:pPr>
        <w:pStyle w:val="17"/>
      </w:pPr>
      <w:r>
        <w:rPr>
          <w:rFonts w:hint="eastAsia"/>
        </w:rPr>
        <w:t>盘活利用闲置土地或征收土地闲置费，加快闲置土地的认定、公示和处置。建立健全低效用地再开发激励约束机制，推进城乡存量建设用地挖潜利用和高效配置。加强新增建设用地与存量土地挖潜水平与土地节约集约利用水平挂钩，全面推动批而未征、征而未供、供而未用土地的高效利用，释放存量建设用地空间，提高存量建设用地在土地供应总量中的比重。</w:t>
      </w:r>
    </w:p>
    <w:p>
      <w:pPr>
        <w:widowControl/>
        <w:jc w:val="left"/>
        <w:rPr>
          <w:rFonts w:ascii="仿宋_GB2312" w:eastAsia="仿宋_GB2312"/>
          <w:szCs w:val="32"/>
        </w:rPr>
      </w:pPr>
      <w:r>
        <w:rPr>
          <w:rFonts w:ascii="仿宋_GB2312" w:eastAsia="仿宋_GB2312"/>
          <w:szCs w:val="32"/>
        </w:rPr>
        <w:br w:type="page"/>
      </w:r>
    </w:p>
    <w:p>
      <w:pPr>
        <w:widowControl/>
        <w:jc w:val="left"/>
        <w:rPr>
          <w:rFonts w:ascii="仿宋_GB2312" w:hAnsi="Times New Roman" w:eastAsia="仿宋_GB2312" w:cs="Times New Roman"/>
          <w:sz w:val="32"/>
          <w:szCs w:val="32"/>
        </w:rPr>
      </w:pPr>
    </w:p>
    <w:p>
      <w:pPr>
        <w:pStyle w:val="2"/>
        <w:rPr>
          <w:rFonts w:hint="eastAsia"/>
        </w:rPr>
      </w:pPr>
      <w:bookmarkStart w:id="86" w:name="_Toc56107876"/>
      <w:bookmarkStart w:id="87" w:name="_Toc71530157"/>
      <w:bookmarkStart w:id="88" w:name="_Toc178172837"/>
      <w:r>
        <w:rPr>
          <w:rFonts w:hint="eastAsia"/>
        </w:rPr>
        <w:t>中心城区空间布</w:t>
      </w:r>
      <w:bookmarkEnd w:id="86"/>
      <w:bookmarkEnd w:id="87"/>
      <w:r>
        <w:rPr>
          <w:rFonts w:hint="eastAsia"/>
        </w:rPr>
        <w:t>局</w:t>
      </w:r>
      <w:bookmarkEnd w:id="88"/>
    </w:p>
    <w:p>
      <w:pPr>
        <w:pStyle w:val="4"/>
        <w:numPr>
          <w:ilvl w:val="0"/>
          <w:numId w:val="12"/>
        </w:numPr>
        <w:rPr>
          <w:rFonts w:hint="eastAsia"/>
        </w:rPr>
      </w:pPr>
      <w:bookmarkStart w:id="89" w:name="_Toc178172838"/>
      <w:r>
        <w:rPr>
          <w:rFonts w:hint="eastAsia"/>
        </w:rPr>
        <w:t>优化城区空间结构，合理划定功能分区</w:t>
      </w:r>
      <w:bookmarkEnd w:id="89"/>
    </w:p>
    <w:p>
      <w:pPr>
        <w:pStyle w:val="5"/>
        <w:ind w:firstLine="640"/>
      </w:pPr>
      <w:r>
        <w:rPr>
          <w:rFonts w:hint="eastAsia"/>
        </w:rPr>
        <w:t>中心城区范围</w:t>
      </w:r>
    </w:p>
    <w:p>
      <w:pPr>
        <w:pStyle w:val="17"/>
      </w:pPr>
      <w:r>
        <w:rPr>
          <w:rFonts w:hint="eastAsia"/>
        </w:rPr>
        <w:t>东至心连心化工园区东边界、西至辉原线、南至新亚纸业南边界、北至县界。</w:t>
      </w:r>
    </w:p>
    <w:p>
      <w:pPr>
        <w:pStyle w:val="17"/>
      </w:pPr>
      <w:r>
        <w:rPr>
          <w:rFonts w:hint="eastAsia"/>
        </w:rPr>
        <w:t>在中心城区范围内、城镇开发边界外的区域，编制乡镇级国土空间规划或村庄规划，作为规划实施和管理的依据。</w:t>
      </w:r>
    </w:p>
    <w:p>
      <w:pPr>
        <w:pStyle w:val="5"/>
        <w:ind w:firstLine="640"/>
      </w:pPr>
      <w:r>
        <w:rPr>
          <w:rFonts w:hint="eastAsia"/>
        </w:rPr>
        <w:t>中心城区发展方向</w:t>
      </w:r>
    </w:p>
    <w:p>
      <w:pPr>
        <w:pStyle w:val="17"/>
      </w:pPr>
      <w:r>
        <w:rPr>
          <w:rFonts w:hint="eastAsia"/>
        </w:rPr>
        <w:t>考虑约束条件和外部影响因素，确定新乡县中心城区以向东沿金融路发展为主，向南沿中央大道发展为辅，促进新乡市南向发展，在空间上实现与郑新一体化发展的衔接。</w:t>
      </w:r>
    </w:p>
    <w:p>
      <w:pPr>
        <w:pStyle w:val="5"/>
        <w:ind w:firstLine="640"/>
      </w:pPr>
      <w:r>
        <w:rPr>
          <w:rFonts w:hint="eastAsia"/>
        </w:rPr>
        <w:t>构建“一主两副，三廊四轴”的城区总体格局</w:t>
      </w:r>
    </w:p>
    <w:p>
      <w:pPr>
        <w:pStyle w:val="17"/>
      </w:pPr>
      <w:bookmarkStart w:id="90" w:name="_Hlk74926376"/>
      <w:r>
        <w:rPr>
          <w:rFonts w:hint="eastAsia"/>
        </w:rPr>
        <w:t>“一主两副”：围绕商务中心区，布局各类服务设施，完善城市级公共服务设施体系，形成城市综合服务核心。依托京华园周边商贸发展基础，配置停车、娱乐、文化等设施，提升其综合服务水平，打造城市副中心；以七里营镇政府为中心，提升周边商业、文化、医疗等服务功能，打造城市副中心。</w:t>
      </w:r>
    </w:p>
    <w:p>
      <w:pPr>
        <w:pStyle w:val="17"/>
      </w:pPr>
      <w:r>
        <w:rPr>
          <w:rFonts w:hint="eastAsia"/>
        </w:rPr>
        <w:t>“三廊四轴”：沿京广铁路、人民胜利渠、东孟姜女河控制两侧发展空间，打造三条生态廊道。沿中央大道、金融路、青龙路、青年路打造四条城市发展轴。</w:t>
      </w:r>
    </w:p>
    <w:bookmarkEnd w:id="90"/>
    <w:p>
      <w:pPr>
        <w:pStyle w:val="5"/>
        <w:ind w:firstLine="640"/>
      </w:pPr>
      <w:r>
        <w:rPr>
          <w:rFonts w:hint="eastAsia"/>
        </w:rPr>
        <w:t>合理划定功能分区，促进土地高效发展</w:t>
      </w:r>
    </w:p>
    <w:p>
      <w:pPr>
        <w:pStyle w:val="17"/>
      </w:pPr>
      <w:r>
        <w:rPr>
          <w:rFonts w:hint="eastAsia"/>
        </w:rPr>
        <w:t>将新乡县中心城区分为六个主导功能分区，分别为居住生活区、商业商务区、综合服务区、工业物流区、绿地休闲区、战略留白区。</w:t>
      </w:r>
    </w:p>
    <w:p>
      <w:pPr>
        <w:pStyle w:val="17"/>
      </w:pPr>
      <w:r>
        <w:rPr>
          <w:rFonts w:hint="eastAsia"/>
        </w:rPr>
        <w:t>1.居住生活区。以居住和居住配套设施为主导功能导向，划定小冀北、小冀南、小冀东、龙泉、七里营、城东6个居住生活区。</w:t>
      </w:r>
    </w:p>
    <w:p>
      <w:pPr>
        <w:pStyle w:val="17"/>
      </w:pPr>
      <w:r>
        <w:rPr>
          <w:rFonts w:hint="eastAsia"/>
        </w:rPr>
        <w:t>2.商业商务区。以提供商业、商务等就业岗位为主要功能导向。规划结合区位条件，围绕产业发展需求、居民使用需求，在集中建设区内划定县级综合商业商务区、京华园传统商业商务区、七里营商业商务区、轻轨站前商业商务区共4个商业商务区。</w:t>
      </w:r>
    </w:p>
    <w:p>
      <w:pPr>
        <w:pStyle w:val="17"/>
      </w:pPr>
      <w:r>
        <w:t>3</w:t>
      </w:r>
      <w:r>
        <w:rPr>
          <w:rFonts w:hint="eastAsia"/>
        </w:rPr>
        <w:t>.综合服务区。以提供行政办公、文化、教育、医疗等服务为主要功能导向的区域。规划在“一主两副”的基础上，结合居住生活片的配套教育、医疗及行政办公功能，划定多个综合服务区。</w:t>
      </w:r>
    </w:p>
    <w:p>
      <w:pPr>
        <w:pStyle w:val="17"/>
      </w:pPr>
      <w:r>
        <w:t>4</w:t>
      </w:r>
      <w:r>
        <w:rPr>
          <w:rFonts w:hint="eastAsia"/>
        </w:rPr>
        <w:t>.工业物流区。以工业、仓储物流及其配套产业为主导功能导向的区域。为解决用地混杂而形成工业对生活的负面影响，按照新乡县县委县政府关于工业企业退城入园的要求，规划划定心连心化工园区、中部工业物流区、南部工业物流区、产城融合发展区，引导城区内与居住混杂的工业用地逐步向园区内搬迁，形成集聚效应，提高土地利用效率。</w:t>
      </w:r>
    </w:p>
    <w:p>
      <w:pPr>
        <w:pStyle w:val="17"/>
      </w:pPr>
      <w:r>
        <w:t>5</w:t>
      </w:r>
      <w:r>
        <w:rPr>
          <w:rFonts w:hint="eastAsia"/>
        </w:rPr>
        <w:t>.绿地休闲区。以公园绿地、广场用地、滨水开放空间、 防护绿地为主导功能的区域。规划结合现状水系、公园、广场等要素，划定</w:t>
      </w:r>
      <w:r>
        <w:t>2</w:t>
      </w:r>
      <w:r>
        <w:rPr>
          <w:rFonts w:hint="eastAsia"/>
        </w:rPr>
        <w:t>处绿地休闲区，分别为中央绿地休闲区、京华绿地休闲区。</w:t>
      </w:r>
    </w:p>
    <w:p>
      <w:pPr>
        <w:pStyle w:val="17"/>
      </w:pPr>
      <w:r>
        <w:t>6</w:t>
      </w:r>
      <w:r>
        <w:rPr>
          <w:rFonts w:hint="eastAsia"/>
        </w:rPr>
        <w:t>.战略预留区。在城市集中建设区内划定战略预留区，作为城市未来应对多情景发展可能性的重要战略性空间。</w:t>
      </w:r>
    </w:p>
    <w:p>
      <w:pPr>
        <w:pStyle w:val="5"/>
        <w:ind w:firstLine="640"/>
        <w:rPr>
          <w:color w:val="FF0000"/>
        </w:rPr>
      </w:pPr>
      <w:bookmarkStart w:id="91" w:name="_Hlk134643557"/>
      <w:r>
        <w:rPr>
          <w:color w:val="FF0000"/>
        </w:rPr>
        <w:t>中心城区建设用地布局</w:t>
      </w:r>
    </w:p>
    <w:p>
      <w:pPr>
        <w:pStyle w:val="17"/>
        <w:rPr>
          <w:color w:val="FF0000"/>
        </w:rPr>
      </w:pPr>
      <w:r>
        <w:rPr>
          <w:rFonts w:hint="eastAsia"/>
          <w:color w:val="FF0000"/>
        </w:rPr>
        <w:t xml:space="preserve">中心城区新增用地优先用于产业用地、公共服务设施、基础设施、以及绿地与开敞空间用地。重点提升公共服务设施、绿地与开敞空间用地比例，保障产业用地比例。 </w:t>
      </w:r>
    </w:p>
    <w:p>
      <w:pPr>
        <w:pStyle w:val="17"/>
        <w:rPr>
          <w:color w:val="FF0000"/>
        </w:rPr>
      </w:pPr>
      <w:r>
        <w:rPr>
          <w:rFonts w:hint="eastAsia"/>
          <w:color w:val="FF0000"/>
        </w:rPr>
        <w:t>1.增加绿地与开敞空间，提升城市环境品质，优化绿地与开敞空间布局，统筹推进综合公园、社区公园、专类公园、“口袋公园”、小微绿地等各类公园绿地建设。城市新区重点建设完整的公园体系，老区结合城市更新，大力推进社区公园、游园、“口袋公园”、小微绿地建设。提高城市公园绿地和绿化活动场地均衡化水平，满足居民游憩休闲、运动健身、儿童娱乐等日常生活需要。</w:t>
      </w:r>
    </w:p>
    <w:p>
      <w:pPr>
        <w:pStyle w:val="17"/>
        <w:rPr>
          <w:color w:val="FF0000"/>
        </w:rPr>
      </w:pPr>
      <w:r>
        <w:rPr>
          <w:color w:val="FF0000"/>
        </w:rPr>
        <w:t>2</w:t>
      </w:r>
      <w:r>
        <w:rPr>
          <w:rFonts w:hint="eastAsia"/>
          <w:color w:val="FF0000"/>
        </w:rPr>
        <w:t>.保障产业用地，加强创新载体、平台建设优化产业空间布局，强化先进制造业、战略性新兴产业、未来产业、现代物流产业等用地保障。工业用地、仓储物流用地供给优先向新乡经济开发区、新乡县纸制品专业园区等地区倾斜。盘活存量产业土地，推进低效产业用地转型升级，进一步拓展用地空间。</w:t>
      </w:r>
    </w:p>
    <w:p>
      <w:pPr>
        <w:pStyle w:val="17"/>
        <w:rPr>
          <w:color w:val="FF0000"/>
        </w:rPr>
      </w:pPr>
      <w:r>
        <w:rPr>
          <w:color w:val="FF0000"/>
        </w:rPr>
        <w:t>3</w:t>
      </w:r>
      <w:r>
        <w:rPr>
          <w:rFonts w:hint="eastAsia"/>
          <w:color w:val="FF0000"/>
        </w:rPr>
        <w:t>.营造舒适宜居的居住空间，完善公共服务设施提升城市的宜居性和环境品质，不断满足人民对美好生活的向往。适度增加城镇居住用地规模。新增居住用地供给优先向新城片区倾斜。</w:t>
      </w:r>
    </w:p>
    <w:p>
      <w:pPr>
        <w:pStyle w:val="17"/>
        <w:rPr>
          <w:color w:val="FF0000"/>
        </w:rPr>
      </w:pPr>
      <w:r>
        <w:rPr>
          <w:rFonts w:hint="eastAsia"/>
          <w:color w:val="FF0000"/>
        </w:rPr>
        <w:t xml:space="preserve">提升片区服务中心能力，补齐片区级以上公共服务设施短板，完善社区公共服务设施，全面实现中心城区公共服务设施优质均衡。 </w:t>
      </w:r>
    </w:p>
    <w:p>
      <w:pPr>
        <w:pStyle w:val="17"/>
        <w:rPr>
          <w:color w:val="FF0000"/>
        </w:rPr>
      </w:pPr>
      <w:r>
        <w:rPr>
          <w:color w:val="FF0000"/>
        </w:rPr>
        <w:t>4</w:t>
      </w:r>
      <w:r>
        <w:rPr>
          <w:rFonts w:hint="eastAsia"/>
          <w:color w:val="FF0000"/>
        </w:rPr>
        <w:t>.合理控制其他用地比例，优化用地结构商业服务业设施用地。</w:t>
      </w:r>
    </w:p>
    <w:bookmarkEnd w:id="91"/>
    <w:p>
      <w:pPr>
        <w:pStyle w:val="4"/>
        <w:numPr>
          <w:ilvl w:val="0"/>
          <w:numId w:val="12"/>
        </w:numPr>
        <w:rPr>
          <w:rFonts w:hint="eastAsia"/>
        </w:rPr>
      </w:pPr>
      <w:bookmarkStart w:id="92" w:name="_Toc178172839"/>
      <w:r>
        <w:rPr>
          <w:rFonts w:hint="eastAsia"/>
        </w:rPr>
        <w:t>优化住房供应体系，促进职住平衡发展</w:t>
      </w:r>
      <w:bookmarkEnd w:id="92"/>
    </w:p>
    <w:p>
      <w:pPr>
        <w:pStyle w:val="5"/>
        <w:ind w:firstLine="640"/>
      </w:pPr>
      <w:bookmarkStart w:id="93" w:name="_Hlk134643612"/>
      <w:r>
        <w:rPr>
          <w:rFonts w:hint="eastAsia"/>
        </w:rPr>
        <w:t>建立完善住房市场体系</w:t>
      </w:r>
    </w:p>
    <w:p>
      <w:pPr>
        <w:pStyle w:val="17"/>
      </w:pPr>
      <w:r>
        <w:rPr>
          <w:rFonts w:hint="eastAsia"/>
        </w:rPr>
        <w:t>优化住房供应结构，建立完善房地产市场平稳健康发展长效机制，把握好房地产供给与需求之间的关系，实现保障性住房、市场租赁住房、人才房和新建商品房协调发展。</w:t>
      </w:r>
    </w:p>
    <w:p>
      <w:pPr>
        <w:pStyle w:val="17"/>
      </w:pPr>
      <w:r>
        <w:rPr>
          <w:rFonts w:hint="eastAsia"/>
        </w:rPr>
        <w:t>加强房地产统计数据制度。对购房的数量、户型、面积、位置、价格、环境配套等相关统计信息进行定期发布，为房地产业的健康发展提供一个权威、科学的信息平台。</w:t>
      </w:r>
    </w:p>
    <w:p>
      <w:pPr>
        <w:pStyle w:val="17"/>
      </w:pPr>
      <w:r>
        <w:rPr>
          <w:rFonts w:hint="eastAsia"/>
        </w:rPr>
        <w:t>激活二手房市场，满足市民的多层次、多样化的住房需求。</w:t>
      </w:r>
    </w:p>
    <w:p>
      <w:pPr>
        <w:pStyle w:val="17"/>
      </w:pPr>
      <w:r>
        <w:rPr>
          <w:rFonts w:hint="eastAsia"/>
        </w:rPr>
        <w:t>规范发展住房租赁市场。有序增加大城市租赁住房供给，完善供应主体多元、经营服务规范、租金合理可控、租赁关系稳定的住房租赁市场体系。</w:t>
      </w:r>
      <w:bookmarkEnd w:id="93"/>
    </w:p>
    <w:p>
      <w:pPr>
        <w:pStyle w:val="5"/>
        <w:ind w:firstLine="640"/>
      </w:pPr>
      <w:r>
        <w:t>鼓励发展</w:t>
      </w:r>
      <w:r>
        <w:rPr>
          <w:rFonts w:hint="eastAsia"/>
        </w:rPr>
        <w:t>混合</w:t>
      </w:r>
      <w:r>
        <w:t>社区</w:t>
      </w:r>
      <w:r>
        <w:rPr>
          <w:rFonts w:hint="eastAsia"/>
        </w:rPr>
        <w:t>，促进职住平衡发展</w:t>
      </w:r>
    </w:p>
    <w:p>
      <w:pPr>
        <w:pStyle w:val="17"/>
      </w:pPr>
      <w:r>
        <w:rPr>
          <w:rFonts w:hint="eastAsia"/>
        </w:rPr>
        <w:t>鼓励发展产业社区，倡导功能混合和土地复合利用，促进居住与就业适度平衡。</w:t>
      </w:r>
    </w:p>
    <w:p>
      <w:pPr>
        <w:pStyle w:val="17"/>
      </w:pPr>
      <w:r>
        <w:rPr>
          <w:rFonts w:hint="eastAsia"/>
        </w:rPr>
        <w:t>构建合理的用地比例结构，提供适度的就近就业空间和机会，降低通勤距离与通勤时间，促进职住均衡发展。</w:t>
      </w:r>
    </w:p>
    <w:p>
      <w:pPr>
        <w:pStyle w:val="5"/>
        <w:ind w:firstLine="640"/>
      </w:pPr>
      <w:r>
        <w:rPr>
          <w:rFonts w:hint="eastAsia"/>
        </w:rPr>
        <w:t>优先安排保障性住房用地</w:t>
      </w:r>
    </w:p>
    <w:p>
      <w:pPr>
        <w:pStyle w:val="17"/>
      </w:pPr>
      <w:r>
        <w:rPr>
          <w:rFonts w:hint="eastAsia"/>
        </w:rPr>
        <w:t>优化住房供应结构，构建多主体供给、多渠道保障、租购并举的住房供应和保障体系。应</w:t>
      </w:r>
      <w:bookmarkStart w:id="94" w:name="_Hlk151473395"/>
      <w:r>
        <w:rPr>
          <w:rFonts w:hint="eastAsia"/>
        </w:rPr>
        <w:t>按照职住平衡原则，提高住宅用地中保障性租赁住房用地供应比例，在编制年度住宅用地供应计划时，单列租赁住房用地计划、优先安排、应保尽保。新建普通商品住房项目，可配建一定比例的保障性租赁住房</w:t>
      </w:r>
      <w:bookmarkEnd w:id="94"/>
      <w:r>
        <w:rPr>
          <w:rFonts w:hint="eastAsia"/>
        </w:rPr>
        <w:t>。</w:t>
      </w:r>
    </w:p>
    <w:p>
      <w:pPr>
        <w:pStyle w:val="4"/>
        <w:numPr>
          <w:ilvl w:val="0"/>
          <w:numId w:val="12"/>
        </w:numPr>
        <w:rPr>
          <w:rFonts w:hint="eastAsia"/>
        </w:rPr>
      </w:pPr>
      <w:bookmarkStart w:id="95" w:name="_Toc178172840"/>
      <w:bookmarkStart w:id="96" w:name="_Hlk134643658"/>
      <w:r>
        <w:rPr>
          <w:rFonts w:hint="eastAsia"/>
        </w:rPr>
        <w:t>优化公共服务设施布局，提升宜居水平</w:t>
      </w:r>
      <w:bookmarkEnd w:id="95"/>
    </w:p>
    <w:p>
      <w:pPr>
        <w:pStyle w:val="5"/>
        <w:ind w:firstLine="640"/>
      </w:pPr>
      <w:r>
        <w:rPr>
          <w:rFonts w:hint="eastAsia"/>
        </w:rPr>
        <w:t>形成“一主、两副、两节点”服务结构</w:t>
      </w:r>
    </w:p>
    <w:p>
      <w:pPr>
        <w:pStyle w:val="17"/>
      </w:pPr>
      <w:r>
        <w:rPr>
          <w:rFonts w:hint="eastAsia"/>
        </w:rPr>
        <w:t>优化公共服务设施布局，形成“一主、两副、两节点”服务结构。</w:t>
      </w:r>
    </w:p>
    <w:p>
      <w:pPr>
        <w:pStyle w:val="17"/>
      </w:pPr>
      <w:r>
        <w:rPr>
          <w:rFonts w:hint="eastAsia"/>
        </w:rPr>
        <w:t>一主：新乡县综合服务中心。</w:t>
      </w:r>
    </w:p>
    <w:p>
      <w:pPr>
        <w:pStyle w:val="17"/>
      </w:pPr>
      <w:r>
        <w:rPr>
          <w:rFonts w:hint="eastAsia"/>
        </w:rPr>
        <w:t>主要包含行政办公、商务、文化、休闲等职能，是为新乡县人民群众提供便民服务的综合办公区域，涵盖新乡县人民政府、新乡县商务中心、新乡县展览馆、凤鸣湖公园等。</w:t>
      </w:r>
    </w:p>
    <w:p>
      <w:pPr>
        <w:pStyle w:val="17"/>
      </w:pPr>
      <w:r>
        <w:rPr>
          <w:rFonts w:hint="eastAsia"/>
        </w:rPr>
        <w:t>两副：七里营综合服务中心、小冀综合服务中心。</w:t>
      </w:r>
    </w:p>
    <w:p>
      <w:pPr>
        <w:pStyle w:val="17"/>
      </w:pPr>
      <w:r>
        <w:rPr>
          <w:rFonts w:hint="eastAsia"/>
        </w:rPr>
        <w:t>主要包含行政办公、医疗、文化、休闲等职能，是为七里营片区人民群众提供便民服务的副中心，涵盖七里营镇政府、七里营卫生院、新乡县龙华医院等。</w:t>
      </w:r>
    </w:p>
    <w:p>
      <w:pPr>
        <w:pStyle w:val="17"/>
      </w:pPr>
      <w:r>
        <w:rPr>
          <w:rFonts w:hint="eastAsia"/>
        </w:rPr>
        <w:t>主要包括行政办公、医疗、教育、休闲等职能，是为小冀片区人民群众提供便民服务的副中心，涵盖小冀镇政府、小冀镇卫生院等。</w:t>
      </w:r>
    </w:p>
    <w:p>
      <w:pPr>
        <w:pStyle w:val="17"/>
      </w:pPr>
      <w:r>
        <w:rPr>
          <w:rFonts w:hint="eastAsia"/>
        </w:rPr>
        <w:t>两节点：产城融合节点、轻轨站前节点。</w:t>
      </w:r>
    </w:p>
    <w:p>
      <w:pPr>
        <w:pStyle w:val="5"/>
        <w:ind w:firstLine="640"/>
      </w:pPr>
      <w:r>
        <w:rPr>
          <w:rFonts w:hint="eastAsia"/>
        </w:rPr>
        <w:t>打造</w:t>
      </w:r>
      <w:r>
        <w:t>15</w:t>
      </w:r>
      <w:r>
        <w:rPr>
          <w:rFonts w:hint="eastAsia"/>
        </w:rPr>
        <w:t>分钟生活圈</w:t>
      </w:r>
    </w:p>
    <w:p>
      <w:pPr>
        <w:pStyle w:val="17"/>
      </w:pPr>
      <w:r>
        <w:rPr>
          <w:rFonts w:hint="eastAsia"/>
        </w:rPr>
        <w:t>保障社区生活圈健康有序运行的主要功能，包括社区服务、就业引导、住房改善、日常出行、生态休闲、公共安全等六方面内容。其中社区服务可细分为健康管理、为老服务、终身教育、文化活动、体育健身、商业服务、行政管理和其它等八类。至2035年，基本实现城镇社区15分钟社区生活圈覆盖率达到95.00%。</w:t>
      </w:r>
    </w:p>
    <w:p>
      <w:pPr>
        <w:pStyle w:val="5"/>
        <w:ind w:firstLine="640"/>
      </w:pPr>
      <w:r>
        <w:rPr>
          <w:rFonts w:hint="eastAsia"/>
        </w:rPr>
        <w:t>完善服务要素</w:t>
      </w:r>
    </w:p>
    <w:p>
      <w:pPr>
        <w:pStyle w:val="17"/>
      </w:pPr>
      <w:r>
        <w:t>1</w:t>
      </w:r>
      <w:r>
        <w:rPr>
          <w:rFonts w:hint="eastAsia"/>
        </w:rPr>
        <w:t>.均衡发展教育设施</w:t>
      </w:r>
    </w:p>
    <w:p>
      <w:pPr>
        <w:pStyle w:val="17"/>
      </w:pPr>
      <w:r>
        <w:rPr>
          <w:rFonts w:hint="eastAsia"/>
        </w:rPr>
        <w:t>持续增加义务教育资源供给，优化中高等教育结构。未达标的居住区应由政府统筹新建或扩建学校，推动义务教育优质均衡发展。</w:t>
      </w:r>
    </w:p>
    <w:p>
      <w:pPr>
        <w:pStyle w:val="17"/>
      </w:pPr>
      <w:r>
        <w:t>2</w:t>
      </w:r>
      <w:r>
        <w:rPr>
          <w:rFonts w:hint="eastAsia"/>
        </w:rPr>
        <w:t>.完善健康管理服务体系</w:t>
      </w:r>
    </w:p>
    <w:p>
      <w:pPr>
        <w:pStyle w:val="17"/>
      </w:pPr>
      <w:bookmarkStart w:id="97" w:name="_Hlk160878272"/>
      <w:r>
        <w:rPr>
          <w:rFonts w:hint="eastAsia"/>
        </w:rPr>
        <w:t>统筹</w:t>
      </w:r>
      <w:r>
        <w:rPr>
          <w:rFonts w:hint="eastAsia"/>
          <w:spacing w:val="1"/>
        </w:rPr>
        <w:t>疾病预防控制机构、卫生健康监督机构、妇幼保健机构、健康教育机构、精神卫生机构、急救中心（站）、采供血机构等专业公共卫生机构的建设，</w:t>
      </w:r>
      <w:bookmarkEnd w:id="97"/>
      <w:r>
        <w:rPr>
          <w:rFonts w:hint="eastAsia"/>
        </w:rPr>
        <w:t>全面提升新乡县公立医院综合服务能力，完善城市传染病医疗救治体系，构建平灾兼顾的公共卫生服务体系。</w:t>
      </w:r>
    </w:p>
    <w:p>
      <w:pPr>
        <w:pStyle w:val="17"/>
      </w:pPr>
      <w:r>
        <w:t>3</w:t>
      </w:r>
      <w:r>
        <w:rPr>
          <w:rFonts w:hint="eastAsia"/>
        </w:rPr>
        <w:t>.提升文化服务水平</w:t>
      </w:r>
    </w:p>
    <w:p>
      <w:pPr>
        <w:pStyle w:val="17"/>
      </w:pPr>
      <w:r>
        <w:rPr>
          <w:rFonts w:hint="eastAsia"/>
        </w:rPr>
        <w:t>全面提升公共文化设施网络，提高服务效能。保留现状新乡县青少年活动中心，新增3处文化设施用地，加快推进图书馆、美术馆、科技馆、文化馆、融媒体中心等重大文化设施项目建设。</w:t>
      </w:r>
    </w:p>
    <w:p>
      <w:pPr>
        <w:pStyle w:val="17"/>
      </w:pPr>
      <w:r>
        <w:t>4</w:t>
      </w:r>
      <w:r>
        <w:rPr>
          <w:rFonts w:hint="eastAsia"/>
        </w:rPr>
        <w:t>.强化体育健身服务供给</w:t>
      </w:r>
    </w:p>
    <w:p>
      <w:pPr>
        <w:pStyle w:val="17"/>
      </w:pPr>
      <w:r>
        <w:rPr>
          <w:rFonts w:hint="eastAsia"/>
        </w:rPr>
        <w:t>规划新增1处县级体育公园，位于宋庄路与中央大道交叉口。新建社区体育设施覆盖率达到100.00%，全民健身公共服务水平显著提升。</w:t>
      </w:r>
    </w:p>
    <w:p>
      <w:pPr>
        <w:pStyle w:val="17"/>
      </w:pPr>
      <w:r>
        <w:t>5</w:t>
      </w:r>
      <w:r>
        <w:rPr>
          <w:rFonts w:hint="eastAsia"/>
        </w:rPr>
        <w:t>.健全社会福利设施</w:t>
      </w:r>
    </w:p>
    <w:bookmarkEnd w:id="96"/>
    <w:p>
      <w:pPr>
        <w:pStyle w:val="17"/>
      </w:pPr>
      <w:bookmarkStart w:id="98" w:name="_Hlk157006383"/>
      <w:r>
        <w:rPr>
          <w:rFonts w:hint="eastAsia"/>
        </w:rPr>
        <w:t>新建城镇居住区应当按照每一百户不低于三十平方米的标准配套建设社区养老服务设施。已建成的城镇居住区按照每一百户不低于二十平方米的标准配套建设社区养老服务设施。社区养老服务设施单项建筑面积应当符合国家规定的标准。</w:t>
      </w:r>
      <w:bookmarkEnd w:id="98"/>
    </w:p>
    <w:p>
      <w:pPr>
        <w:pStyle w:val="4"/>
        <w:numPr>
          <w:ilvl w:val="0"/>
          <w:numId w:val="12"/>
        </w:numPr>
        <w:rPr>
          <w:rFonts w:hint="eastAsia"/>
        </w:rPr>
      </w:pPr>
      <w:bookmarkStart w:id="99" w:name="_Toc178172841"/>
      <w:r>
        <w:rPr>
          <w:rFonts w:hint="eastAsia"/>
        </w:rPr>
        <w:t>系统梳理蓝绿空间，优化开敞空间体系</w:t>
      </w:r>
      <w:bookmarkEnd w:id="99"/>
    </w:p>
    <w:p>
      <w:pPr>
        <w:pStyle w:val="5"/>
        <w:ind w:firstLine="640"/>
      </w:pPr>
      <w:r>
        <w:rPr>
          <w:rFonts w:hint="eastAsia"/>
        </w:rPr>
        <w:t>构建城市蓝绿空间网络</w:t>
      </w:r>
    </w:p>
    <w:p>
      <w:pPr>
        <w:pStyle w:val="17"/>
      </w:pPr>
      <w:bookmarkStart w:id="100" w:name="_Hlk134643699"/>
      <w:r>
        <w:rPr>
          <w:rFonts w:hint="eastAsia"/>
        </w:rPr>
        <w:t>梳理城区内部敦孟排、南支排、东三干渠、东孟姜女河等沟渠河流，通过疏通渠道、改造线路等方式，形成河渠串联成网的格局。</w:t>
      </w:r>
    </w:p>
    <w:p>
      <w:pPr>
        <w:pStyle w:val="17"/>
      </w:pPr>
      <w:r>
        <w:rPr>
          <w:rFonts w:hint="eastAsia"/>
        </w:rPr>
        <w:t>沿中央大道、青年路、和谐大道、金融路、青龙路、辉原线、平安路、京华街道路两侧布置10米宽绿化带，形成环状的绿化格局。沿城区内部河渠两侧控制10-30米宽绿化带。结合居住区及城市公共服务中心布局块状绿地，形成“一核、一环、三廊、多点”的蓝绿空间网络。</w:t>
      </w:r>
      <w:bookmarkEnd w:id="100"/>
    </w:p>
    <w:p>
      <w:pPr>
        <w:pStyle w:val="5"/>
        <w:ind w:firstLine="640"/>
      </w:pPr>
      <w:r>
        <w:rPr>
          <w:rFonts w:hint="eastAsia"/>
        </w:rPr>
        <w:t>优化开敞空间体系</w:t>
      </w:r>
    </w:p>
    <w:p>
      <w:pPr>
        <w:ind w:firstLine="560"/>
        <w:rPr>
          <w:rFonts w:ascii="Times New Roman" w:hAnsi="Times New Roman" w:eastAsia="仿宋" w:cs="Times New Roman"/>
          <w:sz w:val="32"/>
          <w:szCs w:val="20"/>
        </w:rPr>
      </w:pPr>
      <w:bookmarkStart w:id="101" w:name="_Hlk134643716"/>
      <w:r>
        <w:rPr>
          <w:rFonts w:hint="eastAsia" w:ascii="Times New Roman" w:hAnsi="Times New Roman" w:eastAsia="仿宋" w:cs="Times New Roman"/>
          <w:sz w:val="32"/>
          <w:szCs w:val="20"/>
        </w:rPr>
        <w:t>1、公园绿地</w:t>
      </w:r>
    </w:p>
    <w:p>
      <w:pPr>
        <w:pStyle w:val="17"/>
      </w:pPr>
      <w:r>
        <w:rPr>
          <w:rFonts w:hint="eastAsia"/>
        </w:rPr>
        <w:t>遵循分层级、全覆盖的原则，将中心城区内</w:t>
      </w:r>
      <w:bookmarkStart w:id="102" w:name="_Hlk157007652"/>
      <w:r>
        <w:rPr>
          <w:rFonts w:hint="eastAsia"/>
        </w:rPr>
        <w:t>公园绿地分为综合公园、社区公园、专类公园、游园、口袋公园五类。</w:t>
      </w:r>
      <w:bookmarkEnd w:id="101"/>
      <w:bookmarkEnd w:id="102"/>
    </w:p>
    <w:p>
      <w:pPr>
        <w:pStyle w:val="17"/>
      </w:pPr>
      <w:r>
        <w:rPr>
          <w:rFonts w:hint="eastAsia"/>
        </w:rPr>
        <w:t>（1）综合公园。规划综合公园2处，服务半径为3-5公里，分别是凤鸣湖公园、京华园。</w:t>
      </w:r>
    </w:p>
    <w:p>
      <w:pPr>
        <w:pStyle w:val="17"/>
      </w:pPr>
      <w:r>
        <w:rPr>
          <w:rFonts w:hint="eastAsia"/>
        </w:rPr>
        <w:t>（2）社区公园。按照服务半径500-1000米布局社区公园，与15分钟社区公服圈范围一致，共布局18处社区公园。</w:t>
      </w:r>
    </w:p>
    <w:p>
      <w:pPr>
        <w:pStyle w:val="17"/>
      </w:pPr>
      <w:r>
        <w:rPr>
          <w:rFonts w:hint="eastAsia"/>
        </w:rPr>
        <w:t>（3）专类公园。结合河流、文化、产业等特色要素设置，充分体现其主题并满足常规休闲游憩需求。规划专类公园2处，分别为体育公园、龙泉公园。</w:t>
      </w:r>
    </w:p>
    <w:p>
      <w:pPr>
        <w:pStyle w:val="17"/>
      </w:pPr>
      <w:r>
        <w:rPr>
          <w:rFonts w:hint="eastAsia"/>
        </w:rPr>
        <w:t>（4）游园。包括小型街道广场绿地、小型沿街绿化用地等，服务半径300-500米。</w:t>
      </w:r>
    </w:p>
    <w:p>
      <w:pPr>
        <w:pStyle w:val="17"/>
      </w:pPr>
      <w:r>
        <w:rPr>
          <w:rFonts w:hint="eastAsia"/>
        </w:rPr>
        <w:t>（5）口袋公园。推行城市道路十字路口“四分之一”法则，至少一个拐角建设街头绿地。结合新建街区、居住区，老城改造区等，规划一批口袋公园，采取留白增绿、见缝插绿、拆违建绿等方式建设口袋公园。</w:t>
      </w:r>
    </w:p>
    <w:p>
      <w:pPr>
        <w:pStyle w:val="17"/>
      </w:pPr>
      <w:r>
        <w:rPr>
          <w:rFonts w:hint="eastAsia"/>
        </w:rPr>
        <w:t>2、防护绿地</w:t>
      </w:r>
    </w:p>
    <w:p>
      <w:pPr>
        <w:pStyle w:val="17"/>
      </w:pPr>
      <w:r>
        <w:rPr>
          <w:rFonts w:hint="eastAsia"/>
        </w:rPr>
        <w:t>城镇开发边界内，铁路两侧防护距离按相关规定执行。新建污水处理厂和垃圾处理厂应满足环保部门环境影响评价要求。</w:t>
      </w:r>
    </w:p>
    <w:p>
      <w:pPr>
        <w:pStyle w:val="5"/>
        <w:ind w:firstLine="640"/>
      </w:pPr>
      <w:r>
        <w:rPr>
          <w:rFonts w:hint="eastAsia"/>
        </w:rPr>
        <w:t>预留城市通风廊道</w:t>
      </w:r>
    </w:p>
    <w:p>
      <w:pPr>
        <w:pStyle w:val="17"/>
      </w:pPr>
      <w:r>
        <w:rPr>
          <w:rFonts w:hint="eastAsia"/>
        </w:rPr>
        <w:t>中心城区依托人民胜利渠及两侧约100米宽的空间，形成城市通风廊道。充分考虑城市外围开敞空间、绿地、河流水系等影响因素，结合“四楔”建设，对风道口区域进行有效控制。</w:t>
      </w:r>
    </w:p>
    <w:p>
      <w:pPr>
        <w:pStyle w:val="4"/>
        <w:numPr>
          <w:ilvl w:val="0"/>
          <w:numId w:val="12"/>
        </w:numPr>
        <w:rPr>
          <w:rFonts w:hint="eastAsia"/>
        </w:rPr>
      </w:pPr>
      <w:bookmarkStart w:id="103" w:name="_Toc82989210"/>
      <w:bookmarkStart w:id="104" w:name="_Toc178172842"/>
      <w:r>
        <w:rPr>
          <w:rFonts w:hint="eastAsia"/>
        </w:rPr>
        <w:t>推进城市有机更新</w:t>
      </w:r>
      <w:bookmarkEnd w:id="103"/>
      <w:r>
        <w:rPr>
          <w:rFonts w:hint="eastAsia"/>
        </w:rPr>
        <w:t>，盘活存量空间资源</w:t>
      </w:r>
      <w:bookmarkEnd w:id="104"/>
    </w:p>
    <w:p>
      <w:pPr>
        <w:pStyle w:val="5"/>
        <w:ind w:firstLine="640"/>
      </w:pPr>
      <w:r>
        <w:rPr>
          <w:rFonts w:hint="eastAsia"/>
        </w:rPr>
        <w:t>推动城市更新，转向存量优化</w:t>
      </w:r>
    </w:p>
    <w:p>
      <w:pPr>
        <w:pStyle w:val="17"/>
      </w:pPr>
      <w:r>
        <w:rPr>
          <w:rFonts w:hint="eastAsia"/>
        </w:rPr>
        <w:t>以有机更新为手段促进城市建设提质增效。鼓励开展旧居住、旧工业仓储、旧批发市场、外迁基础设施、闲置未利用地和已批未用地的更新整治，促进结构优化、发展转型、民生改善，留白增绿。</w:t>
      </w:r>
    </w:p>
    <w:p>
      <w:pPr>
        <w:pStyle w:val="5"/>
        <w:ind w:firstLine="640"/>
      </w:pPr>
      <w:r>
        <w:rPr>
          <w:rFonts w:hint="eastAsia"/>
        </w:rPr>
        <w:t>分类引导，盘活存量用地资源</w:t>
      </w:r>
    </w:p>
    <w:p>
      <w:pPr>
        <w:pStyle w:val="17"/>
      </w:pPr>
      <w:r>
        <w:rPr>
          <w:rFonts w:hint="eastAsia"/>
        </w:rPr>
        <w:t>持续推进心连心生活区、小冀镇老镇区、七里营镇老镇区的微改造，改善居住环境、设施配套，房屋安全性能等，实现既有住区有机更新，焕发新活力。综合运用升级改造和全面改造，盘活沿黄河大道两侧低效工业用地、工业大道周边仓储用地，为新型产业腾挪空间。</w:t>
      </w:r>
    </w:p>
    <w:p>
      <w:pPr>
        <w:pStyle w:val="17"/>
      </w:pPr>
      <w:bookmarkStart w:id="105" w:name="_Hlk162191770"/>
      <w:r>
        <w:rPr>
          <w:rFonts w:hint="eastAsia"/>
        </w:rPr>
        <w:t>强化发展区。以工业区为主，包括青龙路以北的工业区、开发区北区、中区、南区，</w:t>
      </w:r>
      <w:r>
        <w:rPr>
          <w:rFonts w:hint="eastAsia" w:ascii="仿宋_GB2312"/>
        </w:rPr>
        <w:t>采取“退二优二”方式，对城市产业结构进行重构和调整。明确主导产业，积极推进产业升级改造，促进土地高效利用。</w:t>
      </w:r>
    </w:p>
    <w:p>
      <w:pPr>
        <w:pStyle w:val="17"/>
      </w:pPr>
      <w:r>
        <w:rPr>
          <w:rFonts w:hint="eastAsia"/>
        </w:rPr>
        <w:t>保护复兴区。青龙路以南、胡韦线以西、中央大道以东、黄河大道以北区域，主要为小冀镇镇区，</w:t>
      </w:r>
      <w:r>
        <w:rPr>
          <w:rFonts w:hint="eastAsia" w:ascii="仿宋_GB2312"/>
        </w:rPr>
        <w:t>尊重小冀镇镇区的城镇肌理、空间特色、街巷尺度，改造修复危旧建筑，增加公共空间，完善基础设施和公共服务设施，优化道路系统和交通组织。</w:t>
      </w:r>
    </w:p>
    <w:p>
      <w:pPr>
        <w:pStyle w:val="17"/>
      </w:pPr>
      <w:r>
        <w:rPr>
          <w:rFonts w:hint="eastAsia"/>
        </w:rPr>
        <w:t>优化提升区。青龙路以南、中央大道以东、凤鸣路以北区域。</w:t>
      </w:r>
      <w:r>
        <w:rPr>
          <w:rFonts w:hint="eastAsia" w:ascii="仿宋_GB2312"/>
        </w:rPr>
        <w:t>更新重点为改善人居环境，完善公共服务，增补公共设施和绿地广场，打造宜居城市。</w:t>
      </w:r>
    </w:p>
    <w:p>
      <w:pPr>
        <w:pStyle w:val="17"/>
      </w:pPr>
      <w:r>
        <w:rPr>
          <w:rFonts w:hint="eastAsia"/>
        </w:rPr>
        <w:t>战略发展区。金融路以南、胡韦线以栋、八六路以北、寿和街以西。该区域人口居住密集，城中村较多，未来更新重点是城中村改造，是与城市新区发展紧密绑定的战略发展区域</w:t>
      </w:r>
      <w:r>
        <w:rPr>
          <w:rFonts w:hint="eastAsia" w:ascii="仿宋_GB2312"/>
        </w:rPr>
        <w:t>。</w:t>
      </w:r>
      <w:bookmarkEnd w:id="105"/>
    </w:p>
    <w:p>
      <w:pPr>
        <w:pStyle w:val="5"/>
        <w:ind w:firstLine="640"/>
      </w:pPr>
      <w:r>
        <w:rPr>
          <w:rFonts w:hint="eastAsia"/>
        </w:rPr>
        <w:t>重点突破，积极引导重点区域更新</w:t>
      </w:r>
    </w:p>
    <w:p>
      <w:pPr>
        <w:pStyle w:val="17"/>
      </w:pPr>
      <w:r>
        <w:rPr>
          <w:rFonts w:hint="eastAsia"/>
        </w:rPr>
        <w:t>划定小冀京华园板块、七里营老镇区板块、小冀南部工业区版块3处重点区域，开展人居环境改善、城市形象提升等工作，形成城市新增长极。</w:t>
      </w:r>
    </w:p>
    <w:p>
      <w:pPr>
        <w:pStyle w:val="5"/>
        <w:ind w:firstLine="640"/>
      </w:pPr>
      <w:r>
        <w:rPr>
          <w:rFonts w:hint="eastAsia"/>
        </w:rPr>
        <w:t>注重更新规划传导，强化规划管控</w:t>
      </w:r>
    </w:p>
    <w:p>
      <w:pPr>
        <w:pStyle w:val="17"/>
      </w:pPr>
      <w:r>
        <w:rPr>
          <w:rFonts w:hint="eastAsia"/>
        </w:rPr>
        <w:t>强化更新规划传导管控。建立“更新片区-更新单元-更新板块”城市更新传导机制，实现从宏观目标管控到中观统筹协调、微观更新控制的层层传导，促进城市更新长效运作的系统性管控机制形成。</w:t>
      </w:r>
    </w:p>
    <w:p>
      <w:pPr>
        <w:pStyle w:val="17"/>
      </w:pPr>
      <w:r>
        <w:rPr>
          <w:rFonts w:hint="eastAsia"/>
        </w:rPr>
        <w:t>编制区片城市更新专项规划。各片区根据本规划和工作实际，编制片区城市更新专项规划，明确本辖区城市更新重点任务和工作目标，制定近期实施计划。</w:t>
      </w:r>
      <w:bookmarkStart w:id="106" w:name="_Hlk157072501"/>
      <w:r>
        <w:rPr>
          <w:rFonts w:hint="eastAsia"/>
        </w:rPr>
        <w:t>到2025年，补齐小冀京华园板块、七里营老镇区板块、小冀南部工业区版块基础设施和公共服务设施短板，助力形成新的经济增长点。远期重点盘活黄河大道两侧低效工业用地、工业大道周边仓储用地，引导和利用旧厂房发展新型产业、文化产业、现代服务业等业态，推进旧厂房微改造，深入挖掘存量工业用地资源。</w:t>
      </w:r>
      <w:bookmarkEnd w:id="106"/>
    </w:p>
    <w:p>
      <w:pPr>
        <w:pStyle w:val="4"/>
        <w:numPr>
          <w:ilvl w:val="0"/>
          <w:numId w:val="12"/>
        </w:numPr>
        <w:rPr>
          <w:rFonts w:hint="eastAsia"/>
        </w:rPr>
      </w:pPr>
      <w:bookmarkStart w:id="107" w:name="_Toc178172843"/>
      <w:r>
        <w:rPr>
          <w:rFonts w:hint="eastAsia"/>
        </w:rPr>
        <w:t>加强地下空间开发，促进土地高效复合使用</w:t>
      </w:r>
      <w:bookmarkEnd w:id="107"/>
    </w:p>
    <w:p>
      <w:pPr>
        <w:pStyle w:val="17"/>
      </w:pPr>
      <w:bookmarkStart w:id="108" w:name="_Hlk134643748"/>
      <w:r>
        <w:rPr>
          <w:rFonts w:hint="eastAsia"/>
        </w:rPr>
        <w:t>坚持先地下后地上、地上地下相协调、平战结合与平灾结合并重的原则，以城市中心区为核心，以公共活动中心为重点，统筹人防、商业、停车、市政等各类地下设施，构建安全、高效、便捷、可持续发展的地下空间系统</w:t>
      </w:r>
      <w:bookmarkEnd w:id="108"/>
      <w:r>
        <w:rPr>
          <w:rFonts w:hint="eastAsia"/>
        </w:rPr>
        <w:t>。</w:t>
      </w:r>
    </w:p>
    <w:p>
      <w:pPr>
        <w:pStyle w:val="5"/>
        <w:ind w:firstLine="640"/>
      </w:pPr>
      <w:r>
        <w:rPr>
          <w:rFonts w:hint="eastAsia"/>
        </w:rPr>
        <w:t>明确分类分层规划</w:t>
      </w:r>
    </w:p>
    <w:p>
      <w:pPr>
        <w:pStyle w:val="17"/>
      </w:pPr>
      <w:r>
        <w:rPr>
          <w:rFonts w:hint="eastAsia"/>
        </w:rPr>
        <w:t>1.城市中心区。城市综合服务中心结合商业、广场、绿地建设地下空间，将停车、市政等城市功能转入地下，改善城市中心区的环境，深度在0～</w:t>
      </w:r>
      <w:r>
        <w:rPr>
          <w:rFonts w:hint="eastAsia" w:ascii="微软雅黑" w:hAnsi="微软雅黑" w:eastAsia="微软雅黑" w:cs="微软雅黑"/>
        </w:rPr>
        <w:t>–</w:t>
      </w:r>
      <w:r>
        <w:rPr>
          <w:rFonts w:hint="eastAsia"/>
        </w:rPr>
        <w:t>15米。</w:t>
      </w:r>
    </w:p>
    <w:p>
      <w:pPr>
        <w:pStyle w:val="17"/>
      </w:pPr>
      <w:r>
        <w:rPr>
          <w:rFonts w:hint="eastAsia"/>
        </w:rPr>
        <w:t>2.居住区。充分体现居住环境的整体性、功能性、经济性、生态性、超前性与灵活性。主要功能为地下停车功能，深度在0～</w:t>
      </w:r>
      <w:r>
        <w:rPr>
          <w:rFonts w:hint="eastAsia" w:ascii="微软雅黑" w:hAnsi="微软雅黑" w:eastAsia="微软雅黑" w:cs="微软雅黑"/>
        </w:rPr>
        <w:t>–</w:t>
      </w:r>
      <w:r>
        <w:rPr>
          <w:rFonts w:hint="eastAsia"/>
        </w:rPr>
        <w:t>15米。</w:t>
      </w:r>
    </w:p>
    <w:p>
      <w:pPr>
        <w:pStyle w:val="17"/>
      </w:pPr>
      <w:r>
        <w:rPr>
          <w:rFonts w:hint="eastAsia"/>
        </w:rPr>
        <w:t>3.地下管线综合管廊。为节约土地，提高地下管线的经济、环境和社会以及防灾效益，金融路南北两侧区域可结合城市路网建设地下管线综合管廊。</w:t>
      </w:r>
    </w:p>
    <w:p>
      <w:pPr>
        <w:pStyle w:val="5"/>
        <w:ind w:firstLine="640"/>
      </w:pPr>
      <w:r>
        <w:rPr>
          <w:rFonts w:hint="eastAsia"/>
        </w:rPr>
        <w:t>明确分区管控要求</w:t>
      </w:r>
    </w:p>
    <w:p>
      <w:pPr>
        <w:pStyle w:val="17"/>
      </w:pPr>
      <w:r>
        <w:rPr>
          <w:rFonts w:hint="eastAsia"/>
        </w:rPr>
        <w:t>限制开发区。以地质条件受限区以及具有一定生态功能的公园绿地等为主，原则上禁止与自身配套无关的地下空间资源开发，主要为人民胜利渠、敦孟排、南支排等沟渠周边以及烈士陵园、京华园公园、凤鸣湖公园等区域。</w:t>
      </w:r>
    </w:p>
    <w:p>
      <w:pPr>
        <w:pStyle w:val="17"/>
      </w:pPr>
      <w:r>
        <w:rPr>
          <w:rFonts w:hint="eastAsia"/>
        </w:rPr>
        <w:t>重点开发区。以轨道交通换乘枢纽、公共活动中心地区等区域为主，主要分布在轨道交通站前区域、商务中心区。</w:t>
      </w:r>
    </w:p>
    <w:p>
      <w:pPr>
        <w:pStyle w:val="17"/>
      </w:pPr>
      <w:r>
        <w:rPr>
          <w:rFonts w:hint="eastAsia"/>
        </w:rPr>
        <w:t>鼓励开发区。以重点开发区周边、公共功能相对集中区为主，应以补充完善停车、商业及配套服务等地面所需功能为主，促进地下空间互联互通。</w:t>
      </w:r>
    </w:p>
    <w:p>
      <w:pPr>
        <w:pStyle w:val="17"/>
      </w:pPr>
      <w:r>
        <w:rPr>
          <w:rFonts w:hint="eastAsia"/>
        </w:rPr>
        <w:t>一般区。以上三种以外的其他开发区域，地下开发以配建功能为主，不宜做商业开发。</w:t>
      </w:r>
    </w:p>
    <w:p>
      <w:pPr>
        <w:pStyle w:val="5"/>
        <w:ind w:firstLine="640"/>
      </w:pPr>
      <w:r>
        <w:rPr>
          <w:rFonts w:hint="eastAsia"/>
        </w:rPr>
        <w:t>推进城市地上、地下空间一体化开发利用</w:t>
      </w:r>
    </w:p>
    <w:p>
      <w:pPr>
        <w:pStyle w:val="17"/>
      </w:pPr>
      <w:r>
        <w:rPr>
          <w:rFonts w:hint="eastAsia"/>
        </w:rPr>
        <w:t>坚持先地下后地上、地上地下相协调、平战结合与平灾结合并重的原则，以城市中心区为核心，以公共活动中心为重点，统筹人防、商业、停车、市政等各类地下设施，构建安全、高效、便捷、可持续发展的地下空间系统。</w:t>
      </w:r>
    </w:p>
    <w:p>
      <w:pPr>
        <w:pStyle w:val="4"/>
        <w:numPr>
          <w:ilvl w:val="0"/>
          <w:numId w:val="12"/>
        </w:numPr>
        <w:rPr>
          <w:rFonts w:hint="eastAsia"/>
        </w:rPr>
      </w:pPr>
      <w:bookmarkStart w:id="109" w:name="_Toc82989212"/>
      <w:bookmarkStart w:id="110" w:name="_Toc178172844"/>
      <w:r>
        <w:rPr>
          <w:rFonts w:hint="eastAsia"/>
        </w:rPr>
        <w:t>统筹城市四线划定，加强城市要素管控</w:t>
      </w:r>
      <w:bookmarkEnd w:id="109"/>
      <w:bookmarkEnd w:id="110"/>
    </w:p>
    <w:p>
      <w:pPr>
        <w:pStyle w:val="5"/>
        <w:ind w:firstLine="640"/>
      </w:pPr>
      <w:r>
        <w:rPr>
          <w:rFonts w:hint="eastAsia"/>
        </w:rPr>
        <w:t>绿线</w:t>
      </w:r>
      <w:r>
        <w:t>规划</w:t>
      </w:r>
    </w:p>
    <w:p>
      <w:pPr>
        <w:pStyle w:val="17"/>
      </w:pPr>
      <w:bookmarkStart w:id="111" w:name="_Hlk134643806"/>
      <w:bookmarkStart w:id="112" w:name="_Hlk162191911"/>
      <w:r>
        <w:rPr>
          <w:rFonts w:hint="eastAsia"/>
        </w:rPr>
        <w:t>将京华园、凤鸣湖公园、体育公园等公园、城市重要干路带状绿地</w:t>
      </w:r>
      <w:r>
        <w:rPr>
          <w:rFonts w:hint="eastAsia" w:ascii="仿宋_GB2312"/>
        </w:rPr>
        <w:t>以及多条高压防护绿地</w:t>
      </w:r>
      <w:r>
        <w:rPr>
          <w:rFonts w:hint="eastAsia"/>
        </w:rPr>
        <w:t>划定为</w:t>
      </w:r>
      <w:r>
        <w:rPr>
          <w:rFonts w:hint="eastAsia" w:ascii="仿宋_GB2312"/>
        </w:rPr>
        <w:t>“城市绿线”</w:t>
      </w:r>
      <w:r>
        <w:rPr>
          <w:rFonts w:hint="eastAsia"/>
        </w:rPr>
        <w:t>。</w:t>
      </w:r>
      <w:bookmarkEnd w:id="111"/>
      <w:bookmarkEnd w:id="112"/>
    </w:p>
    <w:p>
      <w:pPr>
        <w:pStyle w:val="17"/>
      </w:pPr>
      <w:r>
        <w:rPr>
          <w:rFonts w:hint="eastAsia"/>
        </w:rPr>
        <w:t>绿线范围内原有村庄改造应不扩大现状建设占地规模。因市政基础设施，公共设施建设需要等情形确需修改绿线的，应遵循公园绿地规模总量不减少、服务半径不增加、绿地系统完整的原则，生态廊道应遵循绿地格局和功能不受影响的原则。</w:t>
      </w:r>
    </w:p>
    <w:p>
      <w:pPr>
        <w:pStyle w:val="5"/>
        <w:ind w:firstLine="640"/>
      </w:pPr>
      <w:r>
        <w:rPr>
          <w:rFonts w:hint="eastAsia"/>
        </w:rPr>
        <w:t>蓝线</w:t>
      </w:r>
      <w:r>
        <w:t>规划</w:t>
      </w:r>
    </w:p>
    <w:p>
      <w:pPr>
        <w:pStyle w:val="17"/>
      </w:pPr>
      <w:bookmarkStart w:id="113" w:name="_Hlk162192030"/>
      <w:bookmarkStart w:id="114" w:name="_Hlk134643821"/>
      <w:r>
        <w:rPr>
          <w:rFonts w:hint="eastAsia"/>
        </w:rPr>
        <w:t>将人民胜利渠管理范围划定为城市蓝线。</w:t>
      </w:r>
      <w:bookmarkEnd w:id="113"/>
    </w:p>
    <w:bookmarkEnd w:id="114"/>
    <w:p>
      <w:pPr>
        <w:pStyle w:val="17"/>
      </w:pPr>
      <w:r>
        <w:rPr>
          <w:rFonts w:hint="eastAsia"/>
        </w:rPr>
        <w:t>在城市蓝线范围内禁止进行下列活动：违反城市蓝线保护和控制要求的建设活动；擅自填埋、占用城市蓝线内水域: 影响水系安全的爆破、采石、取土；擅自建设各类排污设施；其它对城市水系保护构成破坏的活动。在城市蓝线范围内，不符合规划要求的建筑物、构筑物、道路、管线和其他工程设施应当限期迁出。</w:t>
      </w:r>
    </w:p>
    <w:p>
      <w:pPr>
        <w:pStyle w:val="5"/>
        <w:ind w:firstLine="640"/>
      </w:pPr>
      <w:r>
        <w:rPr>
          <w:rFonts w:hint="eastAsia"/>
        </w:rPr>
        <w:t>黄线规划</w:t>
      </w:r>
    </w:p>
    <w:p>
      <w:pPr>
        <w:pStyle w:val="17"/>
      </w:pPr>
      <w:bookmarkStart w:id="115" w:name="_Hlk134643863"/>
      <w:bookmarkStart w:id="116" w:name="_Hlk162192099"/>
      <w:r>
        <w:rPr>
          <w:rFonts w:hint="eastAsia"/>
        </w:rPr>
        <w:t>将供水厂、污水处理厂、</w:t>
      </w:r>
      <w:r>
        <w:rPr>
          <w:rFonts w:hint="eastAsia" w:ascii="仿宋_GB2312"/>
        </w:rPr>
        <w:t>交通枢纽、变电站、消防站、环境卫生等基础设施划为“城市黄线”</w:t>
      </w:r>
      <w:r>
        <w:rPr>
          <w:rFonts w:hint="eastAsia"/>
        </w:rPr>
        <w:t>。</w:t>
      </w:r>
      <w:bookmarkEnd w:id="115"/>
    </w:p>
    <w:bookmarkEnd w:id="116"/>
    <w:p>
      <w:pPr>
        <w:pStyle w:val="17"/>
      </w:pPr>
      <w:r>
        <w:rPr>
          <w:rFonts w:hint="eastAsia" w:ascii="仿宋_GB2312"/>
        </w:rPr>
        <w:t>在城市黄线范围内禁止违反规划要求，进行建筑物、构筑物及其他设施的建设；禁止违反国家有关技术标准和规范进行建设；禁止未经批准，改装、迁移或拆毁原有城市基础设施；禁止其他损坏城市基础设施或影响城市基础设施安全和正常运转的行为。</w:t>
      </w:r>
    </w:p>
    <w:p>
      <w:pPr>
        <w:pStyle w:val="4"/>
        <w:numPr>
          <w:ilvl w:val="0"/>
          <w:numId w:val="12"/>
        </w:numPr>
        <w:rPr>
          <w:rFonts w:hint="eastAsia"/>
        </w:rPr>
      </w:pPr>
      <w:bookmarkStart w:id="117" w:name="_Toc178172845"/>
      <w:bookmarkStart w:id="118" w:name="_Toc82989211"/>
      <w:r>
        <w:rPr>
          <w:rFonts w:hint="eastAsia"/>
        </w:rPr>
        <w:t>坚持城市设计引领，塑造城市特色风貌</w:t>
      </w:r>
      <w:bookmarkEnd w:id="117"/>
    </w:p>
    <w:p>
      <w:pPr>
        <w:pStyle w:val="5"/>
        <w:ind w:firstLine="640"/>
      </w:pPr>
      <w:r>
        <w:rPr>
          <w:rFonts w:hint="eastAsia"/>
        </w:rPr>
        <w:t>塑造总体特色空间结构</w:t>
      </w:r>
    </w:p>
    <w:p>
      <w:pPr>
        <w:pStyle w:val="17"/>
      </w:pPr>
      <w:r>
        <w:rPr>
          <w:rFonts w:hint="eastAsia"/>
        </w:rPr>
        <w:t>规划结合蓝绿空间和文化特色，构建“一廊两轴、两带多点”的空间结构。</w:t>
      </w:r>
    </w:p>
    <w:p>
      <w:pPr>
        <w:pStyle w:val="17"/>
      </w:pPr>
      <w:r>
        <w:rPr>
          <w:rFonts w:hint="eastAsia"/>
        </w:rPr>
        <w:t>1.一廊两轴</w:t>
      </w:r>
    </w:p>
    <w:p>
      <w:pPr>
        <w:pStyle w:val="17"/>
      </w:pPr>
      <w:r>
        <w:rPr>
          <w:rFonts w:hint="eastAsia"/>
        </w:rPr>
        <w:t>一廊：结合人民胜利渠两侧规划控制的生态空间，设计贯穿城市的生态景观廊道，营造绿水相呼相映高效益的生态空间廊道。</w:t>
      </w:r>
    </w:p>
    <w:p>
      <w:pPr>
        <w:pStyle w:val="17"/>
      </w:pPr>
      <w:r>
        <w:rPr>
          <w:rFonts w:hint="eastAsia"/>
        </w:rPr>
        <w:t>两轴：以青年路为轴，将代表小冀镇文化特色的京华园、商业街区与展现七里营镇繁荣经济的片区核心进行串联；以青龙路为轴，将生活区与工业区有机衔接，形成对外展示新乡县产城融合发展的示范轴。</w:t>
      </w:r>
    </w:p>
    <w:p>
      <w:pPr>
        <w:pStyle w:val="17"/>
      </w:pPr>
      <w:r>
        <w:rPr>
          <w:rFonts w:hint="eastAsia"/>
        </w:rPr>
        <w:t>2.两带多点</w:t>
      </w:r>
    </w:p>
    <w:p>
      <w:pPr>
        <w:pStyle w:val="17"/>
      </w:pPr>
      <w:r>
        <w:rPr>
          <w:rFonts w:hint="eastAsia"/>
        </w:rPr>
        <w:t>两带：以贯通县城南北向的中央大道为纵向景观带，以串联东西的金融路为横向景观带，作为新乡县中心城区对外的门户型通道。</w:t>
      </w:r>
    </w:p>
    <w:p>
      <w:pPr>
        <w:pStyle w:val="17"/>
      </w:pPr>
      <w:r>
        <w:rPr>
          <w:rFonts w:hint="eastAsia"/>
        </w:rPr>
        <w:t>多点：小冀核心景观节点，东部核心景观节点，城市入口景观节点，城市内部景观节点。规划在广场、主要干道交叉口处。</w:t>
      </w:r>
    </w:p>
    <w:p>
      <w:pPr>
        <w:pStyle w:val="5"/>
        <w:ind w:firstLine="640"/>
      </w:pPr>
      <w:r>
        <w:rPr>
          <w:rFonts w:hint="eastAsia"/>
        </w:rPr>
        <w:t>控制开发强度，优化天际轮廓线</w:t>
      </w:r>
    </w:p>
    <w:p>
      <w:pPr>
        <w:pStyle w:val="17"/>
      </w:pPr>
      <w:bookmarkStart w:id="119" w:name="_Hlk162192176"/>
      <w:bookmarkStart w:id="120" w:name="_Hlk134643892"/>
      <w:bookmarkStart w:id="121" w:name="_Hlk157008143"/>
      <w:r>
        <w:rPr>
          <w:rFonts w:hint="eastAsia"/>
        </w:rPr>
        <w:t>以城市整体形态的视角重新梳理城市的空间布局和体量关系，明确城区开发强度分区管控。在下层次规划中应针对不同开发强度分区、不同用地分类，分层分区分类实施差别化管理。</w:t>
      </w:r>
    </w:p>
    <w:bookmarkEnd w:id="119"/>
    <w:p>
      <w:pPr>
        <w:pStyle w:val="17"/>
      </w:pPr>
      <w:r>
        <w:rPr>
          <w:rFonts w:hint="eastAsia"/>
        </w:rPr>
        <w:t>天际轮廓线：</w:t>
      </w:r>
      <w:bookmarkStart w:id="122" w:name="_Hlk162194400"/>
      <w:r>
        <w:rPr>
          <w:rFonts w:hint="eastAsia"/>
        </w:rPr>
        <w:t>借助存在的开放空间因素，并结合3个强度层次要求控制竖向空间形态。使中心区建筑群与中间区建筑群、外围区建筑群以及开放性空间之间形成疏密有序、富有节奏感和韵律感的天际轮廓线，增强景观的层次感。</w:t>
      </w:r>
      <w:bookmarkEnd w:id="120"/>
      <w:bookmarkEnd w:id="122"/>
    </w:p>
    <w:bookmarkEnd w:id="121"/>
    <w:p>
      <w:pPr>
        <w:pStyle w:val="5"/>
        <w:ind w:firstLine="640"/>
      </w:pPr>
      <w:r>
        <w:rPr>
          <w:rFonts w:hint="eastAsia"/>
        </w:rPr>
        <w:t>构建中心城区景观眺望系统</w:t>
      </w:r>
    </w:p>
    <w:p>
      <w:pPr>
        <w:pStyle w:val="17"/>
      </w:pPr>
      <w:r>
        <w:rPr>
          <w:rFonts w:hint="eastAsia"/>
        </w:rPr>
        <w:t>构建3个中心景观眺望点和5个公路门户眺望点，展现新乡县地域文化魅力的景观眺望系统，重点维护沿轴地标间的互望视廊。</w:t>
      </w:r>
    </w:p>
    <w:p>
      <w:pPr>
        <w:pStyle w:val="17"/>
      </w:pPr>
      <w:r>
        <w:rPr>
          <w:rFonts w:hint="eastAsia"/>
        </w:rPr>
        <w:t>3个中心景观眺望点。依托高层地标建筑及主要开敞空间，规划商务中心区、京华园、先进群体学习中心三处中心眺望点，通过对第五立面、背景建筑和景观视廊的控制，保证商务中心区、京华园、先进群体学习中心环眺景观面域的景观效果。</w:t>
      </w:r>
    </w:p>
    <w:p>
      <w:pPr>
        <w:pStyle w:val="17"/>
      </w:pPr>
      <w:r>
        <w:rPr>
          <w:rFonts w:hint="eastAsia"/>
        </w:rPr>
        <w:t>5个公路门户眺望点。重点管控黄河大道—青龙路、黄河大道—辉原线、金融路—祥和街、中央大道—工业大道、中央大道—八六路等5个城市门户，通过对景观视廊和城市街廓的控制，保证门户眺望点的景观效果。</w:t>
      </w:r>
    </w:p>
    <w:p>
      <w:pPr>
        <w:pStyle w:val="5"/>
        <w:ind w:firstLine="640"/>
      </w:pPr>
      <w:r>
        <w:rPr>
          <w:rFonts w:hint="eastAsia"/>
        </w:rPr>
        <w:t>划定城市设计风貌分区</w:t>
      </w:r>
    </w:p>
    <w:p>
      <w:pPr>
        <w:pStyle w:val="17"/>
      </w:pPr>
      <w:r>
        <w:rPr>
          <w:rFonts w:hint="eastAsia"/>
        </w:rPr>
        <w:t>根据城市功能定位，将中心城区划分为保护复兴区、战略发展区、优化提升区、强化发展区共四类分区。</w:t>
      </w:r>
    </w:p>
    <w:p>
      <w:pPr>
        <w:pStyle w:val="17"/>
      </w:pPr>
      <w:r>
        <w:rPr>
          <w:rFonts w:hint="eastAsia"/>
        </w:rPr>
        <w:t xml:space="preserve">保护复兴区。为小冀镇老镇区。对老镇区风貌及格局进行传承保护，延续历史文化元素、景观要素，重点打造京华园、人民胜利渠附近特色风貌，区域建筑高度、色彩、建筑风格应以新中式风貌为主，应延续城市文化脉络。 </w:t>
      </w:r>
    </w:p>
    <w:p>
      <w:pPr>
        <w:pStyle w:val="17"/>
      </w:pPr>
      <w:r>
        <w:rPr>
          <w:rFonts w:hint="eastAsia"/>
        </w:rPr>
        <w:t>战略发展区。将商务中心、七里营镇作为战略发展区，优化提升公共服务设施配套，提升中心城区辐射带动力。此区域建筑高度、体量、风格上主要采用现代简洁建筑设计风格。将该区域打造成为年轻时尚的创新都市、复合多样的魅力城区、塑造创新、时尚融合的整体风貌。</w:t>
      </w:r>
    </w:p>
    <w:p>
      <w:pPr>
        <w:pStyle w:val="17"/>
      </w:pPr>
      <w:r>
        <w:rPr>
          <w:rFonts w:hint="eastAsia"/>
        </w:rPr>
        <w:t>宜居生活风貌区。严格控制住宅建筑的高度和密度，建筑风格应以新中式风貌为主，现代简洁建筑设计风格为辅。</w:t>
      </w:r>
    </w:p>
    <w:p>
      <w:pPr>
        <w:pStyle w:val="17"/>
      </w:pPr>
      <w:r>
        <w:rPr>
          <w:rFonts w:hint="eastAsia"/>
        </w:rPr>
        <w:t>产城融合风貌区。以创新、融合为理念，以产城融合发展为手段，在建设过程中融入现代科技元素，体现创新风尚。</w:t>
      </w:r>
    </w:p>
    <w:p>
      <w:pPr>
        <w:pStyle w:val="5"/>
        <w:ind w:firstLine="640"/>
      </w:pPr>
      <w:r>
        <w:rPr>
          <w:rFonts w:hint="eastAsia"/>
        </w:rPr>
        <w:t>划定城市设计重点控制区</w:t>
      </w:r>
    </w:p>
    <w:p>
      <w:pPr>
        <w:pStyle w:val="17"/>
      </w:pPr>
      <w:r>
        <w:rPr>
          <w:rFonts w:hint="eastAsia"/>
        </w:rPr>
        <w:t>作为凸显和代表新乡县城市形象的重要窗口，划定沿人民胜利渠魅力管控区、“两带、两轴”轴线区、重要门户地标区等沿线重点地段为城市设计重点控制区，加强对其风貌、形态的管控和分类引导。</w:t>
      </w:r>
    </w:p>
    <w:p>
      <w:pPr>
        <w:pStyle w:val="17"/>
      </w:pPr>
      <w:r>
        <w:rPr>
          <w:rFonts w:hint="eastAsia"/>
        </w:rPr>
        <w:t>沿人民胜利渠魅力管控区。严格保护沿人民胜利渠两侧区域的生态景观，在该区域内城市建设活动应强化人民胜利渠沿线地区通透灵动的城镇空间秩序，不得破坏及影响人民胜利渠景观展示体系。</w:t>
      </w:r>
    </w:p>
    <w:p>
      <w:pPr>
        <w:pStyle w:val="17"/>
      </w:pPr>
      <w:r>
        <w:rPr>
          <w:rFonts w:hint="eastAsia"/>
        </w:rPr>
        <w:t>“两带、两轴”轴线区。包括青年路、青龙路、金融路、中央大为骨架的沿线重点地段。应注重提升轴线区公共服务设施品质，增强公共空间有效连通，强化轴线区特色节点、景观视廊、景观体验路径等专项设计。</w:t>
      </w:r>
    </w:p>
    <w:p>
      <w:pPr>
        <w:pStyle w:val="17"/>
      </w:pPr>
      <w:r>
        <w:rPr>
          <w:rFonts w:hint="eastAsia"/>
        </w:rPr>
        <w:t>重要门户地标区。包括地标门户区、开敞门户区。其中商务中心区为地标门户区，应对建筑形态、空间秩序、风貌色彩与周边视线关系应进行整体研究，成为展现新乡县城市魅力的主要窗口。通过京华园、龙泉公园、凤鸣湖公园等开敞门户区强化自然与人共融的都市意象，展现开敞大气的自然郊野、游苑风光。</w:t>
      </w:r>
    </w:p>
    <w:bookmarkEnd w:id="118"/>
    <w:p>
      <w:pPr>
        <w:pStyle w:val="4"/>
        <w:numPr>
          <w:ilvl w:val="0"/>
          <w:numId w:val="12"/>
        </w:numPr>
        <w:rPr>
          <w:rFonts w:hint="eastAsia"/>
        </w:rPr>
      </w:pPr>
      <w:bookmarkStart w:id="123" w:name="_Toc178172846"/>
      <w:r>
        <w:rPr>
          <w:rFonts w:hint="eastAsia"/>
        </w:rPr>
        <w:t>合理划定功能单元，明确控规传导内容</w:t>
      </w:r>
      <w:bookmarkEnd w:id="123"/>
    </w:p>
    <w:p>
      <w:pPr>
        <w:pStyle w:val="5"/>
        <w:ind w:firstLine="640"/>
      </w:pPr>
      <w:r>
        <w:rPr>
          <w:rFonts w:hint="eastAsia"/>
        </w:rPr>
        <w:t>控规管理单元划分及传导</w:t>
      </w:r>
    </w:p>
    <w:p>
      <w:pPr>
        <w:pStyle w:val="17"/>
      </w:pPr>
      <w:r>
        <w:rPr>
          <w:rFonts w:hint="eastAsia"/>
        </w:rPr>
        <w:t>统筹考虑行政区划、用地功能结构、结合10-15分钟生活圈、自然河流山体边界、道路交通、市政基础设施走廊等控制要素，将中心城区划为9个控规管理单元。</w:t>
      </w:r>
    </w:p>
    <w:p>
      <w:pPr>
        <w:pStyle w:val="17"/>
      </w:pPr>
      <w:r>
        <w:rPr>
          <w:rFonts w:hint="eastAsia"/>
        </w:rPr>
        <w:t>严格落实国土空间总体规划确定的生态廊道、结构性绿地、重大交通枢纽、重大公用设施、综合防灾设施、重要公共服务设施强制性内容，遵循总体规划功能分区和单元主导功能定位，进一步细化开发强度分区、地下空间、总体城市设计、通风廊道等空间形态控制要求，对教育、卫生、养老、文化、体育、绿地等配置要求进行深化、细化。</w:t>
      </w:r>
    </w:p>
    <w:p>
      <w:pPr>
        <w:pStyle w:val="17"/>
      </w:pPr>
      <w:r>
        <w:rPr>
          <w:rFonts w:hint="eastAsia"/>
        </w:rPr>
        <w:t>加强与相关专项规划的协调，统筹落实公共管理与公共服务（文化、教育、体育、医疗卫生、养老等）、交通、市政基础设施、综合防灾、城市更新等各类专项规划中指标体系、用地布局和规模、配置标准，细化设施用地控制线范围，加强空间管控。</w:t>
      </w:r>
    </w:p>
    <w:p>
      <w:pPr>
        <w:pStyle w:val="4"/>
        <w:numPr>
          <w:ilvl w:val="0"/>
          <w:numId w:val="12"/>
        </w:numPr>
        <w:rPr>
          <w:rFonts w:hint="eastAsia"/>
        </w:rPr>
      </w:pPr>
      <w:bookmarkStart w:id="124" w:name="_Toc178172847"/>
      <w:r>
        <w:rPr>
          <w:rFonts w:hint="eastAsia"/>
        </w:rPr>
        <w:t>近远结合，明确发展时序</w:t>
      </w:r>
      <w:bookmarkEnd w:id="124"/>
    </w:p>
    <w:p>
      <w:pPr>
        <w:pStyle w:val="5"/>
        <w:ind w:firstLine="640"/>
      </w:pPr>
      <w:r>
        <w:rPr>
          <w:rFonts w:hint="eastAsia"/>
        </w:rPr>
        <w:t>中心城区发展时序</w:t>
      </w:r>
    </w:p>
    <w:p>
      <w:pPr>
        <w:pStyle w:val="17"/>
      </w:pPr>
      <w:r>
        <w:rPr>
          <w:rFonts w:hint="eastAsia"/>
        </w:rPr>
        <w:t>将中心城区建设分为近中远期三个阶段。</w:t>
      </w:r>
    </w:p>
    <w:p>
      <w:pPr>
        <w:pStyle w:val="17"/>
      </w:pPr>
      <w:r>
        <w:rPr>
          <w:rFonts w:hint="eastAsia"/>
        </w:rPr>
        <w:t>近期至2025年，推进京华园周边、心连心生活区的城市更新工作，完善商务中心区周边的城市级公共服务设施，加快城市主中心的建设；推进心连心扩区工作，保障心连心向西扩区的发展空间。</w:t>
      </w:r>
    </w:p>
    <w:p>
      <w:pPr>
        <w:pStyle w:val="17"/>
      </w:pPr>
      <w:r>
        <w:rPr>
          <w:rFonts w:hint="eastAsia"/>
        </w:rPr>
        <w:t>中期至2030年，推进中心城区内工业用地向开发区内逐步转移，主要为沿黄河大道两侧的工业用地腾退，作为新兴产业的主要发展空间，同时推进金融路东段的城市生活片区建设，做好产业配套服务。</w:t>
      </w:r>
    </w:p>
    <w:p>
      <w:pPr>
        <w:pStyle w:val="17"/>
      </w:pPr>
      <w:r>
        <w:rPr>
          <w:rFonts w:hint="eastAsia"/>
        </w:rPr>
        <w:t>远期至2035年，主要推进中心城区内部城中村的改造，完善城市组团化发展的配套服务设施，融入郑新一体化。</w:t>
      </w:r>
    </w:p>
    <w:p>
      <w:pPr>
        <w:widowControl/>
        <w:jc w:val="left"/>
        <w:rPr>
          <w:rFonts w:ascii="仿宋_GB2312" w:eastAsia="仿宋_GB2312"/>
          <w:szCs w:val="32"/>
        </w:rPr>
      </w:pPr>
      <w:r>
        <w:rPr>
          <w:rFonts w:ascii="仿宋_GB2312" w:eastAsia="仿宋_GB2312"/>
          <w:szCs w:val="32"/>
        </w:rPr>
        <w:br w:type="page"/>
      </w:r>
    </w:p>
    <w:p>
      <w:pPr>
        <w:widowControl/>
        <w:jc w:val="left"/>
        <w:rPr>
          <w:rFonts w:ascii="仿宋_GB2312" w:hAnsi="Times New Roman" w:eastAsia="仿宋_GB2312" w:cs="Times New Roman"/>
          <w:sz w:val="32"/>
          <w:szCs w:val="32"/>
        </w:rPr>
      </w:pPr>
    </w:p>
    <w:p>
      <w:pPr>
        <w:pStyle w:val="2"/>
        <w:rPr>
          <w:rFonts w:hint="eastAsia"/>
        </w:rPr>
      </w:pPr>
      <w:bookmarkStart w:id="125" w:name="_Toc178172848"/>
      <w:r>
        <w:t>资源保护与利用</w:t>
      </w:r>
      <w:bookmarkEnd w:id="125"/>
    </w:p>
    <w:p>
      <w:pPr>
        <w:pStyle w:val="4"/>
        <w:numPr>
          <w:ilvl w:val="0"/>
          <w:numId w:val="13"/>
        </w:numPr>
        <w:rPr>
          <w:rFonts w:hint="eastAsia"/>
        </w:rPr>
      </w:pPr>
      <w:bookmarkStart w:id="126" w:name="_Toc178172849"/>
      <w:r>
        <w:t>建设用地节约集约利用</w:t>
      </w:r>
      <w:bookmarkEnd w:id="126"/>
    </w:p>
    <w:p>
      <w:pPr>
        <w:pStyle w:val="5"/>
        <w:ind w:firstLine="640"/>
      </w:pPr>
      <w:r>
        <w:rPr>
          <w:rFonts w:hint="eastAsia"/>
        </w:rPr>
        <w:t>建设用地总量及结构控制</w:t>
      </w:r>
    </w:p>
    <w:p>
      <w:pPr>
        <w:pStyle w:val="17"/>
        <w:rPr>
          <w:rFonts w:ascii="仿宋_GB2312"/>
        </w:rPr>
      </w:pPr>
      <w:bookmarkStart w:id="127" w:name="_Hlk134644077"/>
      <w:r>
        <w:rPr>
          <w:rFonts w:hint="eastAsia" w:ascii="仿宋_GB2312"/>
        </w:rPr>
        <w:t>以资源环境承载力和国土空间开发适宜性评价为基础，围绕发展目标推动城镇有机增长，以优化人口布局为核心调整土地资源分配，合理保障民生用地需求，促进建设用地节约集约高效利用。</w:t>
      </w:r>
    </w:p>
    <w:p>
      <w:pPr>
        <w:pStyle w:val="17"/>
      </w:pPr>
      <w:r>
        <w:rPr>
          <w:rFonts w:hint="eastAsia"/>
        </w:rPr>
        <w:t>规划至</w:t>
      </w:r>
      <w:r>
        <w:t>203</w:t>
      </w:r>
      <w:r>
        <w:rPr>
          <w:rFonts w:hint="eastAsia"/>
        </w:rPr>
        <w:t>5年，区域性基础设施用地和其他建设用地持续增加，</w:t>
      </w:r>
      <w:bookmarkEnd w:id="127"/>
      <w:r>
        <w:rPr>
          <w:rFonts w:hint="eastAsia"/>
        </w:rPr>
        <w:t>新增用地主要是郑辉高速、长修高速、G234、S229、S311等交通项目用地和18005项目建设用地。</w:t>
      </w:r>
    </w:p>
    <w:p>
      <w:pPr>
        <w:pStyle w:val="5"/>
        <w:ind w:firstLine="640"/>
      </w:pPr>
      <w:r>
        <w:rPr>
          <w:rFonts w:hint="eastAsia"/>
        </w:rPr>
        <w:t>加快提升城镇建设用地节约集约利用水平</w:t>
      </w:r>
    </w:p>
    <w:p>
      <w:pPr>
        <w:pStyle w:val="17"/>
        <w:rPr>
          <w:rFonts w:ascii="仿宋_GB2312"/>
        </w:rPr>
      </w:pPr>
      <w:r>
        <w:rPr>
          <w:rFonts w:hint="eastAsia" w:ascii="仿宋_GB2312"/>
        </w:rPr>
        <w:t xml:space="preserve">严格控制城镇建设用地总量。严格按照城镇开发边界范围开展集中建设。 </w:t>
      </w:r>
    </w:p>
    <w:p>
      <w:pPr>
        <w:pStyle w:val="17"/>
        <w:rPr>
          <w:rFonts w:ascii="仿宋_GB2312"/>
        </w:rPr>
      </w:pPr>
      <w:r>
        <w:rPr>
          <w:rFonts w:hint="eastAsia" w:ascii="仿宋_GB2312"/>
        </w:rPr>
        <w:t xml:space="preserve">加快盘活城镇建设用地存量。推进批而未供和闲置土地盘活利用，规划期内坚持以用为先的原则，加大土地征收和供应力度，加快消化批而未供土地，提高新乡县已批土地供地率。在符合相关规划的前提下，通过收储、置换、功能转型提升等方式，分类施策，推进城镇存量用地再开发。 </w:t>
      </w:r>
    </w:p>
    <w:p>
      <w:pPr>
        <w:pStyle w:val="5"/>
        <w:ind w:firstLine="640"/>
      </w:pPr>
      <w:r>
        <w:t>农村低效建设用地盘活</w:t>
      </w:r>
    </w:p>
    <w:p>
      <w:pPr>
        <w:pStyle w:val="17"/>
      </w:pPr>
      <w:r>
        <w:rPr>
          <w:rFonts w:hint="eastAsia" w:ascii="仿宋_GB2312"/>
        </w:rPr>
        <w:t>按照村庄建设用地逐渐减少、布局更紧凑的要求，挖潜村庄建设用地，优先保障农民居住、乡村基础设施、公共服务空间和产业用地需求。</w:t>
      </w:r>
    </w:p>
    <w:p>
      <w:pPr>
        <w:pStyle w:val="4"/>
        <w:numPr>
          <w:ilvl w:val="0"/>
          <w:numId w:val="13"/>
        </w:numPr>
        <w:rPr>
          <w:rFonts w:hint="eastAsia"/>
        </w:rPr>
      </w:pPr>
      <w:bookmarkStart w:id="128" w:name="_Toc178172850"/>
      <w:r>
        <w:t>森林资源保护与利用</w:t>
      </w:r>
      <w:bookmarkEnd w:id="128"/>
    </w:p>
    <w:p>
      <w:pPr>
        <w:pStyle w:val="5"/>
        <w:ind w:firstLine="640"/>
      </w:pPr>
      <w:r>
        <w:rPr>
          <w:rFonts w:hint="eastAsia"/>
        </w:rPr>
        <w:t>明确林地保护目标</w:t>
      </w:r>
    </w:p>
    <w:p>
      <w:pPr>
        <w:pStyle w:val="17"/>
      </w:pPr>
      <w:r>
        <w:rPr>
          <w:rFonts w:hint="eastAsia" w:ascii="仿宋_GB2312"/>
        </w:rPr>
        <w:t>深入开展国土绿化提速提质行动，有序实施以</w:t>
      </w:r>
      <w:r>
        <w:rPr>
          <w:rFonts w:ascii="仿宋_GB2312"/>
        </w:rPr>
        <w:t>“</w:t>
      </w:r>
      <w:r>
        <w:rPr>
          <w:rFonts w:hint="eastAsia" w:ascii="仿宋_GB2312"/>
        </w:rPr>
        <w:t>农田林网、生态廊道</w:t>
      </w:r>
      <w:r>
        <w:rPr>
          <w:rFonts w:ascii="仿宋_GB2312"/>
        </w:rPr>
        <w:t>”</w:t>
      </w:r>
      <w:r>
        <w:rPr>
          <w:rFonts w:hint="eastAsia" w:ascii="仿宋_GB2312"/>
        </w:rPr>
        <w:t>为主要内容的城乡绿化一体化林业生态建设，争取再建设一批森林乡村。加快农田林网和</w:t>
      </w:r>
      <w:r>
        <w:rPr>
          <w:rFonts w:ascii="仿宋_GB2312"/>
        </w:rPr>
        <w:t>“</w:t>
      </w:r>
      <w:r>
        <w:rPr>
          <w:rFonts w:hint="eastAsia" w:ascii="仿宋_GB2312"/>
        </w:rPr>
        <w:t>四旁林</w:t>
      </w:r>
      <w:r>
        <w:rPr>
          <w:rFonts w:ascii="仿宋_GB2312"/>
        </w:rPr>
        <w:t>”</w:t>
      </w:r>
      <w:r>
        <w:rPr>
          <w:rFonts w:hint="eastAsia" w:ascii="仿宋_GB2312"/>
        </w:rPr>
        <w:t>建设，确保森林质量明显提升，生态环境明显改善，实现平原林网化、城市园林化、乡村林果化、廊道林荫化、庭院花园化，建设天蓝地绿水净、宜居宜业宜游县城。规划至2035年，森林覆盖率不低于上级下达目标、林地保护面积保持稳定</w:t>
      </w:r>
      <w:r>
        <w:rPr>
          <w:rFonts w:hint="eastAsia"/>
        </w:rPr>
        <w:t>。</w:t>
      </w:r>
    </w:p>
    <w:p>
      <w:pPr>
        <w:pStyle w:val="5"/>
        <w:ind w:firstLine="640"/>
      </w:pPr>
      <w:r>
        <w:t>森林资源重点保护区及重点开发利用区</w:t>
      </w:r>
    </w:p>
    <w:p>
      <w:pPr>
        <w:pStyle w:val="17"/>
      </w:pPr>
      <w:r>
        <w:rPr>
          <w:rFonts w:hint="eastAsia"/>
        </w:rPr>
        <w:t>结合自然地理特征、资源环境条件、森林植被分布以及经济社会发展水平等因素，确定林地利用方向和空间布局，分区域调整优化，着力构建“一区、六纵、多点”的县域森林资源布局，“一区”即合河乡林地资源提升改造区，三纵即沿西孟姜女河、东孟姜女河、</w:t>
      </w:r>
      <w:r>
        <w:t>G10</w:t>
      </w:r>
      <w:r>
        <w:rPr>
          <w:rFonts w:hint="eastAsia"/>
        </w:rPr>
        <w:t>7、京广铁路、京港澳高速、济郑高速铁路两侧建设防护林网，多点即在重点乡镇、村建设点状营林区等。</w:t>
      </w:r>
    </w:p>
    <w:p>
      <w:pPr>
        <w:pStyle w:val="5"/>
        <w:ind w:firstLine="640"/>
      </w:pPr>
      <w:r>
        <w:rPr>
          <w:rFonts w:hint="eastAsia"/>
        </w:rPr>
        <w:t>加强林地资源使用管控</w:t>
      </w:r>
    </w:p>
    <w:p>
      <w:pPr>
        <w:pStyle w:val="17"/>
      </w:pPr>
      <w:r>
        <w:rPr>
          <w:rFonts w:hint="eastAsia"/>
        </w:rPr>
        <w:t>加强林地保护，严格执行林地征占用定额管理制度，严格控制林地转为非林地。各类工程建设，应当不占或者少占林地，确需占用林地的，应当经林业主管部门审核同意，依法办理建设用地审批手续。临时占用林地应及时恢复植被和林业生产条件。探索森林生态效益补偿机制，深入推进林长制，严格落实管护责任制。实行分级管理，全面加强森林资源保护，守好生态环境安全底线。以巩固提升生态系统碳汇能力为重点，精准提升森林质量，提高乔木林单位面积蓄积量，增强森林、草地固碳能力。加强重大林业有害生物防治，保护古树名木及其自然环境，推进森林城市建设。</w:t>
      </w:r>
    </w:p>
    <w:p>
      <w:pPr>
        <w:pStyle w:val="4"/>
        <w:numPr>
          <w:ilvl w:val="0"/>
          <w:numId w:val="13"/>
        </w:numPr>
        <w:rPr>
          <w:rFonts w:hint="eastAsia"/>
        </w:rPr>
      </w:pPr>
      <w:bookmarkStart w:id="129" w:name="_Toc178172851"/>
      <w:r>
        <w:t>水资源保护利用</w:t>
      </w:r>
      <w:bookmarkEnd w:id="129"/>
    </w:p>
    <w:p>
      <w:pPr>
        <w:pStyle w:val="5"/>
        <w:ind w:firstLine="640"/>
      </w:pPr>
      <w:r>
        <w:t>用水控制目标</w:t>
      </w:r>
    </w:p>
    <w:p>
      <w:pPr>
        <w:pStyle w:val="17"/>
      </w:pPr>
      <w:r>
        <w:rPr>
          <w:rFonts w:hint="eastAsia"/>
        </w:rPr>
        <w:t>优先保障生活用水安全，坚持农业用水负增长、工业用新水零增长、生态用水适度增长，优化用水结构。严格落实省市水资源消耗总量和强度双控行动要求，到2035年，用水总量和强度双控目标完成上级下达目标。</w:t>
      </w:r>
    </w:p>
    <w:p>
      <w:pPr>
        <w:pStyle w:val="5"/>
        <w:ind w:firstLine="640"/>
      </w:pPr>
      <w:r>
        <w:t>水资源供需平衡方案</w:t>
      </w:r>
    </w:p>
    <w:p>
      <w:pPr>
        <w:pStyle w:val="17"/>
      </w:pPr>
      <w:bookmarkStart w:id="130" w:name="_Hlk134644221"/>
      <w:bookmarkStart w:id="131" w:name="_Hlk156752797"/>
      <w:r>
        <w:rPr>
          <w:rFonts w:hint="eastAsia"/>
        </w:rPr>
        <w:t>新乡县本地水资源严重不足，主要依靠客水资源。</w:t>
      </w:r>
    </w:p>
    <w:p>
      <w:pPr>
        <w:pStyle w:val="17"/>
        <w:ind w:firstLine="0" w:firstLineChars="0"/>
      </w:pPr>
      <w:r>
        <w:rPr>
          <w:rFonts w:hint="eastAsia"/>
        </w:rPr>
        <w:t>按现有南水北调中线工程供水、引黄灌溉等水利工程格局和水资源调配方式，规划期内新乡县水资源量基本可满足生活、工业、农业和生态环境用水需求。</w:t>
      </w:r>
      <w:bookmarkEnd w:id="130"/>
    </w:p>
    <w:bookmarkEnd w:id="131"/>
    <w:p>
      <w:pPr>
        <w:pStyle w:val="5"/>
        <w:ind w:firstLine="640"/>
      </w:pPr>
      <w:r>
        <w:t>水资源保护区管控</w:t>
      </w:r>
    </w:p>
    <w:p>
      <w:pPr>
        <w:pStyle w:val="17"/>
      </w:pPr>
      <w:r>
        <w:rPr>
          <w:rFonts w:hint="eastAsia"/>
        </w:rPr>
        <w:t>按《中华人民共和国水污染防治法》和《饮用水水源地保护区划分技术规范》（HJ338）要求完善本源水厂水源地保护区、农村集中式饮用水水源保护区划定成果，持续维护更新标志标识、宣传牌和隔离防护设施设置。实施公共供水管网覆盖范围内地下水井封停和南水北调中线工程受水区地下水压采行动，完成4个乡（镇）居民生活水源置换工程。</w:t>
      </w:r>
    </w:p>
    <w:p>
      <w:pPr>
        <w:pStyle w:val="5"/>
        <w:ind w:firstLine="640"/>
      </w:pPr>
      <w:r>
        <w:rPr>
          <w:rFonts w:hint="eastAsia"/>
        </w:rPr>
        <w:t>水资源保护利用措施</w:t>
      </w:r>
    </w:p>
    <w:p>
      <w:pPr>
        <w:pStyle w:val="17"/>
      </w:pPr>
      <w:bookmarkStart w:id="132" w:name="_Hlk134644241"/>
      <w:r>
        <w:rPr>
          <w:rFonts w:hint="eastAsia"/>
        </w:rPr>
        <w:t>充分发挥南水北调中线工程在城乡供水中的重要作用，有序推进南水北调配套工程项目（管理所、现地管理房）建设，提升水资源统筹调配能力、供水保障能力和战略储备能力，稳步实施水厂及配套设施建设。</w:t>
      </w:r>
    </w:p>
    <w:bookmarkEnd w:id="132"/>
    <w:p>
      <w:pPr>
        <w:pStyle w:val="5"/>
        <w:ind w:firstLine="640"/>
      </w:pPr>
      <w:r>
        <w:rPr>
          <w:rFonts w:hint="eastAsia"/>
        </w:rPr>
        <w:t>节约用水方案</w:t>
      </w:r>
    </w:p>
    <w:p>
      <w:pPr>
        <w:pStyle w:val="17"/>
      </w:pPr>
      <w:r>
        <w:rPr>
          <w:rFonts w:hint="eastAsia"/>
        </w:rPr>
        <w:t>全面提高水资源利用效率，继续支持新亚纸业集团、心连心化工集团等高耗水企业的节水工作，促进企业加大节水技术项目改造力度，提高用水效率。</w:t>
      </w:r>
    </w:p>
    <w:p>
      <w:pPr>
        <w:pStyle w:val="4"/>
        <w:numPr>
          <w:ilvl w:val="0"/>
          <w:numId w:val="13"/>
        </w:numPr>
        <w:rPr>
          <w:rFonts w:hint="eastAsia"/>
        </w:rPr>
      </w:pPr>
      <w:bookmarkStart w:id="133" w:name="_Toc178172852"/>
      <w:bookmarkStart w:id="134" w:name="_Hlk162192522"/>
      <w:r>
        <w:rPr>
          <w:rFonts w:hint="eastAsia"/>
        </w:rPr>
        <w:t>生物多样性保护</w:t>
      </w:r>
      <w:bookmarkEnd w:id="133"/>
    </w:p>
    <w:p>
      <w:pPr>
        <w:pStyle w:val="5"/>
        <w:ind w:firstLine="640"/>
      </w:pPr>
      <w:r>
        <w:rPr>
          <w:rFonts w:hint="eastAsia"/>
        </w:rPr>
        <w:t>加强生物多样性保护</w:t>
      </w:r>
    </w:p>
    <w:p>
      <w:pPr>
        <w:spacing w:line="596" w:lineRule="exact"/>
        <w:ind w:firstLine="640" w:firstLineChars="200"/>
        <w:rPr>
          <w:rFonts w:ascii="Times New Roman" w:hAnsi="Times New Roman" w:eastAsia="仿宋_GB2312" w:cs="仿宋"/>
          <w:sz w:val="32"/>
          <w:szCs w:val="32"/>
        </w:rPr>
      </w:pPr>
      <w:r>
        <w:rPr>
          <w:rFonts w:hint="eastAsia" w:ascii="Times New Roman" w:hAnsi="Times New Roman" w:eastAsia="仿宋_GB2312" w:cs="仿宋"/>
          <w:sz w:val="32"/>
          <w:szCs w:val="32"/>
        </w:rPr>
        <w:t>维护野生动物栖息空间。对卫河、西孟姜女河、东孟姜女河等重点河流，强化就地保护，完善保护区空间布局，实施河流精细化水生态环境管理，通过增加滤食性生物种群数量，提升水生生物多样性。</w:t>
      </w:r>
    </w:p>
    <w:p>
      <w:pPr>
        <w:pStyle w:val="17"/>
      </w:pPr>
      <w:r>
        <w:rPr>
          <w:rFonts w:hint="eastAsia" w:cs="仿宋"/>
        </w:rPr>
        <w:t>加强野生植物保护。开展</w:t>
      </w:r>
      <w:r>
        <w:rPr>
          <w:rFonts w:hint="eastAsia"/>
          <w:kern w:val="0"/>
          <w:szCs w:val="20"/>
        </w:rPr>
        <w:t>新乡县</w:t>
      </w:r>
      <w:r>
        <w:rPr>
          <w:rFonts w:hint="eastAsia" w:cs="仿宋"/>
        </w:rPr>
        <w:t>林木种质资源普查，保护</w:t>
      </w:r>
      <w:r>
        <w:rPr>
          <w:rFonts w:ascii="Arial" w:hAnsi="Arial" w:cs="Arial"/>
          <w:shd w:val="clear" w:color="auto" w:fill="FFFFFF"/>
        </w:rPr>
        <w:t>杜鹃、兰草</w:t>
      </w:r>
      <w:r>
        <w:rPr>
          <w:rFonts w:hint="eastAsia" w:cs="仿宋"/>
        </w:rPr>
        <w:t>等珍稀野生植物，开展古树名木抢救复壮，推进古树名木公园建设，加强林木种质资源管护、监测和评价等工作。</w:t>
      </w:r>
    </w:p>
    <w:bookmarkEnd w:id="134"/>
    <w:p>
      <w:pPr>
        <w:widowControl/>
        <w:jc w:val="left"/>
        <w:rPr>
          <w:rFonts w:ascii="仿宋_GB2312" w:eastAsia="仿宋_GB2312"/>
          <w:szCs w:val="32"/>
        </w:rPr>
      </w:pPr>
      <w:r>
        <w:rPr>
          <w:rFonts w:ascii="仿宋_GB2312" w:eastAsia="仿宋_GB2312"/>
          <w:szCs w:val="32"/>
        </w:rPr>
        <w:br w:type="page"/>
      </w:r>
    </w:p>
    <w:p>
      <w:pPr>
        <w:widowControl/>
        <w:jc w:val="left"/>
      </w:pPr>
    </w:p>
    <w:p>
      <w:pPr>
        <w:pStyle w:val="2"/>
        <w:rPr>
          <w:rFonts w:hint="eastAsia"/>
        </w:rPr>
      </w:pPr>
      <w:bookmarkStart w:id="135" w:name="_Toc178172853"/>
      <w:r>
        <w:rPr>
          <w:rFonts w:hint="eastAsia"/>
        </w:rPr>
        <w:t>历史文化保护与乡村风貌特色</w:t>
      </w:r>
      <w:bookmarkEnd w:id="135"/>
    </w:p>
    <w:p>
      <w:pPr>
        <w:pStyle w:val="4"/>
        <w:numPr>
          <w:ilvl w:val="0"/>
          <w:numId w:val="14"/>
        </w:numPr>
        <w:rPr>
          <w:rFonts w:hint="eastAsia"/>
        </w:rPr>
      </w:pPr>
      <w:bookmarkStart w:id="136" w:name="_Toc178172854"/>
      <w:r>
        <w:rPr>
          <w:rFonts w:hint="eastAsia"/>
        </w:rPr>
        <w:t>挖掘历史文化资源，明确保护利用措施</w:t>
      </w:r>
      <w:bookmarkEnd w:id="136"/>
    </w:p>
    <w:p>
      <w:pPr>
        <w:pStyle w:val="5"/>
        <w:ind w:firstLine="640"/>
      </w:pPr>
      <w:bookmarkStart w:id="137" w:name="_Toc47447937"/>
      <w:r>
        <w:rPr>
          <w:rFonts w:hint="eastAsia"/>
        </w:rPr>
        <w:t>突出新乡县的历史文化价值</w:t>
      </w:r>
    </w:p>
    <w:p>
      <w:pPr>
        <w:pStyle w:val="17"/>
      </w:pPr>
      <w:r>
        <w:rPr>
          <w:rFonts w:hint="eastAsia"/>
        </w:rPr>
        <w:t>深入挖掘新乡县历史文化底蕴，彰显新乡县“千年商贸重镇、近代拓展先锋”的历史地位和文化价值。</w:t>
      </w:r>
    </w:p>
    <w:p>
      <w:pPr>
        <w:pStyle w:val="5"/>
        <w:ind w:firstLine="640"/>
      </w:pPr>
      <w:r>
        <w:rPr>
          <w:rFonts w:hint="eastAsia"/>
        </w:rPr>
        <w:t>构建历史文化保护体系</w:t>
      </w:r>
    </w:p>
    <w:p>
      <w:pPr>
        <w:pStyle w:val="17"/>
      </w:pPr>
      <w:r>
        <w:rPr>
          <w:rFonts w:hint="eastAsia"/>
        </w:rPr>
        <w:t>保护大运河文化线路，促进沿线环境提升和相关遗迹系统保护利用。进一步挖掘桥梁、码头、渡口、粮仓、水工设施等遗址，揭示大运河在历史上对社会、经济、技术发展的伟大贡献。</w:t>
      </w:r>
    </w:p>
    <w:p>
      <w:pPr>
        <w:pStyle w:val="5"/>
        <w:ind w:firstLine="640"/>
      </w:pPr>
      <w:bookmarkStart w:id="138" w:name="_Toc47447940"/>
      <w:r>
        <w:rPr>
          <w:rFonts w:hint="eastAsia"/>
        </w:rPr>
        <w:t>保护各类历史文化</w:t>
      </w:r>
      <w:bookmarkEnd w:id="138"/>
      <w:r>
        <w:rPr>
          <w:rFonts w:hint="eastAsia"/>
        </w:rPr>
        <w:t>遗产，传承优秀文化</w:t>
      </w:r>
    </w:p>
    <w:p>
      <w:pPr>
        <w:pStyle w:val="17"/>
      </w:pPr>
      <w:bookmarkStart w:id="139" w:name="_Hlk43217968"/>
      <w:r>
        <w:rPr>
          <w:rFonts w:hint="eastAsia"/>
        </w:rPr>
        <w:t>新乡县现有文物保护单位53处，其中全国重点文物保护单位3处，省级文物保护单位3处，市级文物保护单位2处，县级文物保护单位45处（详见附表7）。</w:t>
      </w:r>
      <w:bookmarkStart w:id="140" w:name="_Hlk44600114"/>
      <w:r>
        <w:rPr>
          <w:rFonts w:hint="eastAsia"/>
        </w:rPr>
        <w:t>进一步推进文物保护单位编制专项保护规划，全面落实保护范围和建设控制地带</w:t>
      </w:r>
      <w:bookmarkStart w:id="141" w:name="_Hlk43217987"/>
      <w:r>
        <w:rPr>
          <w:rFonts w:hint="eastAsia"/>
        </w:rPr>
        <w:t>等历史文化保护线。</w:t>
      </w:r>
      <w:bookmarkEnd w:id="139"/>
      <w:bookmarkEnd w:id="140"/>
      <w:bookmarkEnd w:id="141"/>
    </w:p>
    <w:p>
      <w:pPr>
        <w:pStyle w:val="17"/>
      </w:pPr>
      <w:bookmarkStart w:id="142" w:name="_Hlk162192545"/>
      <w:r>
        <w:rPr>
          <w:rFonts w:hint="eastAsia"/>
        </w:rPr>
        <w:t>落实大运河新乡段核心监控区国土空间管控细则，新乡县合河乡属于卫河中心城市段，应优先推进沿线水资源保护和节约集约利用、生态保护和基础设施建设。精心开展滨水空间营造和历史文化资源的保护与合理利用，合理预留生态空间廊道，在卫河右堤外围控制</w:t>
      </w:r>
      <w:r>
        <w:t>50</w:t>
      </w:r>
      <w:r>
        <w:rPr>
          <w:rFonts w:hint="eastAsia"/>
        </w:rPr>
        <w:t>米的廊道绿化空间。严格建设项目准入，严控滨河第一层视线，塑造优美景观岸线。补齐完善城市功能，合理预留战略留白用地。盘活存量土地资源，融入文化创意、展览展示，实施以合河古镇、北关街为代表的特色文旅项目，提升文化利用水平，打造滨河精品展示与运河文化标杆。全力推进城市功能织补和生态修复，依法依规疏浚河道和新（改）建闸、坝、桥等，谋划推进河道修复整治，充分考虑通航需求，预留通航附属设施建设空间。</w:t>
      </w:r>
    </w:p>
    <w:bookmarkEnd w:id="142"/>
    <w:p>
      <w:pPr>
        <w:pStyle w:val="17"/>
      </w:pPr>
      <w:r>
        <w:rPr>
          <w:rFonts w:hint="eastAsia"/>
        </w:rPr>
        <w:t>完善非物质文化遗产名录。开展非物质文化遗产资源普查，发掘、抢救和保护历史名人、老地名、老字号、民间传说、传统习俗、传统工艺、传统艺术等传统文化风物。创新非物质文化遗产展示模式，以文化馆、博物馆等公共文化设施为载体，开展与教育、旅游相结合的非遗文化体验活动。</w:t>
      </w:r>
    </w:p>
    <w:p>
      <w:pPr>
        <w:pStyle w:val="17"/>
      </w:pPr>
      <w:bookmarkStart w:id="143" w:name="_Hlk162192568"/>
      <w:r>
        <w:rPr>
          <w:rFonts w:hint="eastAsia"/>
        </w:rPr>
        <w:t>文物保护单位应明确“不改变文物原状”的保护原则；</w:t>
      </w:r>
      <w:r>
        <w:rPr>
          <w:rFonts w:hint="eastAsia" w:cs="仿宋"/>
          <w:szCs w:val="28"/>
        </w:rPr>
        <w:t>完成新乡县各级文物保护单位保护范围和建设控制地带公布工作，将其纳入国土空间规划“一张图”。进一步推进文物保护单位专项保护规划的编制工作。加强文物保护单位本体修缮、日常保养和周边环境整治，对文物保护单位进行合理利用，必须遵守不改变文物原状的保护原则。同时应全面调查、科学评估新乡县内一般不可移动文物的总体保存状况，制定分类保护管理要求和具体措施，做好一般不可移动文物日常保养维护工作。</w:t>
      </w:r>
    </w:p>
    <w:p>
      <w:pPr>
        <w:pStyle w:val="17"/>
      </w:pPr>
      <w:r>
        <w:rPr>
          <w:rFonts w:hint="eastAsia"/>
        </w:rPr>
        <w:t>经文物主管部门核定可能存在历史文化遗存的土地，要实行“先考古、后出让”制度，在依法完成考古调查、勘探、发掘前，原则上不予收储入库或出让。</w:t>
      </w:r>
    </w:p>
    <w:p>
      <w:pPr>
        <w:pStyle w:val="17"/>
      </w:pPr>
      <w:r>
        <w:rPr>
          <w:rFonts w:hint="eastAsia"/>
        </w:rPr>
        <w:t>加强历史建筑的普查、公布和保护利用。历史建筑应明确“保持原有外形和风貌”的保护原则，文物主管部门应积极挖掘和保护古代、近现代和当代等不同时期的特色建（构）筑物，建立历史建筑保护名录，严禁拆除和破坏历史建筑。</w:t>
      </w:r>
    </w:p>
    <w:p>
      <w:pPr>
        <w:pStyle w:val="17"/>
      </w:pPr>
      <w:r>
        <w:rPr>
          <w:rFonts w:hint="eastAsia"/>
        </w:rPr>
        <w:t>工业遗产</w:t>
      </w:r>
      <w:r>
        <w:t>所有权人应当在遗产区域内醒目位置设立标志</w:t>
      </w:r>
      <w:r>
        <w:rPr>
          <w:rFonts w:hint="eastAsia"/>
        </w:rPr>
        <w:t>和</w:t>
      </w:r>
      <w:r>
        <w:t>相应的展陈设施，宣传遗产重要价值、保护理念、历史人文、 科技工艺、景观风貌和品牌内涵等</w:t>
      </w:r>
      <w:r>
        <w:rPr>
          <w:rFonts w:hint="eastAsia"/>
        </w:rPr>
        <w:t>。</w:t>
      </w:r>
      <w:r>
        <w:t>应设置专门部门或由专人监测遗产的保存状况，划定保护范围，采取有效保护措施，保持遗产格局、结构、样式和风貌特征，确保核心物项不被破坏。遗产格局、结构、样式和风貌特征出现较大改变的应当及时恢复，核心物项如有损毁的应当及时修复。</w:t>
      </w:r>
    </w:p>
    <w:p>
      <w:pPr>
        <w:pStyle w:val="17"/>
      </w:pPr>
      <w:r>
        <w:rPr>
          <w:rFonts w:hint="eastAsia"/>
        </w:rPr>
        <w:t>红色文化遗产应保护好革命文物，传承好红色基因。强化革命文物保护利用政策支持，开展革命文物集中连片保护利用，加强馆藏革命文物征集和保护，建设革命文物数据库，加强中国共产党历史文物保护展示。</w:t>
      </w:r>
    </w:p>
    <w:p>
      <w:pPr>
        <w:pStyle w:val="17"/>
      </w:pPr>
      <w:r>
        <w:rPr>
          <w:rFonts w:hint="eastAsia"/>
        </w:rPr>
        <w:t>保护古树名木，建立保护标志和档案。加强对古树名木的养护管理，严禁砍伐或者迁移，因特殊需要迁移古树名木，必须经县城市绿化行政主管部门审查同意，并报同级人民政府批准。</w:t>
      </w:r>
      <w:bookmarkEnd w:id="143"/>
    </w:p>
    <w:p>
      <w:pPr>
        <w:pStyle w:val="5"/>
        <w:ind w:firstLine="640"/>
      </w:pPr>
      <w:r>
        <w:rPr>
          <w:rFonts w:hint="eastAsia"/>
        </w:rPr>
        <w:t>完善历史文化保护管理机制</w:t>
      </w:r>
    </w:p>
    <w:p>
      <w:pPr>
        <w:pStyle w:val="17"/>
      </w:pPr>
      <w:r>
        <w:rPr>
          <w:rFonts w:hint="eastAsia"/>
        </w:rPr>
        <w:t>定期开展历史文化资源普查登录工作，实现应保尽保，拓展保护内容，建立农业遗产、水利工程遗产等保护名录。建立多部门统筹的保护管理机制，强化城乡建设与各类历史文化遗产保护工作协同，加强制度、政策、标准的协调对接。</w:t>
      </w:r>
    </w:p>
    <w:p>
      <w:pPr>
        <w:pStyle w:val="17"/>
      </w:pPr>
      <w:r>
        <w:rPr>
          <w:rFonts w:hint="eastAsia"/>
        </w:rPr>
        <w:t>加强对涉及历史文化保护相关建设行为的管理和监督，提升社会公众关于历史文化保护的意识，在涉及历史文化遗存的项目的规划编制、建设方案、工程实施等各个环节中充分咨询专家和社会公众的意见。</w:t>
      </w:r>
    </w:p>
    <w:bookmarkEnd w:id="137"/>
    <w:p>
      <w:pPr>
        <w:pStyle w:val="4"/>
        <w:numPr>
          <w:ilvl w:val="0"/>
          <w:numId w:val="13"/>
        </w:numPr>
        <w:rPr>
          <w:rFonts w:hint="eastAsia"/>
        </w:rPr>
      </w:pPr>
      <w:bookmarkStart w:id="144" w:name="_Toc82989188"/>
      <w:bookmarkStart w:id="145" w:name="_Toc71530138"/>
      <w:bookmarkStart w:id="146" w:name="_Toc56107889"/>
      <w:bookmarkStart w:id="147" w:name="_Toc178172855"/>
      <w:r>
        <w:rPr>
          <w:rFonts w:hint="eastAsia"/>
        </w:rPr>
        <w:t>凸显地方特色，因地制宜塑造城乡整体风貌</w:t>
      </w:r>
      <w:bookmarkEnd w:id="144"/>
      <w:bookmarkEnd w:id="145"/>
      <w:bookmarkEnd w:id="146"/>
      <w:bookmarkEnd w:id="147"/>
    </w:p>
    <w:p>
      <w:pPr>
        <w:pStyle w:val="5"/>
        <w:ind w:firstLine="640"/>
      </w:pPr>
      <w:r>
        <w:rPr>
          <w:rFonts w:hint="eastAsia"/>
        </w:rPr>
        <w:t>塑造乡村地区阡陌纵横、村田相融的特色风貌</w:t>
      </w:r>
    </w:p>
    <w:p>
      <w:pPr>
        <w:pStyle w:val="17"/>
      </w:pPr>
      <w:bookmarkStart w:id="148" w:name="_Hlk162192587"/>
      <w:bookmarkStart w:id="149" w:name="_Hlk134644290"/>
      <w:r>
        <w:rPr>
          <w:rFonts w:hint="eastAsia"/>
        </w:rPr>
        <w:t>受新乡县全域平原和面积较小的特征影响，新乡县乡村风貌不宜进行分区引导，应结合本地实际，将乡村风貌实现全域统一。</w:t>
      </w:r>
      <w:bookmarkEnd w:id="148"/>
    </w:p>
    <w:p>
      <w:pPr>
        <w:pStyle w:val="17"/>
      </w:pPr>
      <w:r>
        <w:rPr>
          <w:rFonts w:hint="eastAsia"/>
        </w:rPr>
        <w:t>借助东孟姜女河、西孟姜女河、南支排、卫河、共产主义渠等水系和林地及农田，构筑凸显平原特色的阡陌纵横、林水相依的大地风貌，结合村落建筑、乡间小路，以乡村设计谱绘新时代诗意田园，营造富有地域特色的“田水路林村”相协调的景观格局，形成村落与农田相互融合的田园风光。</w:t>
      </w:r>
      <w:bookmarkEnd w:id="149"/>
    </w:p>
    <w:p>
      <w:pPr>
        <w:pStyle w:val="5"/>
        <w:ind w:firstLine="640"/>
      </w:pPr>
      <w:r>
        <w:rPr>
          <w:rFonts w:hint="eastAsia"/>
        </w:rPr>
        <w:t>加强乡村建筑风貌引导，凸显北方民居建筑风格</w:t>
      </w:r>
    </w:p>
    <w:p>
      <w:pPr>
        <w:pStyle w:val="17"/>
      </w:pPr>
      <w:r>
        <w:rPr>
          <w:rFonts w:hint="eastAsia"/>
        </w:rPr>
        <w:t>充分考虑“气化河南”、“厕所革命”等要求，结合现代农业生产生活方式、人口结构等，完善水、电、气、厕配套附属设施，落实节能环保理念，建设新时代村民住宅。</w:t>
      </w:r>
    </w:p>
    <w:p>
      <w:pPr>
        <w:pStyle w:val="17"/>
      </w:pPr>
      <w:r>
        <w:rPr>
          <w:rFonts w:hint="eastAsia"/>
        </w:rPr>
        <w:t xml:space="preserve">村民住宅应体现中原传统民居特色，鼓励运用传统建造工艺，采用当地土、木等乡土材料，丰富细部设计和装饰，提倡坡屋顶设计，反对盲目照搬外省民居建筑形式。鼓励采用低矮通透围墙并作艺术设计处理，反对实围墙、高门楼。 </w:t>
      </w:r>
    </w:p>
    <w:p>
      <w:pPr>
        <w:pStyle w:val="17"/>
      </w:pPr>
      <w:r>
        <w:rPr>
          <w:rFonts w:hint="eastAsia"/>
        </w:rPr>
        <w:t>文化大院等公共场所应保证全时段、全方位向村民开放。村庄主街道两侧空间鼓励采用多样化绿化和在地化铺装。</w:t>
      </w:r>
    </w:p>
    <w:p>
      <w:pPr>
        <w:pStyle w:val="17"/>
      </w:pPr>
      <w:r>
        <w:rPr>
          <w:rFonts w:hint="eastAsia"/>
        </w:rPr>
        <w:t>村民住宅建筑原则上不超过三层，严禁违规建设大体量别墅。</w:t>
      </w:r>
      <w:r>
        <w:rPr>
          <w:rFonts w:hint="eastAsia"/>
        </w:rPr>
        <w:br w:type="page"/>
      </w:r>
    </w:p>
    <w:p>
      <w:pPr>
        <w:pStyle w:val="55"/>
        <w:rPr>
          <w:rFonts w:hint="eastAsia" w:ascii="方正小标宋_GBK" w:hAnsi="方正小标宋_GBK" w:eastAsia="方正小标宋_GBK"/>
          <w:color w:val="auto"/>
          <w:sz w:val="32"/>
          <w:szCs w:val="32"/>
        </w:rPr>
      </w:pPr>
    </w:p>
    <w:p>
      <w:pPr>
        <w:pStyle w:val="2"/>
        <w:rPr>
          <w:rFonts w:hint="eastAsia"/>
        </w:rPr>
      </w:pPr>
      <w:bookmarkStart w:id="150" w:name="_Toc178172856"/>
      <w:r>
        <w:rPr>
          <w:rFonts w:hint="eastAsia"/>
        </w:rPr>
        <w:t>城乡支撑体系</w:t>
      </w:r>
      <w:bookmarkEnd w:id="150"/>
    </w:p>
    <w:p>
      <w:pPr>
        <w:pStyle w:val="4"/>
        <w:numPr>
          <w:ilvl w:val="0"/>
          <w:numId w:val="15"/>
        </w:numPr>
        <w:rPr>
          <w:rFonts w:hint="eastAsia"/>
        </w:rPr>
      </w:pPr>
      <w:bookmarkStart w:id="151" w:name="_Toc131242224"/>
      <w:bookmarkStart w:id="152" w:name="_Toc178172857"/>
      <w:bookmarkStart w:id="153" w:name="_Toc56107901"/>
      <w:bookmarkStart w:id="154" w:name="_Toc71530145"/>
      <w:r>
        <w:rPr>
          <w:rFonts w:hint="eastAsia"/>
        </w:rPr>
        <w:t>构建直联互通、便捷高效的城乡交通体系</w:t>
      </w:r>
      <w:bookmarkEnd w:id="151"/>
      <w:bookmarkEnd w:id="152"/>
    </w:p>
    <w:p>
      <w:pPr>
        <w:pStyle w:val="5"/>
        <w:ind w:firstLine="640"/>
      </w:pPr>
      <w:r>
        <w:rPr>
          <w:rFonts w:hint="eastAsia"/>
        </w:rPr>
        <w:t>积极融入国家铁路网大格局</w:t>
      </w:r>
    </w:p>
    <w:p>
      <w:pPr>
        <w:pStyle w:val="17"/>
      </w:pPr>
      <w:r>
        <w:rPr>
          <w:rFonts w:hint="eastAsia"/>
        </w:rPr>
        <w:t>完善现有铁路网，构建“二横三纵”国家干线铁路网的格局。“二横”为新月铁路、新菏铁路；“三纵”为京广铁路、京广高铁、济郑高铁。</w:t>
      </w:r>
    </w:p>
    <w:p>
      <w:pPr>
        <w:pStyle w:val="17"/>
      </w:pPr>
      <w:r>
        <w:rPr>
          <w:rFonts w:hint="eastAsia"/>
        </w:rPr>
        <w:t>规划新焦城际铁路、郑州都市圈轨道交通S3线，强化新乡县与中原城市群节点城市间的联系。在新乡县预留新焦城际铁路、郑州都市圈轨道交通S3轨道交通站点各1处。</w:t>
      </w:r>
    </w:p>
    <w:p>
      <w:pPr>
        <w:pStyle w:val="5"/>
        <w:ind w:firstLine="640"/>
      </w:pPr>
      <w:r>
        <w:rPr>
          <w:rFonts w:hint="eastAsia"/>
        </w:rPr>
        <w:t>打造直连互通的快速交通网络</w:t>
      </w:r>
    </w:p>
    <w:p>
      <w:pPr>
        <w:pStyle w:val="17"/>
      </w:pPr>
      <w:r>
        <w:rPr>
          <w:rFonts w:hint="eastAsia"/>
        </w:rPr>
        <w:t>确保至获嘉县、原阳县、平原城乡一体化示范区、新乡市中心城区等周边县市区通达时间在0.5小时以内，至郑州市中心城区通达时间在50分钟以内。形成</w:t>
      </w:r>
      <w:bookmarkStart w:id="155" w:name="_Hlk160872293"/>
      <w:r>
        <w:rPr>
          <w:rFonts w:hint="eastAsia"/>
        </w:rPr>
        <w:t>“一环一横三纵”的快速交通网络</w:t>
      </w:r>
      <w:bookmarkEnd w:id="155"/>
      <w:r>
        <w:rPr>
          <w:rFonts w:hint="eastAsia"/>
        </w:rPr>
        <w:t>。</w:t>
      </w:r>
    </w:p>
    <w:p>
      <w:pPr>
        <w:pStyle w:val="17"/>
      </w:pPr>
      <w:r>
        <w:rPr>
          <w:rFonts w:hint="eastAsia"/>
        </w:rPr>
        <w:t>高速公路环线。重点落实京港澳高速新乡新区站、长修高速及长修高速S101（老G107）站点和辉原线站点、郑辉高速及郑辉高速大召营站点、合河站点，融入新乡市高速网络体系。</w:t>
      </w:r>
    </w:p>
    <w:p>
      <w:pPr>
        <w:pStyle w:val="17"/>
      </w:pPr>
      <w:r>
        <w:rPr>
          <w:rFonts w:hint="eastAsia"/>
        </w:rPr>
        <w:t>快速通道。落实市级快速交通网络，在新乡县境内形成一横三纵的快速通道。</w:t>
      </w:r>
    </w:p>
    <w:p>
      <w:pPr>
        <w:pStyle w:val="17"/>
      </w:pPr>
      <w:r>
        <w:rPr>
          <w:rFonts w:hint="eastAsia"/>
        </w:rPr>
        <w:t>黄河大道（新乡市中心城区-新乡县中心城区-亢村镇）；</w:t>
      </w:r>
    </w:p>
    <w:p>
      <w:pPr>
        <w:pStyle w:val="17"/>
      </w:pPr>
      <w:r>
        <w:rPr>
          <w:rFonts w:hint="eastAsia"/>
        </w:rPr>
        <w:t>和平大道南延（新乡市中心城区-新乡县中心城区-平原城乡一体化示范区）；</w:t>
      </w:r>
    </w:p>
    <w:p>
      <w:pPr>
        <w:pStyle w:val="17"/>
      </w:pPr>
      <w:r>
        <w:rPr>
          <w:rFonts w:hint="eastAsia"/>
        </w:rPr>
        <w:t>郑新快速路（新乡市中心城区-古固寨镇-郑州市中心城区）；</w:t>
      </w:r>
    </w:p>
    <w:p>
      <w:pPr>
        <w:pStyle w:val="17"/>
      </w:pPr>
      <w:r>
        <w:rPr>
          <w:rFonts w:hint="eastAsia"/>
        </w:rPr>
        <w:t>新延快速路（新乡市中心城区-古固寨-延津县中心城区）。</w:t>
      </w:r>
    </w:p>
    <w:p>
      <w:pPr>
        <w:pStyle w:val="5"/>
        <w:ind w:firstLine="640"/>
      </w:pPr>
      <w:r>
        <w:rPr>
          <w:rFonts w:hint="eastAsia"/>
        </w:rPr>
        <w:t>建</w:t>
      </w:r>
      <w:bookmarkStart w:id="156" w:name="_Hlk160879737"/>
      <w:r>
        <w:rPr>
          <w:rFonts w:hint="eastAsia"/>
        </w:rPr>
        <w:t>立快捷高效的城乡交通网络</w:t>
      </w:r>
      <w:bookmarkEnd w:id="156"/>
      <w:r>
        <w:rPr>
          <w:rFonts w:hint="eastAsia"/>
        </w:rPr>
        <w:t>。</w:t>
      </w:r>
    </w:p>
    <w:p>
      <w:pPr>
        <w:pStyle w:val="17"/>
      </w:pPr>
      <w:r>
        <w:rPr>
          <w:rFonts w:hint="eastAsia"/>
        </w:rPr>
        <w:t>1.干线公路。加快推进县域内干线公路的互联互通，强化县域内各乡（镇）之间的交通联系，与快速通道形成功能互补。</w:t>
      </w:r>
      <w:bookmarkStart w:id="157" w:name="_Hlk160872435"/>
      <w:r>
        <w:rPr>
          <w:rFonts w:hint="eastAsia"/>
        </w:rPr>
        <w:t>建立“三横三纵”的干线公路网络</w:t>
      </w:r>
      <w:bookmarkEnd w:id="157"/>
      <w:r>
        <w:rPr>
          <w:rFonts w:hint="eastAsia"/>
        </w:rPr>
        <w:t>，增强县域内城乡交通质量。</w:t>
      </w:r>
    </w:p>
    <w:p>
      <w:pPr>
        <w:pStyle w:val="17"/>
      </w:pPr>
      <w:r>
        <w:rPr>
          <w:rFonts w:hint="eastAsia"/>
        </w:rPr>
        <w:t>三横。</w:t>
      </w:r>
      <w:bookmarkStart w:id="158" w:name="_Hlk160872450"/>
      <w:r>
        <w:rPr>
          <w:rFonts w:hint="eastAsia"/>
        </w:rPr>
        <w:t>S309（长济线）</w:t>
      </w:r>
      <w:bookmarkEnd w:id="158"/>
      <w:r>
        <w:rPr>
          <w:rFonts w:hint="eastAsia"/>
        </w:rPr>
        <w:t>，与辉原线相交于合河乡，向东至新乡市西环路，向西至获嘉县；</w:t>
      </w:r>
      <w:bookmarkStart w:id="159" w:name="_Hlk160872456"/>
      <w:r>
        <w:rPr>
          <w:rFonts w:hint="eastAsia"/>
        </w:rPr>
        <w:t>G234（兴阳线）</w:t>
      </w:r>
      <w:bookmarkEnd w:id="159"/>
      <w:r>
        <w:rPr>
          <w:rFonts w:hint="eastAsia"/>
        </w:rPr>
        <w:t>，与辉原线相交于大召营镇，向东至新乡市西环路，向西至获嘉县；</w:t>
      </w:r>
      <w:bookmarkStart w:id="160" w:name="_Hlk160872476"/>
      <w:r>
        <w:rPr>
          <w:rFonts w:hint="eastAsia"/>
        </w:rPr>
        <w:t>S311改建工程（新胡线）</w:t>
      </w:r>
      <w:bookmarkEnd w:id="160"/>
      <w:r>
        <w:rPr>
          <w:rFonts w:hint="eastAsia"/>
        </w:rPr>
        <w:t>，为金融路东延，向东经和平大道南延、S101（老G107）、郑新快速路（S</w:t>
      </w:r>
      <w:r>
        <w:t>227</w:t>
      </w:r>
      <w:r>
        <w:rPr>
          <w:rFonts w:hint="eastAsia"/>
        </w:rPr>
        <w:t>）、洪蒋线等快速路至延津县。</w:t>
      </w:r>
    </w:p>
    <w:p>
      <w:pPr>
        <w:pStyle w:val="17"/>
      </w:pPr>
      <w:r>
        <w:rPr>
          <w:rFonts w:hint="eastAsia"/>
        </w:rPr>
        <w:t>三纵。</w:t>
      </w:r>
      <w:bookmarkStart w:id="161" w:name="_Hlk160872483"/>
      <w:r>
        <w:rPr>
          <w:rFonts w:hint="eastAsia"/>
        </w:rPr>
        <w:t>S229（辉原线）</w:t>
      </w:r>
      <w:bookmarkEnd w:id="161"/>
      <w:r>
        <w:rPr>
          <w:rFonts w:hint="eastAsia"/>
        </w:rPr>
        <w:t>，南北向贯穿新乡县，串联合河乡、大召营镇、翟坡镇、新乡县县中心城区，向南至原阳县、向北至凤泉区、辉县市；</w:t>
      </w:r>
      <w:bookmarkStart w:id="162" w:name="_Hlk160872490"/>
      <w:r>
        <w:rPr>
          <w:rFonts w:hint="eastAsia"/>
        </w:rPr>
        <w:t>S101（老G107）</w:t>
      </w:r>
      <w:bookmarkEnd w:id="162"/>
      <w:r>
        <w:rPr>
          <w:rFonts w:hint="eastAsia"/>
        </w:rPr>
        <w:t>，南北贯穿新乡县县域，与辉原线、新胡线、洪蒋线相交，向南至郑州市，向北接新乡市东环路；</w:t>
      </w:r>
      <w:bookmarkStart w:id="163" w:name="_Hlk160872496"/>
      <w:r>
        <w:rPr>
          <w:rFonts w:hint="eastAsia"/>
        </w:rPr>
        <w:t>S506（洪蒋线）</w:t>
      </w:r>
      <w:bookmarkEnd w:id="163"/>
      <w:r>
        <w:rPr>
          <w:rFonts w:hint="eastAsia"/>
        </w:rPr>
        <w:t>，位于朗公庙镇，与新胡线相交，向南至原阳县，向北接新乡市南环路。</w:t>
      </w:r>
    </w:p>
    <w:p>
      <w:pPr>
        <w:pStyle w:val="17"/>
      </w:pPr>
      <w:r>
        <w:rPr>
          <w:rFonts w:hint="eastAsia"/>
        </w:rPr>
        <w:t>2.城乡公共交通</w:t>
      </w:r>
    </w:p>
    <w:p>
      <w:pPr>
        <w:pStyle w:val="17"/>
      </w:pPr>
      <w:r>
        <w:rPr>
          <w:rFonts w:hint="eastAsia"/>
        </w:rPr>
        <w:t>推动城乡客运基本公共服务均等化，构建15公里城市公交、30公里城乡公交的一体化格局，构建覆盖县域镇区、中心村的城乡公交网络。</w:t>
      </w:r>
    </w:p>
    <w:p>
      <w:pPr>
        <w:pStyle w:val="17"/>
      </w:pPr>
      <w:r>
        <w:rPr>
          <w:rFonts w:hint="eastAsia"/>
        </w:rPr>
        <w:t>以22条城乡公交线路为基础，新增合河乡至翟坡镇（沿中央大道-宏业路-辉原线布局公交线路，长度约16公里）、新乡县中心城区至朗公庙镇（沿金融路-洪蒋线布局公交线路，长度约14公里）、朗公庙镇至古固寨镇（沿030乡道-洪蒋线-008县道-047乡道布局公交线路，长度约20公里）3条公交线路。</w:t>
      </w:r>
    </w:p>
    <w:p>
      <w:pPr>
        <w:pStyle w:val="17"/>
      </w:pPr>
      <w:r>
        <w:rPr>
          <w:rFonts w:hint="eastAsia"/>
        </w:rPr>
        <w:t>3.城市货运交通</w:t>
      </w:r>
    </w:p>
    <w:p>
      <w:pPr>
        <w:pStyle w:val="17"/>
      </w:pPr>
      <w:r>
        <w:rPr>
          <w:rFonts w:hint="eastAsia"/>
        </w:rPr>
        <w:t>加强城区内货运交通的管控，构建由辉原线、工业大道、远大路、青龙路、东孟姜女河路形成的货运交通道路，将货运交通疏导至城市外围，减少货运交通对城市内部的干扰。</w:t>
      </w:r>
    </w:p>
    <w:p>
      <w:pPr>
        <w:pStyle w:val="17"/>
      </w:pPr>
      <w:r>
        <w:rPr>
          <w:rFonts w:hint="eastAsia"/>
        </w:rPr>
        <w:t>4.客运站</w:t>
      </w:r>
    </w:p>
    <w:p>
      <w:pPr>
        <w:pStyle w:val="17"/>
      </w:pPr>
      <w:r>
        <w:rPr>
          <w:rFonts w:hint="eastAsia"/>
        </w:rPr>
        <w:t>稳步推进农村客运停靠站点、通行道路、停车场地等设施建设，形成以客运站（公交站）为中心，镇区为节点的公路客运站场体系。推动城乡公交线网覆盖广度与深度。</w:t>
      </w:r>
    </w:p>
    <w:p>
      <w:pPr>
        <w:pStyle w:val="17"/>
      </w:pPr>
      <w:r>
        <w:rPr>
          <w:rFonts w:hint="eastAsia"/>
        </w:rPr>
        <w:t>规划保留现状商务中心区客运站及公交首末站，在各乡（镇）设置公交首末站1处。</w:t>
      </w:r>
    </w:p>
    <w:p>
      <w:pPr>
        <w:pStyle w:val="17"/>
      </w:pPr>
      <w:r>
        <w:t>5</w:t>
      </w:r>
      <w:r>
        <w:rPr>
          <w:rFonts w:hint="eastAsia"/>
        </w:rPr>
        <w:t>.货运站</w:t>
      </w:r>
    </w:p>
    <w:p>
      <w:pPr>
        <w:pStyle w:val="17"/>
      </w:pPr>
      <w:r>
        <w:rPr>
          <w:rFonts w:hint="eastAsia"/>
        </w:rPr>
        <w:t>保留现状新菏铁路心连心货运站、京广铁路七里营站，结合新亚对铁路运输的需求，围绕七里营火车站布局公铁物流园区，促进周边工业企业发展。</w:t>
      </w:r>
    </w:p>
    <w:p>
      <w:pPr>
        <w:pStyle w:val="5"/>
        <w:ind w:firstLine="640"/>
      </w:pPr>
      <w:bookmarkStart w:id="164" w:name="_Toc75757164"/>
      <w:bookmarkEnd w:id="164"/>
      <w:r>
        <w:rPr>
          <w:rFonts w:hint="eastAsia"/>
        </w:rPr>
        <w:t>完善中心城区道路体系，提升道路网密度</w:t>
      </w:r>
    </w:p>
    <w:p>
      <w:pPr>
        <w:pStyle w:val="17"/>
      </w:pPr>
      <w:r>
        <w:rPr>
          <w:rFonts w:hint="eastAsia"/>
        </w:rPr>
        <w:t>以通干路、补断头、窄马路、密路网为重点完善城市道路体系，将中心城区城市道路分为主干路、次干路、支路三级，打造“五横四纵”主干路格局。规划至2035年，中心城区道路网密度达到8千米/平方千米。</w:t>
      </w:r>
    </w:p>
    <w:p>
      <w:pPr>
        <w:pStyle w:val="17"/>
      </w:pPr>
      <w:r>
        <w:rPr>
          <w:rFonts w:hint="eastAsia"/>
        </w:rPr>
        <w:t>五横。分别为工业大道、青龙路、和谐大道、金融路、八六路。</w:t>
      </w:r>
    </w:p>
    <w:p>
      <w:pPr>
        <w:pStyle w:val="17"/>
      </w:pPr>
      <w:r>
        <w:rPr>
          <w:rFonts w:hint="eastAsia"/>
        </w:rPr>
        <w:t>四纵。分别为辉原线、青年路、中央大道</w:t>
      </w:r>
      <w:bookmarkStart w:id="165" w:name="_Hlk157155702"/>
      <w:r>
        <w:rPr>
          <w:rFonts w:hint="eastAsia"/>
        </w:rPr>
        <w:t>、S101（老G107）</w:t>
      </w:r>
      <w:bookmarkEnd w:id="165"/>
      <w:r>
        <w:rPr>
          <w:rFonts w:hint="eastAsia"/>
        </w:rPr>
        <w:t>。</w:t>
      </w:r>
    </w:p>
    <w:p>
      <w:pPr>
        <w:pStyle w:val="5"/>
        <w:ind w:firstLine="640"/>
      </w:pPr>
      <w:bookmarkStart w:id="166" w:name="_Toc69302461"/>
      <w:bookmarkStart w:id="167" w:name="_Toc75180634"/>
      <w:bookmarkStart w:id="168" w:name="_Toc69265008"/>
      <w:bookmarkStart w:id="169" w:name="_Toc87099726"/>
      <w:bookmarkStart w:id="170" w:name="_Toc74715955"/>
      <w:bookmarkStart w:id="171" w:name="_Toc75415610"/>
      <w:r>
        <w:rPr>
          <w:rFonts w:hint="eastAsia"/>
        </w:rPr>
        <w:t>推进中心城区公交、慢行并进，倡导低碳绿色发展</w:t>
      </w:r>
    </w:p>
    <w:p>
      <w:pPr>
        <w:pStyle w:val="17"/>
      </w:pPr>
      <w:r>
        <w:rPr>
          <w:rFonts w:hint="eastAsia"/>
        </w:rPr>
        <w:t>1.慢行系统</w:t>
      </w:r>
    </w:p>
    <w:p>
      <w:pPr>
        <w:pStyle w:val="17"/>
      </w:pPr>
      <w:r>
        <w:rPr>
          <w:rFonts w:hint="eastAsia"/>
        </w:rPr>
        <w:t>沿青年路、金融路、和谐大道、中央大道、祥和街规划设置自行车专用道路，构建城市慢行系统主要骨架。在公共交通站点设置公共自行车站点。</w:t>
      </w:r>
    </w:p>
    <w:p>
      <w:pPr>
        <w:pStyle w:val="17"/>
      </w:pPr>
      <w:r>
        <w:rPr>
          <w:rFonts w:hint="eastAsia"/>
        </w:rPr>
        <w:t>沿敦孟排、人民胜利渠、南支排等水系周边和中央大道、金融路、和谐大道、青年路、京华街等道路两侧绿化布局步道系统，形成慢行系统次要网络。</w:t>
      </w:r>
    </w:p>
    <w:p>
      <w:pPr>
        <w:pStyle w:val="17"/>
      </w:pPr>
      <w:r>
        <w:rPr>
          <w:rFonts w:hint="eastAsia"/>
        </w:rPr>
        <w:t>2.公共交通</w:t>
      </w:r>
    </w:p>
    <w:p>
      <w:pPr>
        <w:pStyle w:val="17"/>
      </w:pPr>
      <w:r>
        <w:rPr>
          <w:rFonts w:hint="eastAsia"/>
        </w:rPr>
        <w:t>建立“公交+公共（电动）自行车+出租车”层次分明、相互补充的公共交通网络。</w:t>
      </w:r>
    </w:p>
    <w:p>
      <w:pPr>
        <w:pStyle w:val="17"/>
      </w:pPr>
      <w:r>
        <w:rPr>
          <w:rFonts w:hint="eastAsia"/>
        </w:rPr>
        <w:t>有序推进公交场站规划建设，结合规划轨道站点，优化公交枢纽布局，创造便捷的接驳换乘条件。在中央大道、青年路、金融路、和谐路、青龙路、京华街公交线路途经路段视情况设置港湾式公交停靠站。</w:t>
      </w:r>
    </w:p>
    <w:p>
      <w:pPr>
        <w:pStyle w:val="17"/>
      </w:pPr>
      <w:r>
        <w:rPr>
          <w:rFonts w:hint="eastAsia"/>
        </w:rPr>
        <w:t>3. 推广新能源电动汽车</w:t>
      </w:r>
    </w:p>
    <w:p>
      <w:pPr>
        <w:pStyle w:val="17"/>
      </w:pPr>
      <w:r>
        <w:rPr>
          <w:rFonts w:hint="eastAsia"/>
        </w:rPr>
        <w:t>规划至2035年，新能源公交车、出租车普及率达到100%。各级党政机关、企事业单位及公共机构新增和更新公务用车优先使用新能源汽车，比例达到100%。在环卫、物流、邮政、医疗、校车等专用车领域，新能源汽车普及率达到100%。</w:t>
      </w:r>
    </w:p>
    <w:p>
      <w:pPr>
        <w:pStyle w:val="5"/>
        <w:ind w:firstLine="640"/>
      </w:pPr>
      <w:r>
        <w:rPr>
          <w:rFonts w:hint="eastAsia"/>
        </w:rPr>
        <w:t>科学安排中心城区停车设施，构建有序停车环境</w:t>
      </w:r>
    </w:p>
    <w:p>
      <w:pPr>
        <w:pStyle w:val="17"/>
      </w:pPr>
      <w:r>
        <w:rPr>
          <w:rFonts w:hint="eastAsia"/>
        </w:rPr>
        <w:t>小冀镇老镇区为严格控制区，其它建成区为适度控制区，新建区为协调发展区，严格遵循新配建标准，避免产生新的停车缺口。</w:t>
      </w:r>
    </w:p>
    <w:bookmarkEnd w:id="153"/>
    <w:bookmarkEnd w:id="154"/>
    <w:bookmarkEnd w:id="166"/>
    <w:bookmarkEnd w:id="167"/>
    <w:bookmarkEnd w:id="168"/>
    <w:bookmarkEnd w:id="169"/>
    <w:bookmarkEnd w:id="170"/>
    <w:bookmarkEnd w:id="171"/>
    <w:p>
      <w:pPr>
        <w:pStyle w:val="4"/>
        <w:numPr>
          <w:ilvl w:val="0"/>
          <w:numId w:val="13"/>
        </w:numPr>
        <w:rPr>
          <w:rFonts w:hint="eastAsia"/>
        </w:rPr>
      </w:pPr>
      <w:bookmarkStart w:id="172" w:name="_Toc71530147"/>
      <w:bookmarkStart w:id="173" w:name="_Toc82989201"/>
      <w:bookmarkStart w:id="174" w:name="_Toc56107903"/>
      <w:bookmarkStart w:id="175" w:name="_Toc178172858"/>
      <w:bookmarkStart w:id="176" w:name="_Toc71530146"/>
      <w:bookmarkStart w:id="177" w:name="_Toc56107902"/>
      <w:r>
        <w:rPr>
          <w:rFonts w:hint="eastAsia"/>
        </w:rPr>
        <w:t>统筹基础设施布局，预留重大廊道和空间</w:t>
      </w:r>
      <w:bookmarkEnd w:id="172"/>
      <w:bookmarkEnd w:id="173"/>
      <w:bookmarkEnd w:id="174"/>
      <w:bookmarkEnd w:id="175"/>
    </w:p>
    <w:p>
      <w:pPr>
        <w:pStyle w:val="5"/>
        <w:ind w:firstLine="640"/>
      </w:pPr>
      <w:r>
        <w:rPr>
          <w:rFonts w:hint="eastAsia"/>
        </w:rPr>
        <w:t>县域市政基础设施规划</w:t>
      </w:r>
    </w:p>
    <w:p>
      <w:pPr>
        <w:pStyle w:val="17"/>
      </w:pPr>
      <w:r>
        <w:rPr>
          <w:rFonts w:hint="eastAsia"/>
        </w:rPr>
        <w:t>1.城乡供水设施。</w:t>
      </w:r>
      <w:bookmarkStart w:id="178" w:name="_Hlk137572459"/>
      <w:r>
        <w:rPr>
          <w:rFonts w:hint="eastAsia"/>
        </w:rPr>
        <w:t>规划至</w:t>
      </w:r>
      <w:r>
        <w:t>2035</w:t>
      </w:r>
      <w:r>
        <w:rPr>
          <w:rFonts w:hint="eastAsia"/>
        </w:rPr>
        <w:t>年，保留现状供水厂共计</w:t>
      </w:r>
      <w:r>
        <w:t>3</w:t>
      </w:r>
      <w:r>
        <w:rPr>
          <w:rFonts w:hint="eastAsia"/>
        </w:rPr>
        <w:t>处，分别为本源水厂、大召营水厂、合河水厂。</w:t>
      </w:r>
      <w:bookmarkEnd w:id="178"/>
      <w:r>
        <w:rPr>
          <w:rFonts w:hint="eastAsia"/>
        </w:rPr>
        <w:t>中心城区、翟坡镇、朗公庙镇由本源水厂供水，</w:t>
      </w:r>
      <w:bookmarkStart w:id="179" w:name="_Hlk162192645"/>
      <w:r>
        <w:rPr>
          <w:rFonts w:hint="eastAsia"/>
        </w:rPr>
        <w:t>合河乡、大召营镇由大召营水厂供水，</w:t>
      </w:r>
      <w:bookmarkEnd w:id="179"/>
      <w:r>
        <w:rPr>
          <w:rFonts w:hint="eastAsia"/>
        </w:rPr>
        <w:t>古固寨镇接新乡市供水管网。</w:t>
      </w:r>
    </w:p>
    <w:p>
      <w:pPr>
        <w:pStyle w:val="17"/>
      </w:pPr>
      <w:bookmarkStart w:id="180" w:name="_Hlk143641918"/>
      <w:r>
        <w:t>2</w:t>
      </w:r>
      <w:r>
        <w:rPr>
          <w:rFonts w:hint="eastAsia"/>
        </w:rPr>
        <w:t>.变电站。规划至2035年，</w:t>
      </w:r>
      <w:bookmarkStart w:id="181" w:name="_Hlk137572476"/>
      <w:r>
        <w:rPr>
          <w:rFonts w:hint="eastAsia"/>
        </w:rPr>
        <w:t>规划新乡县变电站共计</w:t>
      </w:r>
      <w:r>
        <w:t>31</w:t>
      </w:r>
      <w:r>
        <w:rPr>
          <w:rFonts w:hint="eastAsia"/>
        </w:rPr>
        <w:t>座。</w:t>
      </w:r>
      <w:bookmarkEnd w:id="181"/>
    </w:p>
    <w:bookmarkEnd w:id="180"/>
    <w:p>
      <w:pPr>
        <w:pStyle w:val="17"/>
      </w:pPr>
      <w:r>
        <w:t>3</w:t>
      </w:r>
      <w:r>
        <w:rPr>
          <w:rFonts w:hint="eastAsia"/>
        </w:rPr>
        <w:t>.燃气供应设施。</w:t>
      </w:r>
      <w:bookmarkStart w:id="182" w:name="_Hlk137572495"/>
      <w:r>
        <w:rPr>
          <w:rFonts w:hint="eastAsia"/>
        </w:rPr>
        <w:t>规划至</w:t>
      </w:r>
      <w:r>
        <w:t>2035</w:t>
      </w:r>
      <w:r>
        <w:rPr>
          <w:rFonts w:hint="eastAsia"/>
        </w:rPr>
        <w:t>年，保留现状小宋佛天然气门站，位于翟坡镇小宋佛村</w:t>
      </w:r>
      <w:bookmarkEnd w:id="182"/>
      <w:r>
        <w:rPr>
          <w:rFonts w:hint="eastAsia"/>
        </w:rPr>
        <w:t>。</w:t>
      </w:r>
    </w:p>
    <w:p>
      <w:pPr>
        <w:pStyle w:val="17"/>
      </w:pPr>
      <w:r>
        <w:t>4</w:t>
      </w:r>
      <w:r>
        <w:rPr>
          <w:rFonts w:hint="eastAsia"/>
        </w:rPr>
        <w:t>.环卫设施</w:t>
      </w:r>
      <w:bookmarkStart w:id="183" w:name="_Hlk117709743"/>
      <w:r>
        <w:rPr>
          <w:rFonts w:hint="eastAsia"/>
        </w:rPr>
        <w:t>。</w:t>
      </w:r>
      <w:bookmarkStart w:id="184" w:name="_Hlk137572512"/>
      <w:r>
        <w:rPr>
          <w:rFonts w:hint="eastAsia"/>
        </w:rPr>
        <w:t>规划至</w:t>
      </w:r>
      <w:r>
        <w:t>2035</w:t>
      </w:r>
      <w:r>
        <w:rPr>
          <w:rFonts w:hint="eastAsia"/>
        </w:rPr>
        <w:t>年，新建建筑垃圾填埋场</w:t>
      </w:r>
      <w:r>
        <w:t>1</w:t>
      </w:r>
      <w:r>
        <w:rPr>
          <w:rFonts w:hint="eastAsia"/>
        </w:rPr>
        <w:t>处，规划生活垃圾转运站</w:t>
      </w:r>
      <w:r>
        <w:t>24</w:t>
      </w:r>
      <w:r>
        <w:rPr>
          <w:rFonts w:hint="eastAsia"/>
        </w:rPr>
        <w:t>处，其中现状保留</w:t>
      </w:r>
      <w:r>
        <w:t>5</w:t>
      </w:r>
      <w:r>
        <w:rPr>
          <w:rFonts w:hint="eastAsia"/>
        </w:rPr>
        <w:t>处，新增设</w:t>
      </w:r>
      <w:r>
        <w:t>19</w:t>
      </w:r>
      <w:r>
        <w:rPr>
          <w:rFonts w:hint="eastAsia"/>
        </w:rPr>
        <w:t>处。</w:t>
      </w:r>
      <w:bookmarkEnd w:id="184"/>
      <w:r>
        <w:rPr>
          <w:rFonts w:hint="eastAsia"/>
        </w:rPr>
        <w:t>生活垃圾送至原阳县静脉产业园处理。</w:t>
      </w:r>
      <w:bookmarkEnd w:id="183"/>
    </w:p>
    <w:p>
      <w:pPr>
        <w:pStyle w:val="17"/>
      </w:pPr>
      <w:r>
        <w:t>5</w:t>
      </w:r>
      <w:r>
        <w:rPr>
          <w:rFonts w:hint="eastAsia"/>
        </w:rPr>
        <w:t>.污水处理。规划至</w:t>
      </w:r>
      <w:r>
        <w:t>2035</w:t>
      </w:r>
      <w:r>
        <w:rPr>
          <w:rFonts w:hint="eastAsia"/>
        </w:rPr>
        <w:t>年，规划污水处理厂</w:t>
      </w:r>
      <w:r>
        <w:t>3</w:t>
      </w:r>
      <w:r>
        <w:rPr>
          <w:rFonts w:hint="eastAsia"/>
        </w:rPr>
        <w:t>座，分别为扩建新乡县综合污水处理厂和大召营污水处理厂、保留翟坡污水处理厂和古固寨污水处理厂。</w:t>
      </w:r>
    </w:p>
    <w:p>
      <w:pPr>
        <w:pStyle w:val="5"/>
        <w:ind w:firstLine="640"/>
      </w:pPr>
      <w:r>
        <w:rPr>
          <w:rFonts w:hint="eastAsia"/>
        </w:rPr>
        <w:t>县域重要市政基础设施廊道和重大邻避设施控制要求</w:t>
      </w:r>
    </w:p>
    <w:p>
      <w:pPr>
        <w:pStyle w:val="17"/>
      </w:pPr>
      <w:r>
        <w:t>1</w:t>
      </w:r>
      <w:r>
        <w:rPr>
          <w:rFonts w:hint="eastAsia"/>
        </w:rPr>
        <w:t>.高压廊道。</w:t>
      </w:r>
    </w:p>
    <w:p>
      <w:pPr>
        <w:pStyle w:val="17"/>
      </w:pPr>
      <w:r>
        <w:rPr>
          <w:rFonts w:hint="eastAsia"/>
        </w:rPr>
        <w:t>规划500千伏高压走廊按60米-75米控制，220千伏高压走廊按40米-45米控制，110千伏高压走廊按25米-30米控制。</w:t>
      </w:r>
    </w:p>
    <w:p>
      <w:pPr>
        <w:pStyle w:val="17"/>
      </w:pPr>
      <w:r>
        <w:rPr>
          <w:rFonts w:hint="eastAsia"/>
        </w:rPr>
        <w:t>2.输水管线。南水北调输水管线，</w:t>
      </w:r>
      <w:bookmarkStart w:id="185" w:name="_Hlk134451895"/>
      <w:r>
        <w:rPr>
          <w:rFonts w:hint="eastAsia"/>
        </w:rPr>
        <w:t>分别沿人民胜利渠向南和经心连心西侧向南至金融路北侧输送至本源水厂，</w:t>
      </w:r>
      <w:bookmarkEnd w:id="185"/>
      <w:r>
        <w:rPr>
          <w:rFonts w:hint="eastAsia"/>
        </w:rPr>
        <w:t>规划对输水管线两侧</w:t>
      </w:r>
      <w:r>
        <w:t>5</w:t>
      </w:r>
      <w:r>
        <w:rPr>
          <w:rFonts w:hint="eastAsia"/>
        </w:rPr>
        <w:t>米范围内进行管控。</w:t>
      </w:r>
    </w:p>
    <w:p>
      <w:pPr>
        <w:pStyle w:val="5"/>
        <w:ind w:firstLine="640"/>
      </w:pPr>
      <w:r>
        <w:rPr>
          <w:rFonts w:hint="eastAsia"/>
        </w:rPr>
        <w:t>中心城区市政基础设施规划</w:t>
      </w:r>
    </w:p>
    <w:p>
      <w:pPr>
        <w:pStyle w:val="17"/>
      </w:pPr>
      <w:r>
        <w:t>1</w:t>
      </w:r>
      <w:r>
        <w:rPr>
          <w:rFonts w:hint="eastAsia"/>
        </w:rPr>
        <w:t>.城市供水</w:t>
      </w:r>
    </w:p>
    <w:p>
      <w:pPr>
        <w:pStyle w:val="17"/>
      </w:pPr>
      <w:r>
        <w:rPr>
          <w:rFonts w:hint="eastAsia"/>
        </w:rPr>
        <w:t>水源为南水北调供水，南水北调工程年设计引水量5300万立方米，</w:t>
      </w:r>
      <w:bookmarkStart w:id="186" w:name="_Hlk162192701"/>
      <w:r>
        <w:rPr>
          <w:rFonts w:hint="eastAsia"/>
        </w:rPr>
        <w:t>引黄水作为备用水源。</w:t>
      </w:r>
      <w:bookmarkEnd w:id="186"/>
    </w:p>
    <w:p>
      <w:pPr>
        <w:pStyle w:val="17"/>
      </w:pPr>
      <w:r>
        <w:rPr>
          <w:rFonts w:hint="eastAsia"/>
        </w:rPr>
        <w:t>扩建本源水厂，规划远期翟坡镇与朗公庙镇统一纳入中心城区供水系统。</w:t>
      </w:r>
    </w:p>
    <w:p>
      <w:pPr>
        <w:pStyle w:val="17"/>
      </w:pPr>
      <w:r>
        <w:rPr>
          <w:rFonts w:hint="eastAsia"/>
        </w:rPr>
        <w:t>2.城市雨水</w:t>
      </w:r>
    </w:p>
    <w:p>
      <w:pPr>
        <w:pStyle w:val="17"/>
      </w:pPr>
      <w:r>
        <w:rPr>
          <w:rFonts w:hint="eastAsia"/>
        </w:rPr>
        <w:t>规划设计中重现期P取2—3年，平均径流系数老城区取0.7，新城区取0.6，雨水进入管道前的集流时间取10-15分钟。城区划分多个排水区域，充分利用河渠、排沟作为接纳点，实行就近排放和铺设雨水管道，雨水排放方向为由西往东。</w:t>
      </w:r>
    </w:p>
    <w:p>
      <w:pPr>
        <w:pStyle w:val="17"/>
      </w:pPr>
      <w:r>
        <w:rPr>
          <w:rFonts w:hint="eastAsia"/>
        </w:rPr>
        <w:t>3.城市污水</w:t>
      </w:r>
    </w:p>
    <w:p>
      <w:pPr>
        <w:pStyle w:val="17"/>
      </w:pPr>
      <w:r>
        <w:rPr>
          <w:rFonts w:hint="eastAsia"/>
        </w:rPr>
        <w:t>规划保留现状新乡县综合污水处理厂，设置3条污水主管道，分别为青龙大道污水主管道、东孟姜女河污水主管道以及金融大道污水主管道，设置3处污水提升泵站。</w:t>
      </w:r>
    </w:p>
    <w:p>
      <w:pPr>
        <w:pStyle w:val="17"/>
      </w:pPr>
      <w:r>
        <w:rPr>
          <w:rFonts w:hint="eastAsia"/>
        </w:rPr>
        <w:t>结合污水厂设置再生水厂，再生水主要用于环境景观用水、道路用水、绿化用水等，规划再生水总回用率为60.00%。</w:t>
      </w:r>
    </w:p>
    <w:p>
      <w:pPr>
        <w:pStyle w:val="17"/>
      </w:pPr>
      <w:r>
        <w:rPr>
          <w:rFonts w:hint="eastAsia"/>
        </w:rPr>
        <w:t>4.城市供电</w:t>
      </w:r>
    </w:p>
    <w:p>
      <w:pPr>
        <w:pStyle w:val="17"/>
      </w:pPr>
      <w:bookmarkStart w:id="187" w:name="_Hlk135068739"/>
      <w:r>
        <w:rPr>
          <w:rFonts w:hint="eastAsia"/>
        </w:rPr>
        <w:t>新建500千伏潞南变电站、110千伏北郊变电站、110千伏七里营变电站、新建110千伏冀西变电站、新建110千伏逐鹿（小河）变电站、新建110千伏阳光变电站；保留220千伏胜利变电站、保留110千伏龙泉变电站、保留110千伏苗庄变电站、保留110千伏刘庄变电站、保留110千伏红旗变电站、保留35千伏南新庄变电站、保留35千伏冀西变电站。</w:t>
      </w:r>
    </w:p>
    <w:bookmarkEnd w:id="187"/>
    <w:p>
      <w:pPr>
        <w:pStyle w:val="17"/>
      </w:pPr>
      <w:r>
        <w:rPr>
          <w:rFonts w:hint="eastAsia"/>
        </w:rPr>
        <w:t>5.城市通信</w:t>
      </w:r>
    </w:p>
    <w:p>
      <w:pPr>
        <w:pStyle w:val="17"/>
      </w:pPr>
      <w:r>
        <w:rPr>
          <w:rFonts w:hint="eastAsia"/>
        </w:rPr>
        <w:t>规划一处通信局所，位于中央大道与平安街交叉口处。</w:t>
      </w:r>
    </w:p>
    <w:p>
      <w:pPr>
        <w:pStyle w:val="17"/>
      </w:pPr>
      <w:r>
        <w:rPr>
          <w:rFonts w:hint="eastAsia"/>
        </w:rPr>
        <w:t>保留现状邮政局，占地1.00公顷。规划新建7处邮政所，建筑面积不小于200平方米，满足服务半径不大于1公里。</w:t>
      </w:r>
    </w:p>
    <w:p>
      <w:pPr>
        <w:pStyle w:val="17"/>
        <w:ind w:firstLine="644"/>
      </w:pPr>
      <w:r>
        <w:rPr>
          <w:rFonts w:hint="eastAsia"/>
          <w:spacing w:val="1"/>
        </w:rPr>
        <w:t>合理保障通信基础设施用地需求。</w:t>
      </w:r>
      <w:r>
        <w:rPr>
          <w:rFonts w:hint="eastAsia"/>
        </w:rPr>
        <w:t>对现有通信基础设施用地进行有效保护，严禁非法占用和损害，确保通信设施的正常运行和服务质量。</w:t>
      </w:r>
    </w:p>
    <w:p>
      <w:pPr>
        <w:pStyle w:val="17"/>
      </w:pPr>
      <w:r>
        <w:rPr>
          <w:rFonts w:hint="eastAsia"/>
        </w:rPr>
        <w:t>加强5G网络规划布局，加快5G网络建设，深化5G网络应用示范。</w:t>
      </w:r>
    </w:p>
    <w:p>
      <w:pPr>
        <w:pStyle w:val="17"/>
      </w:pPr>
      <w:r>
        <w:rPr>
          <w:rFonts w:hint="eastAsia"/>
        </w:rPr>
        <w:t>6.城市燃气</w:t>
      </w:r>
    </w:p>
    <w:p>
      <w:pPr>
        <w:pStyle w:val="17"/>
      </w:pPr>
      <w:r>
        <w:rPr>
          <w:rFonts w:hint="eastAsia"/>
        </w:rPr>
        <w:t>以豫北支线天然气为主，新奥燃气为辅，形成双气源供气，满足城市快速发展的需求。</w:t>
      </w:r>
    </w:p>
    <w:p>
      <w:pPr>
        <w:pStyle w:val="17"/>
      </w:pPr>
      <w:r>
        <w:rPr>
          <w:rFonts w:hint="eastAsia"/>
        </w:rPr>
        <w:t>7.城市供热</w:t>
      </w:r>
    </w:p>
    <w:p>
      <w:pPr>
        <w:pStyle w:val="17"/>
      </w:pPr>
      <w:bookmarkStart w:id="188" w:name="_Hlk162192789"/>
      <w:r>
        <w:rPr>
          <w:rFonts w:hint="eastAsia"/>
        </w:rPr>
        <w:t>新乡县热源供应主要为新乡县恒新热力有限公司、河南新乡兴泰纸业有限公司热源厂、河南心连心化工集团有限公司热源厂、新乡新亚纸业有限公司、渠东电厂、河南新乡华星药厂热源厂。</w:t>
      </w:r>
      <w:bookmarkEnd w:id="188"/>
    </w:p>
    <w:p>
      <w:pPr>
        <w:pStyle w:val="17"/>
      </w:pPr>
      <w:r>
        <w:rPr>
          <w:rFonts w:hint="eastAsia"/>
        </w:rPr>
        <w:t>8.城市环卫</w:t>
      </w:r>
    </w:p>
    <w:p>
      <w:pPr>
        <w:pStyle w:val="17"/>
      </w:pPr>
      <w:bookmarkStart w:id="189" w:name="_Hlk162192824"/>
      <w:r>
        <w:rPr>
          <w:rFonts w:hint="eastAsia" w:ascii="仿宋_GB2312"/>
        </w:rPr>
        <w:t>至</w:t>
      </w:r>
      <w:r>
        <w:rPr>
          <w:rFonts w:hint="eastAsia"/>
        </w:rPr>
        <w:t>2035</w:t>
      </w:r>
      <w:r>
        <w:rPr>
          <w:rFonts w:hint="eastAsia" w:ascii="仿宋_GB2312"/>
        </w:rPr>
        <w:t>年，生活垃圾清运率、中转运输密闭率、无害化处理率均达到</w:t>
      </w:r>
      <w:r>
        <w:rPr>
          <w:rFonts w:hint="eastAsia"/>
        </w:rPr>
        <w:t>100</w:t>
      </w:r>
      <w:r>
        <w:t>.00</w:t>
      </w:r>
      <w:r>
        <w:rPr>
          <w:rFonts w:ascii="仿宋_GB2312"/>
        </w:rPr>
        <w:t>%</w:t>
      </w:r>
      <w:r>
        <w:rPr>
          <w:rFonts w:hint="eastAsia" w:ascii="仿宋_GB2312"/>
        </w:rPr>
        <w:t>；医疗垃圾等特种垃圾无害化处理率达到</w:t>
      </w:r>
      <w:r>
        <w:rPr>
          <w:rFonts w:hint="eastAsia"/>
        </w:rPr>
        <w:t>100</w:t>
      </w:r>
      <w:r>
        <w:t>.00</w:t>
      </w:r>
      <w:r>
        <w:rPr>
          <w:rFonts w:ascii="仿宋_GB2312"/>
        </w:rPr>
        <w:t>%</w:t>
      </w:r>
      <w:r>
        <w:rPr>
          <w:rFonts w:hint="eastAsia" w:ascii="仿宋_GB2312"/>
        </w:rPr>
        <w:t>；工业固体废物综合利用率达到</w:t>
      </w:r>
      <w:r>
        <w:rPr>
          <w:rFonts w:hint="eastAsia"/>
        </w:rPr>
        <w:t>85</w:t>
      </w:r>
      <w:r>
        <w:rPr>
          <w:rFonts w:ascii="仿宋_GB2312"/>
        </w:rPr>
        <w:t>%</w:t>
      </w:r>
      <w:r>
        <w:rPr>
          <w:rFonts w:hint="eastAsia" w:ascii="仿宋_GB2312"/>
        </w:rPr>
        <w:t>以上。</w:t>
      </w:r>
    </w:p>
    <w:p>
      <w:pPr>
        <w:pStyle w:val="17"/>
      </w:pPr>
      <w:r>
        <w:rPr>
          <w:rFonts w:hint="eastAsia"/>
        </w:rPr>
        <w:t>公共厕所按常住人口5000-10000人／座设置，每座建筑面积30-50平方米。公厕的服务半径为750-1000米、居住生活区300-500米、商业文化大街1000米。</w:t>
      </w:r>
      <w:bookmarkEnd w:id="189"/>
    </w:p>
    <w:p>
      <w:pPr>
        <w:pStyle w:val="4"/>
        <w:numPr>
          <w:ilvl w:val="0"/>
          <w:numId w:val="13"/>
        </w:numPr>
        <w:rPr>
          <w:rFonts w:hint="eastAsia"/>
        </w:rPr>
      </w:pPr>
      <w:bookmarkStart w:id="190" w:name="_Toc178172859"/>
      <w:r>
        <w:rPr>
          <w:rFonts w:hint="eastAsia"/>
        </w:rPr>
        <w:t>健全城乡安全体系，提升城乡安全韧性</w:t>
      </w:r>
      <w:bookmarkEnd w:id="190"/>
    </w:p>
    <w:p>
      <w:pPr>
        <w:pStyle w:val="5"/>
        <w:ind w:firstLine="640"/>
      </w:pPr>
      <w:r>
        <w:rPr>
          <w:rFonts w:hint="eastAsia"/>
        </w:rPr>
        <w:t>综合防灾减灾规划目标</w:t>
      </w:r>
    </w:p>
    <w:p>
      <w:pPr>
        <w:pStyle w:val="17"/>
      </w:pPr>
      <w:bookmarkStart w:id="191" w:name="_Hlk162192842"/>
      <w:r>
        <w:rPr>
          <w:rFonts w:hint="eastAsia"/>
        </w:rPr>
        <w:t>到2025年，基本建立统筹高效、职责明确、防治结合、社会参与、与经济社会高质量发展相协调的自然灾害防治体系；力争到2035年，基本实现自然灾害防治体系和防治能力现代化，重特大灾害防范应对更加有力有序有效。</w:t>
      </w:r>
    </w:p>
    <w:bookmarkEnd w:id="191"/>
    <w:p>
      <w:pPr>
        <w:pStyle w:val="5"/>
        <w:ind w:firstLine="640"/>
      </w:pPr>
      <w:bookmarkStart w:id="192" w:name="_Hlk162192911"/>
      <w:r>
        <w:rPr>
          <w:rFonts w:hint="eastAsia"/>
        </w:rPr>
        <w:t>防灾基础设施和应急避难场所</w:t>
      </w:r>
    </w:p>
    <w:bookmarkEnd w:id="192"/>
    <w:p>
      <w:pPr>
        <w:pStyle w:val="17"/>
      </w:pPr>
      <w:r>
        <w:t>1</w:t>
      </w:r>
      <w:r>
        <w:rPr>
          <w:rFonts w:hint="eastAsia"/>
        </w:rPr>
        <w:t>.防灾工程</w:t>
      </w:r>
    </w:p>
    <w:p>
      <w:pPr>
        <w:pStyle w:val="17"/>
      </w:pPr>
      <w:r>
        <w:rPr>
          <w:rFonts w:hint="eastAsia"/>
        </w:rPr>
        <w:t>救灾指挥中心。规划1处县级综合救灾中心，12处片区、各乡（镇）救灾指挥中心，1处消防指挥中心。</w:t>
      </w:r>
    </w:p>
    <w:p>
      <w:pPr>
        <w:pStyle w:val="17"/>
      </w:pPr>
      <w:r>
        <w:rPr>
          <w:rFonts w:hint="eastAsia"/>
        </w:rPr>
        <w:t>救灾物资储备库。规划县级救灾物资储备库1处，乡（镇）区级应急物质储备分发地5处。</w:t>
      </w:r>
    </w:p>
    <w:p>
      <w:pPr>
        <w:pStyle w:val="17"/>
      </w:pPr>
      <w:r>
        <w:t>2</w:t>
      </w:r>
      <w:r>
        <w:rPr>
          <w:rFonts w:hint="eastAsia"/>
        </w:rPr>
        <w:t>.生命线保障工程。</w:t>
      </w:r>
    </w:p>
    <w:p>
      <w:pPr>
        <w:pStyle w:val="17"/>
      </w:pPr>
      <w:r>
        <w:rPr>
          <w:rFonts w:hint="eastAsia"/>
        </w:rPr>
        <w:t>贯彻国防需求，建设供水、供电、油气、通信、交通等生命线应急保障系统，加强区域性电力、天然气、石油等能源系统长输管线、管道、重要场站、储备基地防灾能力和防护空间建设。</w:t>
      </w:r>
    </w:p>
    <w:p>
      <w:pPr>
        <w:pStyle w:val="17"/>
      </w:pPr>
      <w:r>
        <w:rPr>
          <w:rFonts w:hint="eastAsia"/>
        </w:rPr>
        <w:t>3.防灾疏散通道。</w:t>
      </w:r>
    </w:p>
    <w:p>
      <w:pPr>
        <w:pStyle w:val="17"/>
      </w:pPr>
      <w:r>
        <w:rPr>
          <w:rFonts w:hint="eastAsia"/>
        </w:rPr>
        <w:t>救灾干道。郑辉高速、长修高速、京港澳高速、菏宝高速、新平快速路、郑新快速路、新原快速路、和平大道南延、G234、S101（老G107）、G309、S311等。</w:t>
      </w:r>
    </w:p>
    <w:p>
      <w:pPr>
        <w:pStyle w:val="17"/>
      </w:pPr>
      <w:r>
        <w:rPr>
          <w:rFonts w:hint="eastAsia"/>
        </w:rPr>
        <w:t>疏散主干道。工业大道、青龙路、和谐大道、黄河大道、金融路、八六路、辉原线、京华街、青年路、中央大道等。</w:t>
      </w:r>
    </w:p>
    <w:p>
      <w:pPr>
        <w:pStyle w:val="17"/>
      </w:pPr>
      <w:r>
        <w:rPr>
          <w:rFonts w:hint="eastAsia"/>
        </w:rPr>
        <w:t>4.应急避难场所</w:t>
      </w:r>
    </w:p>
    <w:p>
      <w:pPr>
        <w:pStyle w:val="17"/>
      </w:pPr>
      <w:bookmarkStart w:id="193" w:name="_Hlk162193021"/>
      <w:r>
        <w:rPr>
          <w:rFonts w:hint="eastAsia" w:cs="仿宋"/>
        </w:rPr>
        <w:t>结合公园绿地广场等开敞空间和体育场馆等公共设施，提出网络化、分布式的应急避难场所、疏散通道的布局要求，建立布局合理的紧急避难、固定避难、中心避难三级避难场所体系。</w:t>
      </w:r>
    </w:p>
    <w:bookmarkEnd w:id="193"/>
    <w:p>
      <w:pPr>
        <w:pStyle w:val="5"/>
        <w:ind w:firstLine="640"/>
      </w:pPr>
      <w:bookmarkStart w:id="194" w:name="_Hlk162193048"/>
      <w:r>
        <w:rPr>
          <w:rFonts w:hint="eastAsia"/>
        </w:rPr>
        <w:t>避让高风险区</w:t>
      </w:r>
    </w:p>
    <w:p>
      <w:pPr>
        <w:pStyle w:val="17"/>
      </w:pPr>
      <w:r>
        <w:rPr>
          <w:rFonts w:hint="eastAsia" w:cs="仿宋"/>
        </w:rPr>
        <w:t>根据地震灾害、洪涝灾害、地质灾害等现状灾害风险评估，新乡县划定洪涝风险控制线范围</w:t>
      </w:r>
      <w:r>
        <w:rPr>
          <w:rFonts w:hint="eastAsia"/>
        </w:rPr>
        <w:t>861.32</w:t>
      </w:r>
      <w:r>
        <w:rPr>
          <w:rFonts w:hint="eastAsia" w:ascii="仿宋_GB2312"/>
        </w:rPr>
        <w:t>公顷</w:t>
      </w:r>
      <w:r>
        <w:rPr>
          <w:rFonts w:hint="eastAsia" w:cs="仿宋"/>
        </w:rPr>
        <w:t>（卫河滞洪区），项目在选址建设前应进行风险评估，合理避让高风险地区。同时，加强地震灾害风险检测评估和抗震加固改造，推进构建自然灾害数据常态化更新机制，建立自然灾害综合监测预警体系，编制各项灾害风险应急预案，预留区域防灾空间，构建安全保障体系。</w:t>
      </w:r>
      <w:r>
        <w:rPr>
          <w:rFonts w:hint="eastAsia"/>
        </w:rPr>
        <w:t>地质灾害风险区分布应该根据地质灾害风险调查评价成果动态调整。</w:t>
      </w:r>
      <w:bookmarkEnd w:id="194"/>
    </w:p>
    <w:p>
      <w:pPr>
        <w:pStyle w:val="5"/>
        <w:ind w:firstLine="640"/>
      </w:pPr>
      <w:r>
        <w:rPr>
          <w:rFonts w:hint="eastAsia"/>
        </w:rPr>
        <w:t>防洪排涝规划</w:t>
      </w:r>
    </w:p>
    <w:p>
      <w:pPr>
        <w:pStyle w:val="17"/>
      </w:pPr>
      <w:r>
        <w:rPr>
          <w:rFonts w:hint="eastAsia"/>
        </w:rPr>
        <w:t>1.防洪标准。</w:t>
      </w:r>
    </w:p>
    <w:p>
      <w:pPr>
        <w:pStyle w:val="17"/>
      </w:pPr>
      <w:r>
        <w:rPr>
          <w:rFonts w:hint="eastAsia"/>
        </w:rPr>
        <w:t>加快建设合河水利枢纽工程，提高区域蓄水调水能力；实施卫河、共产主义渠、东孟姜女河等综合治理工程，提高河道防洪标准及提防达标率，提升流域防洪安保能力。至2035年，中心城区防洪标准为50年一遇，乡村地区防洪标准为10-20年一遇。县域各河流防洪标准如下：</w:t>
      </w:r>
    </w:p>
    <w:p>
      <w:pPr>
        <w:pStyle w:val="17"/>
      </w:pPr>
      <w:r>
        <w:rPr>
          <w:rFonts w:hint="eastAsia"/>
        </w:rPr>
        <w:t>共产主义渠：防洪标准100年一遇；</w:t>
      </w:r>
    </w:p>
    <w:p>
      <w:pPr>
        <w:pStyle w:val="17"/>
      </w:pPr>
      <w:r>
        <w:rPr>
          <w:rFonts w:hint="eastAsia"/>
        </w:rPr>
        <w:t>卫河：防洪标准50年一遇；</w:t>
      </w:r>
    </w:p>
    <w:p>
      <w:pPr>
        <w:pStyle w:val="17"/>
      </w:pPr>
      <w:r>
        <w:rPr>
          <w:rFonts w:hint="eastAsia"/>
        </w:rPr>
        <w:t>东、西孟姜女河城镇段：防洪标准为50年一遇，乡村段：20年一遇；</w:t>
      </w:r>
    </w:p>
    <w:p>
      <w:pPr>
        <w:pStyle w:val="17"/>
      </w:pPr>
      <w:r>
        <w:rPr>
          <w:rFonts w:hint="eastAsia"/>
        </w:rPr>
        <w:t>其它河流：防洪标准10年一遇。</w:t>
      </w:r>
    </w:p>
    <w:p>
      <w:pPr>
        <w:pStyle w:val="17"/>
      </w:pPr>
      <w:r>
        <w:rPr>
          <w:rFonts w:hint="eastAsia"/>
        </w:rPr>
        <w:t>2.内涝防治标准</w:t>
      </w:r>
    </w:p>
    <w:p>
      <w:pPr>
        <w:pStyle w:val="17"/>
      </w:pPr>
      <w:r>
        <w:rPr>
          <w:rFonts w:hint="eastAsia"/>
        </w:rPr>
        <w:t>至2035年，中心城区内涝防治标准为20年一遇，雨水管渠设计重现年为3-5年。</w:t>
      </w:r>
    </w:p>
    <w:p>
      <w:pPr>
        <w:pStyle w:val="5"/>
        <w:ind w:firstLine="640"/>
      </w:pPr>
      <w:r>
        <w:rPr>
          <w:rFonts w:hint="eastAsia"/>
        </w:rPr>
        <w:t>消防规划</w:t>
      </w:r>
    </w:p>
    <w:p>
      <w:pPr>
        <w:pStyle w:val="17"/>
      </w:pPr>
      <w:r>
        <w:rPr>
          <w:rFonts w:hint="eastAsia"/>
        </w:rPr>
        <w:t>1.县域消防设施布局。规划至2035年，中心城区共设置消防站6座，均为一级普通消防站；乡（镇）设置消防站4处，专职消防队1处，其中大召营镇、翟坡镇、古固寨镇、朗公庙镇为二级普通消防站，合河乡以接警后消防车能在</w:t>
      </w:r>
      <w:r>
        <w:t>5</w:t>
      </w:r>
      <w:r>
        <w:rPr>
          <w:rFonts w:hint="eastAsia"/>
        </w:rPr>
        <w:t>分钟内到达责任区边缘最远点为原则设置专职消防队，配置消防设施；在农村地区成立消防组织，各社区成立防火安全委员会，负责本社区范围内的消防工作。</w:t>
      </w:r>
    </w:p>
    <w:p>
      <w:pPr>
        <w:pStyle w:val="17"/>
      </w:pPr>
      <w:r>
        <w:t>2</w:t>
      </w:r>
      <w:r>
        <w:rPr>
          <w:rFonts w:hint="eastAsia"/>
        </w:rPr>
        <w:t>.中心城区消防设施规划</w:t>
      </w:r>
    </w:p>
    <w:p>
      <w:pPr>
        <w:pStyle w:val="17"/>
      </w:pPr>
      <w:r>
        <w:rPr>
          <w:rFonts w:hint="eastAsia"/>
        </w:rPr>
        <w:t>消防站布局。规划升级改造青龙路消防站1处，新建5座一级普通消防站，单座占地面积不小于3300.00平方米，满足规划区消防救援需求。</w:t>
      </w:r>
    </w:p>
    <w:p>
      <w:pPr>
        <w:pStyle w:val="17"/>
      </w:pPr>
      <w:r>
        <w:rPr>
          <w:rFonts w:hint="eastAsia"/>
        </w:rPr>
        <w:t>至2035年，中心城区实现消防救援5分钟可达覆盖率达到90.00%以上。</w:t>
      </w:r>
    </w:p>
    <w:p>
      <w:pPr>
        <w:pStyle w:val="5"/>
        <w:ind w:firstLine="640"/>
      </w:pPr>
      <w:r>
        <w:rPr>
          <w:rFonts w:hint="eastAsia"/>
        </w:rPr>
        <w:t>人防设施规划建设</w:t>
      </w:r>
    </w:p>
    <w:p>
      <w:pPr>
        <w:pStyle w:val="17"/>
        <w:ind w:firstLine="644"/>
      </w:pPr>
      <w:bookmarkStart w:id="195" w:name="_Hlk162193105"/>
      <w:r>
        <w:rPr>
          <w:rFonts w:hint="eastAsia"/>
          <w:spacing w:val="1"/>
        </w:rPr>
        <w:t>经济建设和基础设施建设应贯穿国防要求。进一步优化</w:t>
      </w:r>
      <w:r>
        <w:rPr>
          <w:rFonts w:hint="eastAsia"/>
        </w:rPr>
        <w:t>人防工程功能布局和比例结构，实行分类指导、重点建设，推动城市城区人均人员掩蔽工程面积与城市人口发展相协调，强化防空地下室易地建设费统筹使用，集中用于城市中心区，人口密集区、商业繁华区和重要目标毗连区人防工程建设，分类布局建设符合不同功能区要求的城市人防工程设施，人防工程互联互通，构建完整的城市地下防护网体系。</w:t>
      </w:r>
      <w:bookmarkEnd w:id="195"/>
    </w:p>
    <w:p>
      <w:pPr>
        <w:pStyle w:val="5"/>
        <w:ind w:firstLine="640"/>
      </w:pPr>
      <w:r>
        <w:rPr>
          <w:rFonts w:hint="eastAsia"/>
        </w:rPr>
        <w:t>抗震规划</w:t>
      </w:r>
    </w:p>
    <w:p>
      <w:pPr>
        <w:pStyle w:val="17"/>
      </w:pPr>
      <w:r>
        <w:rPr>
          <w:rFonts w:hint="eastAsia"/>
        </w:rPr>
        <w:t>科学提升防震减灾社会治理能力。依据国家、河南省第一次全国自然灾害综合风险普查相关成果，有针对性地提出多层级、高水准的地震灾害风险防治措施，进一步提升县域抗震能力。</w:t>
      </w:r>
    </w:p>
    <w:p>
      <w:pPr>
        <w:pStyle w:val="5"/>
        <w:ind w:firstLine="640"/>
      </w:pPr>
      <w:r>
        <w:rPr>
          <w:rFonts w:hint="eastAsia"/>
        </w:rPr>
        <w:t>地质灾害防治规划</w:t>
      </w:r>
    </w:p>
    <w:p>
      <w:pPr>
        <w:pStyle w:val="17"/>
      </w:pPr>
      <w:r>
        <w:rPr>
          <w:rFonts w:hint="eastAsia"/>
        </w:rPr>
        <w:t>开展地质灾害调查评价，推进地质灾害及隐患的排查、巡查和复查工作，健全完善县域地质灾害隐患调查数据库。完善地质灾害监测预警体系，加强以群测群防为主的监测预警体系建设，完善地质灾害气象预警平台建设，地质灾害隐患点群测群防全面部署。</w:t>
      </w:r>
    </w:p>
    <w:p>
      <w:pPr>
        <w:pStyle w:val="5"/>
        <w:ind w:firstLine="640"/>
      </w:pPr>
      <w:r>
        <w:rPr>
          <w:rFonts w:hint="eastAsia"/>
        </w:rPr>
        <w:t>危险品存储设施用地布局及管控要求</w:t>
      </w:r>
    </w:p>
    <w:p>
      <w:pPr>
        <w:pStyle w:val="17"/>
      </w:pPr>
      <w:r>
        <w:rPr>
          <w:rFonts w:hint="eastAsia"/>
        </w:rPr>
        <w:t>加强对现状易燃易爆危险源的监控，城市建设用地范围内易燃易爆单位，应根据安全评估及规划逐步实施搬迁。严格限制新建易燃易爆化学危险品储存设施及进行易燃易爆化学危险品生产活动，重要应急功能区和建筑距易燃易爆工厂仓库、供气厂、储气站等重大次生火灾或爆炸危险源距离应不小于1000.00米。最终的安全防护距离以重大危险源企业编制的危化品</w:t>
      </w:r>
      <w:bookmarkStart w:id="196" w:name="_Hlk162193231"/>
      <w:r>
        <w:rPr>
          <w:rFonts w:hint="eastAsia"/>
        </w:rPr>
        <w:t>危险与可操作性</w:t>
      </w:r>
      <w:bookmarkEnd w:id="196"/>
      <w:r>
        <w:rPr>
          <w:rFonts w:hint="eastAsia"/>
        </w:rPr>
        <w:t>分析报告及企业《安全评价报告》为准。油气长输管道安全防护距离应满足《输气管道工程设计规范》（GB50251-2015）、《输油管道工程设计规范》（GB 50253-2014）规定。</w:t>
      </w:r>
    </w:p>
    <w:p>
      <w:pPr>
        <w:pStyle w:val="5"/>
        <w:ind w:firstLine="640"/>
      </w:pPr>
      <w:r>
        <w:rPr>
          <w:rFonts w:hint="eastAsia"/>
        </w:rPr>
        <w:t>有效应对</w:t>
      </w:r>
      <w:bookmarkStart w:id="197" w:name="_Hlk162193304"/>
      <w:r>
        <w:rPr>
          <w:rFonts w:hint="eastAsia"/>
        </w:rPr>
        <w:t>突发公共事件</w:t>
      </w:r>
      <w:bookmarkEnd w:id="197"/>
    </w:p>
    <w:p>
      <w:pPr>
        <w:pStyle w:val="17"/>
      </w:pPr>
      <w:bookmarkStart w:id="198" w:name="_Hlk162193343"/>
      <w:r>
        <w:rPr>
          <w:rFonts w:hint="eastAsia" w:cs="仿宋"/>
        </w:rPr>
        <w:t>完善疾病控制网络，按照防疫防灾一体化、平灾结合的原则，完善突发公共卫生事件分级防控体系，强化覆盖城乡的“平战结合”的传染病收治体系建设</w:t>
      </w:r>
      <w:bookmarkEnd w:id="198"/>
      <w:r>
        <w:rPr>
          <w:rFonts w:hint="eastAsia"/>
        </w:rPr>
        <w:t>。</w:t>
      </w:r>
    </w:p>
    <w:p>
      <w:pPr>
        <w:pStyle w:val="5"/>
        <w:ind w:firstLine="640"/>
      </w:pPr>
      <w:r>
        <w:rPr>
          <w:rFonts w:hint="eastAsia"/>
        </w:rPr>
        <w:t>区域协同防灾救灾</w:t>
      </w:r>
    </w:p>
    <w:p>
      <w:pPr>
        <w:pStyle w:val="17"/>
      </w:pPr>
      <w:r>
        <w:rPr>
          <w:rFonts w:hint="eastAsia"/>
        </w:rPr>
        <w:t>依托新乡县应急管理局，由水利局、消防大队、县人民医院和研究机构的专家学者作为顾问，成立“新乡县综合防灾联动中心”，负责推动与新乡市、原阳县等跨界地区的生态共育、水系共治、防灾信息预警与发布、各类应急设施的共享共建等，与周边城市形成1.5小时互助圈。</w:t>
      </w:r>
    </w:p>
    <w:bookmarkEnd w:id="176"/>
    <w:bookmarkEnd w:id="177"/>
    <w:p>
      <w:pPr>
        <w:pStyle w:val="4"/>
        <w:numPr>
          <w:ilvl w:val="0"/>
          <w:numId w:val="13"/>
        </w:numPr>
        <w:rPr>
          <w:rFonts w:hint="eastAsia"/>
        </w:rPr>
      </w:pPr>
      <w:bookmarkStart w:id="199" w:name="_Toc178172860"/>
      <w:r>
        <w:rPr>
          <w:rFonts w:hint="eastAsia"/>
        </w:rPr>
        <w:t>推动新型基建物联智能，建设智慧城市</w:t>
      </w:r>
      <w:bookmarkEnd w:id="199"/>
    </w:p>
    <w:p>
      <w:pPr>
        <w:pStyle w:val="5"/>
        <w:ind w:firstLine="640"/>
      </w:pPr>
      <w:r>
        <w:rPr>
          <w:rFonts w:hint="eastAsia"/>
        </w:rPr>
        <w:t>智慧城市建设方案</w:t>
      </w:r>
    </w:p>
    <w:p>
      <w:pPr>
        <w:pStyle w:val="17"/>
      </w:pPr>
      <w:r>
        <w:rPr>
          <w:rFonts w:hint="eastAsia"/>
        </w:rPr>
        <w:t>1.推动新型基建物联智能</w:t>
      </w:r>
    </w:p>
    <w:p>
      <w:pPr>
        <w:pStyle w:val="17"/>
      </w:pPr>
      <w:r>
        <w:rPr>
          <w:rFonts w:hint="eastAsia"/>
        </w:rPr>
        <w:t>推动人工智能、5G基站、数据中心、智能计算中心等新型基础设施建设，打造全域感知、万物互联、智能融合的智慧城市数字基础体系。</w:t>
      </w:r>
    </w:p>
    <w:p>
      <w:pPr>
        <w:pStyle w:val="17"/>
      </w:pPr>
      <w:r>
        <w:rPr>
          <w:rFonts w:hint="eastAsia"/>
        </w:rPr>
        <w:t>2.塑造生活服务新模式</w:t>
      </w:r>
    </w:p>
    <w:p>
      <w:pPr>
        <w:pStyle w:val="17"/>
      </w:pPr>
      <w:r>
        <w:rPr>
          <w:rFonts w:hint="eastAsia"/>
        </w:rPr>
        <w:t>响应民生诉求，实现政务服务“一次登录、全网通办”。完善智慧养老、智慧教育、智慧医疗、未来社区、数字乡村等民生应用建设，进一步推进政务服务便捷化、智能化、高效化。</w:t>
      </w:r>
    </w:p>
    <w:p>
      <w:pPr>
        <w:pStyle w:val="17"/>
      </w:pPr>
      <w:r>
        <w:rPr>
          <w:rFonts w:hint="eastAsia"/>
        </w:rPr>
        <w:t>3.构建社会治理新格局</w:t>
      </w:r>
    </w:p>
    <w:p>
      <w:pPr>
        <w:pStyle w:val="17"/>
      </w:pPr>
      <w:r>
        <w:rPr>
          <w:rFonts w:hint="eastAsia"/>
        </w:rPr>
        <w:t>以党建为引领，建设多元主体共建共治的“一网统管”全域城市治理体系，建立数字化分析决策、执行实施、监管督查闭环管理执行链，实现数据辅助决策向数据驱动决策的升级。</w:t>
      </w:r>
    </w:p>
    <w:p>
      <w:pPr>
        <w:pStyle w:val="17"/>
      </w:pPr>
      <w:r>
        <w:rPr>
          <w:rFonts w:hint="eastAsia"/>
        </w:rPr>
        <w:t>4.激活城市发展新动能</w:t>
      </w:r>
    </w:p>
    <w:p>
      <w:pPr>
        <w:pStyle w:val="17"/>
      </w:pPr>
      <w:r>
        <w:rPr>
          <w:rFonts w:hint="eastAsia"/>
        </w:rPr>
        <w:t>围绕城市功能定位，以发展壮大实体经济为着力点，全力培育数字经济发展新动能，依托化工、装备制造、纸制品、医药等产业，抬升新乡县在区域产业高质量发展中的引领作用，加快推动建设制造强县、质量强县、网络强县、数字强县，持续优化产业创新生态环境，激发城市发展活力，赋能城市高质量发展、绿色低碳发展。</w:t>
      </w:r>
    </w:p>
    <w:p>
      <w:pPr>
        <w:pStyle w:val="4"/>
        <w:numPr>
          <w:ilvl w:val="0"/>
          <w:numId w:val="13"/>
        </w:numPr>
        <w:rPr>
          <w:rFonts w:hint="eastAsia"/>
        </w:rPr>
      </w:pPr>
      <w:bookmarkStart w:id="200" w:name="_Toc131242229"/>
      <w:bookmarkStart w:id="201" w:name="_Toc178172861"/>
      <w:r>
        <w:rPr>
          <w:rFonts w:hint="eastAsia"/>
        </w:rPr>
        <w:t>明确实施路径，建设海绵城市</w:t>
      </w:r>
      <w:bookmarkEnd w:id="200"/>
      <w:bookmarkEnd w:id="201"/>
    </w:p>
    <w:p>
      <w:pPr>
        <w:pStyle w:val="5"/>
        <w:ind w:firstLine="640"/>
      </w:pPr>
      <w:r>
        <w:rPr>
          <w:rFonts w:hint="eastAsia"/>
        </w:rPr>
        <w:t>海绵城市建设方案</w:t>
      </w:r>
    </w:p>
    <w:p>
      <w:pPr>
        <w:pStyle w:val="17"/>
      </w:pPr>
      <w:r>
        <w:rPr>
          <w:rFonts w:hint="eastAsia"/>
        </w:rPr>
        <w:t>源头减排：全域系统化推进海绵城市建设，加强全过程监管，严格落实低影响开发建设要求。</w:t>
      </w:r>
    </w:p>
    <w:p>
      <w:pPr>
        <w:pStyle w:val="17"/>
      </w:pPr>
      <w:r>
        <w:rPr>
          <w:rFonts w:hint="eastAsia"/>
        </w:rPr>
        <w:t>管网排放：至2035年，中心城区雨水管渠设计标准为3-5年一遇，地下通道和下沉式广场等为30年一遇。</w:t>
      </w:r>
    </w:p>
    <w:p>
      <w:pPr>
        <w:pStyle w:val="17"/>
      </w:pPr>
      <w:r>
        <w:rPr>
          <w:rFonts w:hint="eastAsia"/>
        </w:rPr>
        <w:t>蓄排并举：加快明沟治理，利用次要道路、带型绿地等构建雨洪行泄通道，因地制宜建设雨水调蓄设施，发挥削峰调峰作用。</w:t>
      </w:r>
    </w:p>
    <w:p>
      <w:pPr>
        <w:widowControl/>
        <w:jc w:val="left"/>
        <w:rPr>
          <w:rFonts w:ascii="仿宋_GB2312" w:hAnsi="Times New Roman" w:eastAsia="仿宋_GB2312" w:cs="Times New Roman"/>
          <w:sz w:val="32"/>
          <w:szCs w:val="32"/>
        </w:rPr>
      </w:pPr>
      <w:r>
        <w:rPr>
          <w:rFonts w:ascii="仿宋_GB2312" w:eastAsia="仿宋_GB2312"/>
          <w:szCs w:val="32"/>
        </w:rPr>
        <w:br w:type="page"/>
      </w:r>
    </w:p>
    <w:p>
      <w:pPr>
        <w:pStyle w:val="17"/>
      </w:pPr>
    </w:p>
    <w:bookmarkEnd w:id="62"/>
    <w:bookmarkEnd w:id="63"/>
    <w:bookmarkEnd w:id="64"/>
    <w:bookmarkEnd w:id="65"/>
    <w:bookmarkEnd w:id="66"/>
    <w:bookmarkEnd w:id="67"/>
    <w:bookmarkEnd w:id="68"/>
    <w:p>
      <w:pPr>
        <w:pStyle w:val="2"/>
        <w:rPr>
          <w:rFonts w:hint="eastAsia"/>
        </w:rPr>
      </w:pPr>
      <w:bookmarkStart w:id="202" w:name="_Toc75757189"/>
      <w:bookmarkEnd w:id="202"/>
      <w:bookmarkStart w:id="203" w:name="_Toc75757183"/>
      <w:bookmarkEnd w:id="203"/>
      <w:bookmarkStart w:id="204" w:name="_Toc75757184"/>
      <w:bookmarkEnd w:id="204"/>
      <w:bookmarkStart w:id="205" w:name="_Toc75757182"/>
      <w:bookmarkEnd w:id="205"/>
      <w:bookmarkStart w:id="206" w:name="_Toc75757185"/>
      <w:bookmarkEnd w:id="206"/>
      <w:bookmarkStart w:id="207" w:name="_Toc75757188"/>
      <w:bookmarkEnd w:id="207"/>
      <w:bookmarkStart w:id="208" w:name="_Toc75757186"/>
      <w:bookmarkEnd w:id="208"/>
      <w:bookmarkStart w:id="209" w:name="_Toc75757187"/>
      <w:bookmarkEnd w:id="209"/>
      <w:bookmarkStart w:id="210" w:name="_Toc75757181"/>
      <w:bookmarkEnd w:id="210"/>
      <w:bookmarkStart w:id="211" w:name="_Toc71530166"/>
      <w:bookmarkStart w:id="212" w:name="_Toc56107907"/>
      <w:bookmarkStart w:id="213" w:name="_Toc178172862"/>
      <w:r>
        <w:rPr>
          <w:rFonts w:hint="eastAsia"/>
        </w:rPr>
        <w:t>规划传导和实施保障</w:t>
      </w:r>
      <w:bookmarkEnd w:id="211"/>
      <w:bookmarkEnd w:id="212"/>
      <w:bookmarkEnd w:id="213"/>
    </w:p>
    <w:p>
      <w:pPr>
        <w:pStyle w:val="4"/>
        <w:numPr>
          <w:ilvl w:val="0"/>
          <w:numId w:val="16"/>
        </w:numPr>
        <w:rPr>
          <w:rFonts w:hint="eastAsia"/>
        </w:rPr>
      </w:pPr>
      <w:bookmarkStart w:id="214" w:name="_Toc178172863"/>
      <w:bookmarkStart w:id="215" w:name="_Toc71530167"/>
      <w:r>
        <w:rPr>
          <w:rFonts w:hint="eastAsia"/>
        </w:rPr>
        <w:t>加强党的领导</w:t>
      </w:r>
      <w:bookmarkEnd w:id="214"/>
    </w:p>
    <w:p>
      <w:pPr>
        <w:pStyle w:val="5"/>
        <w:ind w:firstLine="640"/>
      </w:pPr>
      <w:r>
        <w:rPr>
          <w:rFonts w:hint="eastAsia"/>
        </w:rPr>
        <w:t>党委和政府主体责任</w:t>
      </w:r>
    </w:p>
    <w:p>
      <w:pPr>
        <w:pStyle w:val="17"/>
      </w:pPr>
      <w:r>
        <w:rPr>
          <w:rFonts w:hint="eastAsia"/>
        </w:rPr>
        <w:t>新乡县人民政府应当加强对新乡县国土空间规划工作的领导，落实主体责任，统筹协调国土空间规划制定、实施和国土空间用途管制中的重大事项。新乡县自然资源主管部门负责新乡县国土空间规划管理工作，可以在其职权范围内依法实施委托管理。</w:t>
      </w:r>
    </w:p>
    <w:p>
      <w:pPr>
        <w:pStyle w:val="5"/>
        <w:ind w:firstLine="640"/>
      </w:pPr>
      <w:r>
        <w:rPr>
          <w:rFonts w:hint="eastAsia"/>
        </w:rPr>
        <w:t>国土空间规划委员会制度</w:t>
      </w:r>
    </w:p>
    <w:p>
      <w:pPr>
        <w:pStyle w:val="17"/>
      </w:pPr>
      <w:r>
        <w:rPr>
          <w:rFonts w:hint="eastAsia"/>
        </w:rPr>
        <w:t>新乡县规委会（以下简称“县规委会”）主任由县长担任，常务副主任由常务副县长担任，副主任由分管自然资源、住建工作的副县长担任。委员由县政府相关职能部门的分管负责同志担任。县规委会下设办公室，办公室设在县自然资源主管部门，负责县规委会的日常工作。办公室主任由县自然资源主管部门负责人兼任。办公室副主任由县自然资源主管部门分管负责同志兼任。</w:t>
      </w:r>
    </w:p>
    <w:p>
      <w:pPr>
        <w:pStyle w:val="17"/>
      </w:pPr>
      <w:r>
        <w:rPr>
          <w:rFonts w:hint="eastAsia"/>
        </w:rPr>
        <w:t>县规委会由县规委会主任召集或委托常务副主任、副主任召集，全体公务委员参会，邀请部分专家委员、公众委员和议题相关部门参会，会议原则上每月召开一次，特殊情况可临时召开。审议和协调国土空间规划的实施过程中的相关决议和问题。</w:t>
      </w:r>
    </w:p>
    <w:p>
      <w:pPr>
        <w:pStyle w:val="4"/>
        <w:numPr>
          <w:ilvl w:val="0"/>
          <w:numId w:val="13"/>
        </w:numPr>
        <w:rPr>
          <w:rFonts w:hint="eastAsia"/>
        </w:rPr>
      </w:pPr>
      <w:bookmarkStart w:id="216" w:name="_Toc178172864"/>
      <w:r>
        <w:rPr>
          <w:rFonts w:hint="eastAsia"/>
        </w:rPr>
        <w:t>完善规划编制传导体系</w:t>
      </w:r>
      <w:bookmarkEnd w:id="215"/>
      <w:bookmarkEnd w:id="216"/>
    </w:p>
    <w:p>
      <w:pPr>
        <w:pStyle w:val="5"/>
        <w:ind w:firstLine="640"/>
      </w:pPr>
      <w:r>
        <w:rPr>
          <w:rFonts w:hint="eastAsia"/>
        </w:rPr>
        <w:t>健全规划体系</w:t>
      </w:r>
    </w:p>
    <w:p>
      <w:pPr>
        <w:pStyle w:val="17"/>
      </w:pPr>
      <w:bookmarkStart w:id="217" w:name="_Hlk152753353"/>
      <w:r>
        <w:rPr>
          <w:rFonts w:hint="eastAsia"/>
        </w:rPr>
        <w:t>以新乡县国土空间总体规划为基础，建立新乡县“两级三类”国土空间规划体系。“两级”为“县级国土空间总体规划-乡（镇）级国土空间总体规划”构成的国土空间总体规划编制体系。“三类”包括总体规划、详细规划和相关专项规划。</w:t>
      </w:r>
    </w:p>
    <w:bookmarkEnd w:id="217"/>
    <w:p>
      <w:pPr>
        <w:pStyle w:val="5"/>
        <w:ind w:firstLine="640"/>
      </w:pPr>
      <w:r>
        <w:rPr>
          <w:rFonts w:hint="eastAsia"/>
        </w:rPr>
        <w:t>乡（镇）国土空间规划传导</w:t>
      </w:r>
    </w:p>
    <w:p>
      <w:pPr>
        <w:pStyle w:val="17"/>
      </w:pPr>
      <w:r>
        <w:rPr>
          <w:rFonts w:hint="eastAsia"/>
        </w:rPr>
        <w:t>对新乡县各乡（镇）提出规划指引，按照主体功能区定位，落实市级总规确定的规划目标、规划分区、重要控制线、城镇定位、要素配置等规划内容。制定约束性指标分解方案，下达调控指标，确保约束性指标的落实。</w:t>
      </w:r>
    </w:p>
    <w:p>
      <w:pPr>
        <w:pStyle w:val="5"/>
        <w:ind w:firstLine="640"/>
      </w:pPr>
      <w:r>
        <w:rPr>
          <w:rFonts w:hint="eastAsia"/>
        </w:rPr>
        <w:t>专项规划指引</w:t>
      </w:r>
    </w:p>
    <w:p>
      <w:pPr>
        <w:pStyle w:val="17"/>
      </w:pPr>
      <w:r>
        <w:rPr>
          <w:rFonts w:hint="eastAsia"/>
        </w:rPr>
        <w:t>强化对于各类专项规划的指导约束作用。加强协同安全防护、资源利用、要素配置、文化特色等涉及空间安排的专项规划，在总体目标和重点管控内容上与国土空间总体规划保持衔接一致，不得突破约束性要求。</w:t>
      </w:r>
    </w:p>
    <w:p>
      <w:pPr>
        <w:pStyle w:val="5"/>
        <w:ind w:firstLine="640"/>
      </w:pPr>
      <w:r>
        <w:rPr>
          <w:rFonts w:hint="eastAsia"/>
        </w:rPr>
        <w:t>详细规划编制指引</w:t>
      </w:r>
    </w:p>
    <w:p>
      <w:pPr>
        <w:pStyle w:val="17"/>
      </w:pPr>
      <w:r>
        <w:rPr>
          <w:rFonts w:hint="eastAsia"/>
        </w:rPr>
        <w:t>完善单元层面规划编制工作。在城镇开发边界内，进一步细化“总体-分区-单元”的空间层级体系，城镇单元编制控制性详细规划；在城镇开发边界外的乡村地区，编制村庄规划作为详细规划。</w:t>
      </w:r>
    </w:p>
    <w:p>
      <w:pPr>
        <w:pStyle w:val="17"/>
      </w:pPr>
    </w:p>
    <w:p>
      <w:pPr>
        <w:pStyle w:val="4"/>
        <w:numPr>
          <w:ilvl w:val="0"/>
          <w:numId w:val="13"/>
        </w:numPr>
        <w:rPr>
          <w:rFonts w:hint="eastAsia"/>
        </w:rPr>
      </w:pPr>
      <w:bookmarkStart w:id="218" w:name="_Toc178172865"/>
      <w:r>
        <w:rPr>
          <w:rFonts w:hint="eastAsia"/>
        </w:rPr>
        <w:t>制定近期行动</w:t>
      </w:r>
      <w:bookmarkEnd w:id="218"/>
    </w:p>
    <w:p>
      <w:pPr>
        <w:pStyle w:val="17"/>
      </w:pPr>
      <w:r>
        <w:rPr>
          <w:rFonts w:hint="eastAsia"/>
        </w:rPr>
        <w:t>编制国土空间五年行动规划和年度实施计划。衔接十四五规划，加强对于国土空间规划目标任务的分解落实和实施推动，</w:t>
      </w:r>
      <w:bookmarkStart w:id="219" w:name="_Hlk162193372"/>
      <w:r>
        <w:rPr>
          <w:rFonts w:hint="eastAsia"/>
        </w:rPr>
        <w:t>以城市更新为抓手，不断优化老城区空间布局，完善城市功能，调整产业结构，补齐基础设施和公共服务设施短板、提升城市品质，结合城市更新重点片区识别城市更新重点项目，结合河南省、新乡市及新乡县出台的相关城市更新政策措施，深入推进城市更新，统筹各类专项行动。</w:t>
      </w:r>
      <w:bookmarkEnd w:id="219"/>
    </w:p>
    <w:p>
      <w:pPr>
        <w:pStyle w:val="17"/>
      </w:pPr>
      <w:r>
        <w:rPr>
          <w:rFonts w:hint="eastAsia"/>
        </w:rPr>
        <w:t xml:space="preserve">1. </w:t>
      </w:r>
      <w:bookmarkStart w:id="220" w:name="_Hlk157089494"/>
      <w:r>
        <w:rPr>
          <w:rFonts w:hint="eastAsia"/>
        </w:rPr>
        <w:t>明确近期城乡基础设施建设计划</w:t>
      </w:r>
      <w:bookmarkEnd w:id="220"/>
    </w:p>
    <w:p>
      <w:pPr>
        <w:pStyle w:val="17"/>
      </w:pPr>
      <w:r>
        <w:rPr>
          <w:rFonts w:hint="eastAsia"/>
        </w:rPr>
        <w:t>（1）加强区域交通联系</w:t>
      </w:r>
    </w:p>
    <w:p>
      <w:pPr>
        <w:pStyle w:val="17"/>
      </w:pPr>
      <w:r>
        <w:rPr>
          <w:rFonts w:hint="eastAsia"/>
        </w:rPr>
        <w:t>加强干线公路网络化。包括开工建设京港澳高速新乡新区站、长修高速、郑辉高速、扩建一中东路、工业大道、G234、S227、S229、S309、S311、和平大道南延、新中大道南延、南外环西延、新城大道东延、中央大道南延、健康大道、李柳路、南环路、胜利路南延、文昌路、阳光西路。</w:t>
      </w:r>
    </w:p>
    <w:p>
      <w:pPr>
        <w:pStyle w:val="17"/>
      </w:pPr>
      <w:r>
        <w:rPr>
          <w:rFonts w:hint="eastAsia"/>
        </w:rPr>
        <w:t>（2）加强区域水利安全</w:t>
      </w:r>
    </w:p>
    <w:p>
      <w:pPr>
        <w:pStyle w:val="17"/>
      </w:pPr>
      <w:r>
        <w:rPr>
          <w:rFonts w:hint="eastAsia"/>
        </w:rPr>
        <w:t>为保障区域水域安全，高度重视卫河、共产主义渠等治水工程，近期重点推进卫河及共产主义渠（合河闸-栗屯桥段）治理工程、卫河合河水利枢纽、文岩渠综合治理工程、新乡县人民胜利渠引黄调蓄工程、南水北调配套基础设施等大型水利项目建设。</w:t>
      </w:r>
    </w:p>
    <w:p>
      <w:pPr>
        <w:pStyle w:val="17"/>
      </w:pPr>
      <w:r>
        <w:rPr>
          <w:rFonts w:hint="eastAsia"/>
        </w:rPr>
        <w:t>（3）完善区域能源建设</w:t>
      </w:r>
    </w:p>
    <w:p>
      <w:pPr>
        <w:pStyle w:val="17"/>
      </w:pPr>
      <w:r>
        <w:rPr>
          <w:rFonts w:hint="eastAsia"/>
        </w:rPr>
        <w:t>为保障用电安全和用电需求，近期计划新建500千伏变电站1个，110千伏变电站11个。预留用地面积约18.77公顷，优先保障能源类项目用地需求。</w:t>
      </w:r>
    </w:p>
    <w:p>
      <w:pPr>
        <w:pStyle w:val="17"/>
      </w:pPr>
      <w:r>
        <w:rPr>
          <w:rFonts w:hint="eastAsia"/>
        </w:rPr>
        <w:t xml:space="preserve">2. </w:t>
      </w:r>
      <w:bookmarkStart w:id="221" w:name="_Hlk157089551"/>
      <w:r>
        <w:rPr>
          <w:rFonts w:hint="eastAsia"/>
        </w:rPr>
        <w:t>明确近期历史文化资源保护重点</w:t>
      </w:r>
      <w:bookmarkEnd w:id="221"/>
    </w:p>
    <w:p>
      <w:pPr>
        <w:pStyle w:val="17"/>
      </w:pPr>
      <w:r>
        <w:rPr>
          <w:rFonts w:hint="eastAsia"/>
        </w:rPr>
        <w:t xml:space="preserve">加强文物保护。完成 53处各级文物保护单位的清理、勘查、修缮维护的详细工程计划；完善“四有”档案，建立新乡县文物保护信息管理系统。 </w:t>
      </w:r>
    </w:p>
    <w:p>
      <w:pPr>
        <w:pStyle w:val="17"/>
      </w:pPr>
      <w:r>
        <w:rPr>
          <w:rFonts w:hint="eastAsia"/>
        </w:rPr>
        <w:t>推动非遗保护传承。启动西河怀邦、潘屯落腔、牛氏制鼓、石村舞狮、西河武术、玉周老粗布、石村传说等非物质文化遗产的传承、保护和利用。</w:t>
      </w:r>
    </w:p>
    <w:p>
      <w:pPr>
        <w:pStyle w:val="17"/>
      </w:pPr>
      <w:r>
        <w:rPr>
          <w:rFonts w:hint="eastAsia"/>
        </w:rPr>
        <w:t xml:space="preserve">3. </w:t>
      </w:r>
      <w:bookmarkStart w:id="222" w:name="_Hlk157089582"/>
      <w:r>
        <w:rPr>
          <w:rFonts w:hint="eastAsia"/>
        </w:rPr>
        <w:t>推动近期生态修复工程</w:t>
      </w:r>
      <w:bookmarkEnd w:id="222"/>
    </w:p>
    <w:p>
      <w:pPr>
        <w:pStyle w:val="17"/>
      </w:pPr>
      <w:r>
        <w:rPr>
          <w:rFonts w:hint="eastAsia"/>
        </w:rPr>
        <w:t>重点开展对大运河生态廊道修复工程，大运河生态廊道修复工程、东孟姜女河生态廊道修复工程、西孟姜女河生态廊道修复工程、新乡县受损林地灾后恢复重建项目等工程，提升县域生态安全系统。</w:t>
      </w:r>
    </w:p>
    <w:p>
      <w:pPr>
        <w:pStyle w:val="17"/>
      </w:pPr>
      <w:r>
        <w:rPr>
          <w:rFonts w:hint="eastAsia"/>
        </w:rPr>
        <w:t xml:space="preserve">4. </w:t>
      </w:r>
      <w:bookmarkStart w:id="223" w:name="_Hlk157089592"/>
      <w:r>
        <w:rPr>
          <w:rFonts w:hint="eastAsia"/>
        </w:rPr>
        <w:t>加强近期国土综合整治</w:t>
      </w:r>
      <w:bookmarkEnd w:id="223"/>
      <w:r>
        <w:rPr>
          <w:rFonts w:hint="eastAsia"/>
        </w:rPr>
        <w:t xml:space="preserve"> </w:t>
      </w:r>
    </w:p>
    <w:p>
      <w:pPr>
        <w:pStyle w:val="17"/>
      </w:pPr>
      <w:r>
        <w:rPr>
          <w:rFonts w:hint="eastAsia"/>
        </w:rPr>
        <w:t>重点实施高标准农田建设项目5个，总面积约17956.44公顷，包括新乡县高标准农田示范区项目、新乡县高标准农田建设项目、II类水毁高标准农田修复重建一期项目、Ⅲ类水毁高标准农田修复重建一期项目。</w:t>
      </w:r>
    </w:p>
    <w:p>
      <w:pPr>
        <w:pStyle w:val="17"/>
      </w:pPr>
      <w:r>
        <w:rPr>
          <w:rFonts w:hint="eastAsia"/>
        </w:rPr>
        <w:t>村庄全域土地综合整治项目7个。包括翟坡镇农村建设用地整治项目、七里营镇农村建设用地整治项目、朗公庙镇农村建设用地整治项目、古固寨镇农村建设用地整治项目、大召营镇农村建设用地整治项目、合河乡农村建设用地整治项目。</w:t>
      </w:r>
    </w:p>
    <w:p>
      <w:pPr>
        <w:pStyle w:val="17"/>
      </w:pPr>
      <w:r>
        <w:rPr>
          <w:rFonts w:hint="eastAsia"/>
        </w:rPr>
        <w:t>全域土地综合整治与生态修复工程2个，包括古固寨镇全域土地综合整治与生态修复工程、合河乡全域土地综合整治与生态修复工程。</w:t>
      </w:r>
    </w:p>
    <w:p>
      <w:pPr>
        <w:pStyle w:val="17"/>
      </w:pPr>
      <w:r>
        <w:rPr>
          <w:rFonts w:hint="eastAsia"/>
        </w:rPr>
        <w:t>农用地整治项目1个，翟坡镇、小冀镇、七里营镇农用地整治项目。</w:t>
      </w:r>
    </w:p>
    <w:p>
      <w:pPr>
        <w:pStyle w:val="17"/>
      </w:pPr>
      <w:r>
        <w:rPr>
          <w:rFonts w:hint="eastAsia"/>
        </w:rPr>
        <w:t>5.推进近期产业高质量发展</w:t>
      </w:r>
    </w:p>
    <w:p>
      <w:pPr>
        <w:pStyle w:val="17"/>
      </w:pPr>
      <w:r>
        <w:rPr>
          <w:rFonts w:hint="eastAsia"/>
        </w:rPr>
        <w:t>推进高端精细化工、生物医药、智能制造、新能源、新材料等产业的升级。重点扶持心连心、新亚、新飞、五得利、康佳、瑞诚、瑞丰等企业发展。</w:t>
      </w:r>
    </w:p>
    <w:p>
      <w:pPr>
        <w:pStyle w:val="17"/>
      </w:pPr>
      <w:r>
        <w:rPr>
          <w:rFonts w:hint="eastAsia"/>
        </w:rPr>
        <w:t>6.其他</w:t>
      </w:r>
    </w:p>
    <w:p>
      <w:pPr>
        <w:pStyle w:val="17"/>
      </w:pPr>
      <w:r>
        <w:rPr>
          <w:rFonts w:hint="eastAsia"/>
        </w:rPr>
        <w:t>为乡（镇）企业发展预留空间，为乡村振兴工作留有余地。近期重点保障古固寨镇智能装备产业园区项目、开来防水数字防水产业园，合河特色城镇、大召营镇龙山文化项目，翟坡镇、小冀镇新亚全通物流铁路专用线项目，七里营镇现代种业科技创新示范区项目、新乡县南部公铁物流园、新乡县现代农业产业园、新乡县智慧新城项目，朗公庙镇新科学院三期。</w:t>
      </w:r>
    </w:p>
    <w:p>
      <w:pPr>
        <w:pStyle w:val="17"/>
      </w:pPr>
      <w:r>
        <w:rPr>
          <w:rFonts w:hint="eastAsia"/>
        </w:rPr>
        <w:t>有计划推进乡（镇）建设用地、城乡建设用地增减挂钩、城市建设用地、乡（镇）农转用等使用。</w:t>
      </w:r>
    </w:p>
    <w:p>
      <w:pPr>
        <w:pStyle w:val="4"/>
        <w:numPr>
          <w:ilvl w:val="0"/>
          <w:numId w:val="13"/>
        </w:numPr>
        <w:rPr>
          <w:rFonts w:hint="eastAsia"/>
        </w:rPr>
      </w:pPr>
      <w:bookmarkStart w:id="224" w:name="_Toc71530168"/>
      <w:bookmarkStart w:id="225" w:name="_Toc178172866"/>
      <w:r>
        <w:rPr>
          <w:rFonts w:hint="eastAsia"/>
        </w:rPr>
        <w:t>实施规划全生命周期管理</w:t>
      </w:r>
      <w:bookmarkEnd w:id="224"/>
      <w:bookmarkEnd w:id="225"/>
    </w:p>
    <w:p>
      <w:pPr>
        <w:pStyle w:val="5"/>
        <w:ind w:firstLine="640"/>
      </w:pPr>
      <w:r>
        <w:rPr>
          <w:rFonts w:hint="eastAsia"/>
        </w:rPr>
        <w:t>国土空间用途管制制度</w:t>
      </w:r>
    </w:p>
    <w:p>
      <w:pPr>
        <w:pStyle w:val="17"/>
      </w:pPr>
      <w:r>
        <w:rPr>
          <w:rFonts w:hint="eastAsia"/>
        </w:rPr>
        <w:t>对所有国土空间分区分类实施用途管制，因地制宜明确分区准入、用途转换等管制规则。城镇开发边界内实行“详细规划+规划许可”；城镇开发边界外按照主导用途分区，实行“详细规划+规划许可”和“约束指标+分区准入”。</w:t>
      </w:r>
    </w:p>
    <w:p>
      <w:pPr>
        <w:pStyle w:val="5"/>
        <w:ind w:firstLine="640"/>
      </w:pPr>
      <w:r>
        <w:rPr>
          <w:rFonts w:hint="eastAsia"/>
        </w:rPr>
        <w:t>搭建国土空间信息平台</w:t>
      </w:r>
    </w:p>
    <w:p>
      <w:pPr>
        <w:pStyle w:val="17"/>
      </w:pPr>
      <w:bookmarkStart w:id="226" w:name="_Hlk152753331"/>
      <w:r>
        <w:rPr>
          <w:rFonts w:hint="eastAsia"/>
        </w:rPr>
        <w:t>构建新乡县国土空间信息平台，为规划编制审批管理提供空间数据和信息服务支撑。</w:t>
      </w:r>
      <w:bookmarkStart w:id="227" w:name="_Hlk160879369"/>
      <w:r>
        <w:rPr>
          <w:rFonts w:hint="eastAsia"/>
        </w:rPr>
        <w:t>整合三调、遥感影像、基础地理、基础地质、地理国情普查、气象探测环境和专项调查的各类现状数据，加强与大数据管理局等部门的联动共享，形成“一张底图”</w:t>
      </w:r>
      <w:bookmarkEnd w:id="227"/>
      <w:r>
        <w:rPr>
          <w:rFonts w:hint="eastAsia"/>
        </w:rPr>
        <w:t>，汇集各级各类国土空间规划数据和管理数据，构建完善国土空间规划规划“一张图”实施监督信息系统，为城市其他部门对接提供接口，强化城市部门管理的协同效率。</w:t>
      </w:r>
      <w:bookmarkEnd w:id="226"/>
    </w:p>
    <w:p>
      <w:pPr>
        <w:pStyle w:val="5"/>
        <w:ind w:firstLine="640"/>
      </w:pPr>
      <w:r>
        <w:rPr>
          <w:rFonts w:hint="eastAsia"/>
        </w:rPr>
        <w:t>建立规划体检评估机制</w:t>
      </w:r>
    </w:p>
    <w:p>
      <w:pPr>
        <w:pStyle w:val="17"/>
      </w:pPr>
      <w:r>
        <w:rPr>
          <w:rFonts w:hint="eastAsia"/>
        </w:rPr>
        <w:t>构建“一年一体检，五年一评估”的规划反馈调整机制。作为开展国土空间规划实施监督考核、安排年度计划、开展国土空间规划动态调整完善的重要依据。根据评估体检的结果，依据“总量控制、区域调配、奖优减劣”的原则进行动态优化，推动规划实施。</w:t>
      </w:r>
    </w:p>
    <w:p>
      <w:pPr>
        <w:pStyle w:val="5"/>
        <w:ind w:firstLine="640"/>
      </w:pPr>
      <w:r>
        <w:rPr>
          <w:rFonts w:hint="eastAsia"/>
        </w:rPr>
        <w:t>规划监测评估预警</w:t>
      </w:r>
    </w:p>
    <w:p>
      <w:pPr>
        <w:pStyle w:val="17"/>
      </w:pPr>
      <w:r>
        <w:rPr>
          <w:rFonts w:hint="eastAsia"/>
        </w:rPr>
        <w:t>基于国土空间规划对相关的国土空间保护和开发利用行为进行长期动态监测，重点监测三区三线等各类管控边界与约束指标是否突破控制底线，为及时预警提供基础依据。对国土空间规划实施中违反开发保护边界及保护要求的情况，或有突破约束性指标风险的情况及时预警，重点对突破国土空间保护边界的行为进行预警。</w:t>
      </w:r>
    </w:p>
    <w:p>
      <w:pPr>
        <w:pStyle w:val="5"/>
        <w:ind w:firstLine="640"/>
      </w:pPr>
      <w:r>
        <w:rPr>
          <w:rFonts w:hint="eastAsia"/>
        </w:rPr>
        <w:t>规划动态调整</w:t>
      </w:r>
    </w:p>
    <w:p>
      <w:pPr>
        <w:pStyle w:val="17"/>
      </w:pPr>
      <w:r>
        <w:rPr>
          <w:rFonts w:hint="eastAsia"/>
        </w:rPr>
        <w:t>规划一经批复，任何部门和个人不得随意修改、违规变更。因国家重大战略调整、重大项目建设、行政区划调整或经规划体检评估等确需修改规划的，须先经规划审批机关同意后，方可按法定程序进行修改。</w:t>
      </w:r>
    </w:p>
    <w:p>
      <w:pPr>
        <w:pStyle w:val="5"/>
        <w:ind w:firstLine="640"/>
      </w:pPr>
      <w:r>
        <w:rPr>
          <w:rFonts w:hint="eastAsia"/>
        </w:rPr>
        <w:t>规划实施监督问责</w:t>
      </w:r>
    </w:p>
    <w:p>
      <w:pPr>
        <w:pStyle w:val="17"/>
      </w:pPr>
      <w:r>
        <w:rPr>
          <w:rFonts w:hint="eastAsia"/>
        </w:rPr>
        <w:t>经批准的国土空间规划是各类开发、保护、建设活动的基本依据，不符合国土空间规划的工程建设项目，不得办理用地用海审批和土地供应等手续，不予确权登记。严肃查处违法违规编制、修改和审批国土空间规划、发放规划许可、违反法定规划设置规划条件和“未批先建”等问题。</w:t>
      </w:r>
    </w:p>
    <w:p>
      <w:pPr>
        <w:widowControl/>
        <w:jc w:val="left"/>
        <w:rPr>
          <w:rFonts w:ascii="Times New Roman" w:hAnsi="Times New Roman" w:eastAsia="仿宋" w:cs="Times New Roman"/>
          <w:sz w:val="32"/>
          <w:szCs w:val="20"/>
        </w:rPr>
      </w:pPr>
    </w:p>
    <w:p>
      <w:pPr>
        <w:widowControl/>
        <w:jc w:val="left"/>
        <w:rPr>
          <w:rFonts w:ascii="Times New Roman" w:hAnsi="Times New Roman" w:eastAsia="仿宋" w:cs="Times New Roman"/>
          <w:sz w:val="32"/>
          <w:szCs w:val="20"/>
        </w:rPr>
      </w:pPr>
    </w:p>
    <w:p>
      <w:pPr>
        <w:widowControl/>
        <w:jc w:val="left"/>
        <w:rPr>
          <w:rFonts w:ascii="Times New Roman" w:hAnsi="Times New Roman" w:eastAsia="仿宋" w:cs="Times New Roman"/>
          <w:sz w:val="32"/>
          <w:szCs w:val="20"/>
        </w:rPr>
      </w:pPr>
    </w:p>
    <w:p>
      <w:pPr>
        <w:widowControl/>
        <w:jc w:val="left"/>
        <w:rPr>
          <w:rFonts w:ascii="Times New Roman" w:hAnsi="Times New Roman" w:eastAsia="仿宋" w:cs="Times New Roman"/>
          <w:sz w:val="32"/>
          <w:szCs w:val="20"/>
        </w:rPr>
      </w:pPr>
    </w:p>
    <w:p>
      <w:pPr>
        <w:widowControl/>
        <w:jc w:val="left"/>
        <w:rPr>
          <w:rFonts w:ascii="Times New Roman" w:hAnsi="Times New Roman" w:eastAsia="仿宋" w:cs="Times New Roman"/>
          <w:sz w:val="32"/>
          <w:szCs w:val="20"/>
        </w:rPr>
      </w:pPr>
    </w:p>
    <w:p>
      <w:pPr>
        <w:widowControl/>
        <w:jc w:val="left"/>
        <w:rPr>
          <w:rFonts w:ascii="Times New Roman" w:hAnsi="Times New Roman" w:eastAsia="仿宋" w:cs="Times New Roman"/>
          <w:sz w:val="32"/>
          <w:szCs w:val="20"/>
        </w:rPr>
      </w:pPr>
    </w:p>
    <w:p>
      <w:pPr>
        <w:widowControl/>
        <w:jc w:val="left"/>
        <w:rPr>
          <w:rFonts w:ascii="Times New Roman" w:hAnsi="Times New Roman" w:eastAsia="仿宋" w:cs="Times New Roman"/>
          <w:sz w:val="32"/>
          <w:szCs w:val="20"/>
        </w:rPr>
      </w:pPr>
    </w:p>
    <w:p>
      <w:pPr>
        <w:widowControl/>
        <w:jc w:val="left"/>
        <w:rPr>
          <w:rFonts w:ascii="Times New Roman" w:hAnsi="Times New Roman" w:eastAsia="仿宋" w:cs="Times New Roman"/>
          <w:sz w:val="32"/>
          <w:szCs w:val="20"/>
        </w:rPr>
      </w:pPr>
    </w:p>
    <w:p>
      <w:pPr>
        <w:widowControl/>
        <w:jc w:val="left"/>
        <w:rPr>
          <w:rFonts w:ascii="Times New Roman" w:hAnsi="Times New Roman" w:eastAsia="仿宋" w:cs="Times New Roman"/>
          <w:sz w:val="32"/>
          <w:szCs w:val="20"/>
        </w:rPr>
      </w:pPr>
    </w:p>
    <w:p>
      <w:pPr>
        <w:widowControl/>
        <w:jc w:val="center"/>
        <w:rPr>
          <w:rFonts w:hint="eastAsia" w:ascii="Times New Roman" w:hAnsi="Times New Roman" w:eastAsia="仿宋" w:cs="Times New Roman"/>
          <w:sz w:val="32"/>
          <w:szCs w:val="20"/>
          <w:lang w:eastAsia="zh-CN"/>
        </w:rPr>
      </w:pPr>
      <w:r>
        <w:rPr>
          <w:rFonts w:hint="eastAsia" w:ascii="Times New Roman" w:hAnsi="Times New Roman" w:eastAsia="仿宋" w:cs="Times New Roman"/>
          <w:sz w:val="32"/>
          <w:szCs w:val="20"/>
          <w:lang w:eastAsia="zh-CN"/>
        </w:rPr>
        <w:drawing>
          <wp:inline distT="0" distB="0" distL="114300" distR="114300">
            <wp:extent cx="5259705" cy="7841615"/>
            <wp:effectExtent l="0" t="0" r="17145" b="6985"/>
            <wp:docPr id="10" name="图片 10" descr="02.图集_页面_11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02.图集_页面_11 - 副本"/>
                    <pic:cNvPicPr>
                      <a:picLocks noChangeAspect="1"/>
                    </pic:cNvPicPr>
                  </pic:nvPicPr>
                  <pic:blipFill>
                    <a:blip r:embed="rId6"/>
                    <a:stretch>
                      <a:fillRect/>
                    </a:stretch>
                  </pic:blipFill>
                  <pic:spPr>
                    <a:xfrm>
                      <a:off x="0" y="0"/>
                      <a:ext cx="5259705" cy="7841615"/>
                    </a:xfrm>
                    <a:prstGeom prst="rect">
                      <a:avLst/>
                    </a:prstGeom>
                  </pic:spPr>
                </pic:pic>
              </a:graphicData>
            </a:graphic>
          </wp:inline>
        </w:drawing>
      </w:r>
      <w:bookmarkStart w:id="228" w:name="_GoBack"/>
      <w:r>
        <w:rPr>
          <w:rFonts w:hint="eastAsia" w:ascii="Times New Roman" w:hAnsi="Times New Roman" w:eastAsia="仿宋" w:cs="Times New Roman"/>
          <w:sz w:val="32"/>
          <w:szCs w:val="20"/>
          <w:lang w:eastAsia="zh-CN"/>
        </w:rPr>
        <w:drawing>
          <wp:inline distT="0" distB="0" distL="114300" distR="114300">
            <wp:extent cx="5259705" cy="7447915"/>
            <wp:effectExtent l="0" t="0" r="17145" b="635"/>
            <wp:docPr id="9" name="图片 9" descr="02.图集_页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2.图集_页面_17"/>
                    <pic:cNvPicPr>
                      <a:picLocks noChangeAspect="1"/>
                    </pic:cNvPicPr>
                  </pic:nvPicPr>
                  <pic:blipFill>
                    <a:blip r:embed="rId7"/>
                    <a:stretch>
                      <a:fillRect/>
                    </a:stretch>
                  </pic:blipFill>
                  <pic:spPr>
                    <a:xfrm>
                      <a:off x="0" y="0"/>
                      <a:ext cx="5259705" cy="7447915"/>
                    </a:xfrm>
                    <a:prstGeom prst="rect">
                      <a:avLst/>
                    </a:prstGeom>
                  </pic:spPr>
                </pic:pic>
              </a:graphicData>
            </a:graphic>
          </wp:inline>
        </w:drawing>
      </w:r>
      <w:bookmarkEnd w:id="228"/>
      <w:r>
        <w:rPr>
          <w:rFonts w:hint="eastAsia" w:ascii="Times New Roman" w:hAnsi="Times New Roman" w:eastAsia="仿宋" w:cs="Times New Roman"/>
          <w:sz w:val="32"/>
          <w:szCs w:val="20"/>
          <w:lang w:eastAsia="zh-CN"/>
        </w:rPr>
        <w:drawing>
          <wp:inline distT="0" distB="0" distL="114300" distR="114300">
            <wp:extent cx="5259705" cy="7447280"/>
            <wp:effectExtent l="0" t="0" r="17145" b="1270"/>
            <wp:docPr id="8" name="图片 8" descr="02.图集_页面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02.图集_页面_18"/>
                    <pic:cNvPicPr>
                      <a:picLocks noChangeAspect="1"/>
                    </pic:cNvPicPr>
                  </pic:nvPicPr>
                  <pic:blipFill>
                    <a:blip r:embed="rId8"/>
                    <a:stretch>
                      <a:fillRect/>
                    </a:stretch>
                  </pic:blipFill>
                  <pic:spPr>
                    <a:xfrm>
                      <a:off x="0" y="0"/>
                      <a:ext cx="5259705" cy="7447280"/>
                    </a:xfrm>
                    <a:prstGeom prst="rect">
                      <a:avLst/>
                    </a:prstGeom>
                  </pic:spPr>
                </pic:pic>
              </a:graphicData>
            </a:graphic>
          </wp:inline>
        </w:drawing>
      </w:r>
      <w:r>
        <w:rPr>
          <w:rFonts w:hint="eastAsia" w:ascii="Times New Roman" w:hAnsi="Times New Roman" w:eastAsia="仿宋" w:cs="Times New Roman"/>
          <w:sz w:val="32"/>
          <w:szCs w:val="20"/>
          <w:lang w:eastAsia="zh-CN"/>
        </w:rPr>
        <w:drawing>
          <wp:inline distT="0" distB="0" distL="114300" distR="114300">
            <wp:extent cx="5259705" cy="7447280"/>
            <wp:effectExtent l="0" t="0" r="17145" b="1270"/>
            <wp:docPr id="7" name="图片 7" descr="02.图集_页面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02.图集_页面_19"/>
                    <pic:cNvPicPr>
                      <a:picLocks noChangeAspect="1"/>
                    </pic:cNvPicPr>
                  </pic:nvPicPr>
                  <pic:blipFill>
                    <a:blip r:embed="rId9"/>
                    <a:stretch>
                      <a:fillRect/>
                    </a:stretch>
                  </pic:blipFill>
                  <pic:spPr>
                    <a:xfrm>
                      <a:off x="0" y="0"/>
                      <a:ext cx="5259705" cy="7447280"/>
                    </a:xfrm>
                    <a:prstGeom prst="rect">
                      <a:avLst/>
                    </a:prstGeom>
                  </pic:spPr>
                </pic:pic>
              </a:graphicData>
            </a:graphic>
          </wp:inline>
        </w:drawing>
      </w:r>
      <w:r>
        <w:rPr>
          <w:rFonts w:hint="eastAsia" w:ascii="Times New Roman" w:hAnsi="Times New Roman" w:eastAsia="仿宋" w:cs="Times New Roman"/>
          <w:sz w:val="32"/>
          <w:szCs w:val="20"/>
          <w:lang w:eastAsia="zh-CN"/>
        </w:rPr>
        <w:drawing>
          <wp:inline distT="0" distB="0" distL="114300" distR="114300">
            <wp:extent cx="5259705" cy="7447280"/>
            <wp:effectExtent l="0" t="0" r="17145" b="1270"/>
            <wp:docPr id="6" name="图片 6" descr="02.图集_页面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02.图集_页面_21"/>
                    <pic:cNvPicPr>
                      <a:picLocks noChangeAspect="1"/>
                    </pic:cNvPicPr>
                  </pic:nvPicPr>
                  <pic:blipFill>
                    <a:blip r:embed="rId10"/>
                    <a:stretch>
                      <a:fillRect/>
                    </a:stretch>
                  </pic:blipFill>
                  <pic:spPr>
                    <a:xfrm>
                      <a:off x="0" y="0"/>
                      <a:ext cx="5259705" cy="7447280"/>
                    </a:xfrm>
                    <a:prstGeom prst="rect">
                      <a:avLst/>
                    </a:prstGeom>
                  </pic:spPr>
                </pic:pic>
              </a:graphicData>
            </a:graphic>
          </wp:inline>
        </w:drawing>
      </w:r>
      <w:r>
        <w:rPr>
          <w:rFonts w:hint="eastAsia" w:ascii="Times New Roman" w:hAnsi="Times New Roman" w:eastAsia="仿宋" w:cs="Times New Roman"/>
          <w:sz w:val="32"/>
          <w:szCs w:val="20"/>
          <w:lang w:eastAsia="zh-CN"/>
        </w:rPr>
        <w:drawing>
          <wp:inline distT="0" distB="0" distL="114300" distR="114300">
            <wp:extent cx="5259705" cy="7447280"/>
            <wp:effectExtent l="0" t="0" r="17145" b="1270"/>
            <wp:docPr id="5" name="图片 5" descr="02.图集_页面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2.图集_页面_22"/>
                    <pic:cNvPicPr>
                      <a:picLocks noChangeAspect="1"/>
                    </pic:cNvPicPr>
                  </pic:nvPicPr>
                  <pic:blipFill>
                    <a:blip r:embed="rId11"/>
                    <a:stretch>
                      <a:fillRect/>
                    </a:stretch>
                  </pic:blipFill>
                  <pic:spPr>
                    <a:xfrm>
                      <a:off x="0" y="0"/>
                      <a:ext cx="5259705" cy="7447280"/>
                    </a:xfrm>
                    <a:prstGeom prst="rect">
                      <a:avLst/>
                    </a:prstGeom>
                  </pic:spPr>
                </pic:pic>
              </a:graphicData>
            </a:graphic>
          </wp:inline>
        </w:drawing>
      </w:r>
      <w:r>
        <w:rPr>
          <w:rFonts w:hint="eastAsia" w:ascii="Times New Roman" w:hAnsi="Times New Roman" w:eastAsia="仿宋" w:cs="Times New Roman"/>
          <w:sz w:val="32"/>
          <w:szCs w:val="20"/>
          <w:lang w:eastAsia="zh-CN"/>
        </w:rPr>
        <w:drawing>
          <wp:inline distT="0" distB="0" distL="114300" distR="114300">
            <wp:extent cx="5259705" cy="7447280"/>
            <wp:effectExtent l="0" t="0" r="17145" b="1270"/>
            <wp:docPr id="4" name="图片 4" descr="02.图集_页面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02.图集_页面_26"/>
                    <pic:cNvPicPr>
                      <a:picLocks noChangeAspect="1"/>
                    </pic:cNvPicPr>
                  </pic:nvPicPr>
                  <pic:blipFill>
                    <a:blip r:embed="rId12"/>
                    <a:stretch>
                      <a:fillRect/>
                    </a:stretch>
                  </pic:blipFill>
                  <pic:spPr>
                    <a:xfrm>
                      <a:off x="0" y="0"/>
                      <a:ext cx="5259705" cy="7447280"/>
                    </a:xfrm>
                    <a:prstGeom prst="rect">
                      <a:avLst/>
                    </a:prstGeom>
                  </pic:spPr>
                </pic:pic>
              </a:graphicData>
            </a:graphic>
          </wp:inline>
        </w:drawing>
      </w:r>
      <w:r>
        <w:rPr>
          <w:rFonts w:hint="eastAsia" w:ascii="Times New Roman" w:hAnsi="Times New Roman" w:eastAsia="仿宋" w:cs="Times New Roman"/>
          <w:sz w:val="32"/>
          <w:szCs w:val="20"/>
          <w:lang w:eastAsia="zh-CN"/>
        </w:rPr>
        <w:drawing>
          <wp:inline distT="0" distB="0" distL="114300" distR="114300">
            <wp:extent cx="5260975" cy="7448550"/>
            <wp:effectExtent l="0" t="0" r="15875" b="0"/>
            <wp:docPr id="3" name="图片 3" descr="02.图集_页面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02.图集_页面_36"/>
                    <pic:cNvPicPr>
                      <a:picLocks noChangeAspect="1"/>
                    </pic:cNvPicPr>
                  </pic:nvPicPr>
                  <pic:blipFill>
                    <a:blip r:embed="rId13"/>
                    <a:stretch>
                      <a:fillRect/>
                    </a:stretch>
                  </pic:blipFill>
                  <pic:spPr>
                    <a:xfrm>
                      <a:off x="0" y="0"/>
                      <a:ext cx="5260975" cy="7448550"/>
                    </a:xfrm>
                    <a:prstGeom prst="rect">
                      <a:avLst/>
                    </a:prstGeom>
                  </pic:spPr>
                </pic:pic>
              </a:graphicData>
            </a:graphic>
          </wp:inline>
        </w:drawing>
      </w:r>
      <w:r>
        <w:rPr>
          <w:rFonts w:hint="eastAsia" w:ascii="Times New Roman" w:hAnsi="Times New Roman" w:eastAsia="仿宋" w:cs="Times New Roman"/>
          <w:sz w:val="32"/>
          <w:szCs w:val="20"/>
          <w:lang w:eastAsia="zh-CN"/>
        </w:rPr>
        <w:drawing>
          <wp:inline distT="0" distB="0" distL="114300" distR="114300">
            <wp:extent cx="5260975" cy="7448550"/>
            <wp:effectExtent l="0" t="0" r="15875" b="0"/>
            <wp:docPr id="2" name="图片 2" descr="02.图集_页面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2.图集_页面_38"/>
                    <pic:cNvPicPr>
                      <a:picLocks noChangeAspect="1"/>
                    </pic:cNvPicPr>
                  </pic:nvPicPr>
                  <pic:blipFill>
                    <a:blip r:embed="rId14"/>
                    <a:stretch>
                      <a:fillRect/>
                    </a:stretch>
                  </pic:blipFill>
                  <pic:spPr>
                    <a:xfrm>
                      <a:off x="0" y="0"/>
                      <a:ext cx="5260975" cy="7448550"/>
                    </a:xfrm>
                    <a:prstGeom prst="rect">
                      <a:avLst/>
                    </a:prstGeom>
                  </pic:spPr>
                </pic:pic>
              </a:graphicData>
            </a:graphic>
          </wp:inline>
        </w:drawing>
      </w:r>
      <w:r>
        <w:rPr>
          <w:rFonts w:hint="eastAsia" w:ascii="Times New Roman" w:hAnsi="Times New Roman" w:eastAsia="仿宋" w:cs="Times New Roman"/>
          <w:sz w:val="32"/>
          <w:szCs w:val="20"/>
          <w:lang w:eastAsia="zh-CN"/>
        </w:rPr>
        <w:drawing>
          <wp:inline distT="0" distB="0" distL="114300" distR="114300">
            <wp:extent cx="5261610" cy="7447915"/>
            <wp:effectExtent l="0" t="0" r="15240" b="635"/>
            <wp:docPr id="1" name="图片 1" descr="02.图集_页面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2.图集_页面_47"/>
                    <pic:cNvPicPr>
                      <a:picLocks noChangeAspect="1"/>
                    </pic:cNvPicPr>
                  </pic:nvPicPr>
                  <pic:blipFill>
                    <a:blip r:embed="rId15"/>
                    <a:stretch>
                      <a:fillRect/>
                    </a:stretch>
                  </pic:blipFill>
                  <pic:spPr>
                    <a:xfrm>
                      <a:off x="0" y="0"/>
                      <a:ext cx="5261610" cy="7447915"/>
                    </a:xfrm>
                    <a:prstGeom prst="rect">
                      <a:avLst/>
                    </a:prstGeom>
                  </pic:spPr>
                </pic:pic>
              </a:graphicData>
            </a:graphic>
          </wp:inline>
        </w:drawing>
      </w:r>
    </w:p>
    <w:sectPr>
      <w:pgSz w:w="11906" w:h="16838"/>
      <w:pgMar w:top="1440" w:right="1797" w:bottom="1440" w:left="1797"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4B749065-F6E2-45B2-9929-291F510CF0BC}"/>
  </w:font>
  <w:font w:name="黑体">
    <w:panose1 w:val="02010609060101010101"/>
    <w:charset w:val="86"/>
    <w:family w:val="auto"/>
    <w:pitch w:val="default"/>
    <w:sig w:usb0="800002BF" w:usb1="38CF7CFA" w:usb2="00000016" w:usb3="00000000" w:csb0="00040001" w:csb1="00000000"/>
    <w:embedRegular r:id="rId2" w:fontKey="{7E26A85D-C41A-4BB3-97FC-53976B00DDF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A00002EF" w:usb1="4000207B" w:usb2="00000000" w:usb3="00000000" w:csb0="2000009F" w:csb1="00000000"/>
    <w:embedRegular r:id="rId3" w:fontKey="{C3DA4B9A-5709-4833-8777-2D1CA5687CF3}"/>
  </w:font>
  <w:font w:name="方正小标宋简体">
    <w:panose1 w:val="02010601030101010101"/>
    <w:charset w:val="86"/>
    <w:family w:val="auto"/>
    <w:pitch w:val="default"/>
    <w:sig w:usb0="00000001" w:usb1="080E0000" w:usb2="00000000" w:usb3="00000000" w:csb0="00040000" w:csb1="00000000"/>
    <w:embedRegular r:id="rId4" w:fontKey="{1C9ED6B0-3952-4EF7-BBF6-009F5D3CA870}"/>
  </w:font>
  <w:font w:name="楷体">
    <w:panose1 w:val="02010609060101010101"/>
    <w:charset w:val="86"/>
    <w:family w:val="modern"/>
    <w:pitch w:val="default"/>
    <w:sig w:usb0="800002BF" w:usb1="38CF7CFA" w:usb2="00000016" w:usb3="00000000" w:csb0="00040001" w:csb1="00000000"/>
    <w:embedRegular r:id="rId5" w:fontKey="{56535F29-84E0-4207-B3EF-1C8416A3D42B}"/>
  </w:font>
  <w:font w:name="Cambria">
    <w:panose1 w:val="02040503050406030204"/>
    <w:charset w:val="00"/>
    <w:family w:val="roman"/>
    <w:pitch w:val="default"/>
    <w:sig w:usb0="A00002EF" w:usb1="4000004B" w:usb2="00000000" w:usb3="00000000" w:csb0="2000009F" w:csb1="00000000"/>
  </w:font>
  <w:font w:name="仿宋_GB2312">
    <w:panose1 w:val="02010609030101010101"/>
    <w:charset w:val="86"/>
    <w:family w:val="modern"/>
    <w:pitch w:val="default"/>
    <w:sig w:usb0="00000001" w:usb1="080E0000" w:usb2="00000000" w:usb3="00000000" w:csb0="00040000" w:csb1="00000000"/>
    <w:embedRegular r:id="rId6" w:fontKey="{872A1295-4F7E-4771-96EC-FF304762CCCC}"/>
  </w:font>
  <w:font w:name="仿宋">
    <w:panose1 w:val="02010609060101010101"/>
    <w:charset w:val="86"/>
    <w:family w:val="modern"/>
    <w:pitch w:val="default"/>
    <w:sig w:usb0="800002BF" w:usb1="38CF7CFA" w:usb2="00000016" w:usb3="00000000" w:csb0="00040001" w:csb1="00000000"/>
    <w:embedRegular r:id="rId7" w:fontKey="{098E73E9-8E47-4553-8A20-2ACB3B0A6305}"/>
  </w:font>
  <w:font w:name="微软雅黑">
    <w:panose1 w:val="020B0503020204020204"/>
    <w:charset w:val="86"/>
    <w:family w:val="swiss"/>
    <w:pitch w:val="default"/>
    <w:sig w:usb0="80000287" w:usb1="280F3C52" w:usb2="00000016" w:usb3="00000000" w:csb0="0004001F" w:csb1="00000000"/>
    <w:embedRegular r:id="rId8" w:fontKey="{88006280-BA85-4963-B8A4-99308166AC0C}"/>
  </w:font>
  <w:font w:name="华文楷体">
    <w:panose1 w:val="02010600040101010101"/>
    <w:charset w:val="86"/>
    <w:family w:val="auto"/>
    <w:pitch w:val="default"/>
    <w:sig w:usb0="00000287" w:usb1="080F0000" w:usb2="00000000" w:usb3="00000000" w:csb0="0004009F" w:csb1="DFD70000"/>
  </w:font>
  <w:font w:name="等线">
    <w:panose1 w:val="02010600030101010101"/>
    <w:charset w:val="86"/>
    <w:family w:val="auto"/>
    <w:pitch w:val="default"/>
    <w:sig w:usb0="A00002BF" w:usb1="38CF7CFA" w:usb2="00000016" w:usb3="00000000" w:csb0="0004000F" w:csb1="00000000"/>
  </w:font>
  <w:font w:name="方正小标宋_GBK">
    <w:altName w:val="宋体"/>
    <w:panose1 w:val="00000000000000000000"/>
    <w:charset w:val="86"/>
    <w:family w:val="script"/>
    <w:pitch w:val="default"/>
    <w:sig w:usb0="00000000" w:usb1="00000000" w:usb2="00082016" w:usb3="00000000" w:csb0="00040001" w:csb1="00000000"/>
    <w:embedRegular r:id="rId9" w:fontKey="{D317ACB3-B08E-4D6A-B105-02AEC6B5AA2F}"/>
  </w:font>
  <w:font w:name="DejaVu Math TeX Gyre">
    <w:panose1 w:val="02000503000000000000"/>
    <w:charset w:val="00"/>
    <w:family w:val="auto"/>
    <w:pitch w:val="default"/>
    <w:sig w:usb0="00000000" w:usb1="00000000" w:usb2="00000000" w:usb3="00000000" w:csb0="00000000" w:csb1="00000000"/>
    <w:embedRegular r:id="rId10" w:fontKey="{36860A62-7727-454D-98EE-B85E1C64E83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00448469"/>
      <w:showingPlcHdr/>
    </w:sdtPr>
    <w:sdtContent>
      <w:p>
        <w:pPr>
          <w:pStyle w:val="24"/>
          <w:ind w:firstLine="360"/>
          <w:jc w:val="center"/>
        </w:pPr>
        <w:r>
          <w:t xml:space="preserve">     </w:t>
        </w:r>
      </w:p>
    </w:sdtContent>
  </w:sdt>
  <w:p>
    <w:pPr>
      <w:pStyle w:val="2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72771504"/>
    </w:sdtPr>
    <w:sdtEndPr>
      <w:rPr>
        <w:rFonts w:ascii="Times New Roman" w:hAnsi="Times New Roman"/>
      </w:rPr>
    </w:sdtEndPr>
    <w:sdtContent>
      <w:p>
        <w:pPr>
          <w:pStyle w:val="24"/>
          <w:ind w:firstLine="360"/>
          <w:jc w:val="center"/>
          <w:rPr>
            <w:rFonts w:ascii="Times New Roman" w:hAnsi="Times New Roman"/>
          </w:rPr>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17</w:t>
        </w:r>
        <w:r>
          <w:rPr>
            <w:rFonts w:ascii="Times New Roman" w:hAnsi="Times New Roman"/>
          </w:rPr>
          <w:fldChar w:fldCharType="end"/>
        </w:r>
      </w:p>
    </w:sdtContent>
  </w:sdt>
  <w:p>
    <w:pPr>
      <w:pStyle w:val="24"/>
      <w:ind w:firstLine="36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00000003"/>
    <w:lvl w:ilvl="0" w:tentative="0">
      <w:start w:val="1"/>
      <w:numFmt w:val="none"/>
      <w:pStyle w:val="87"/>
      <w:lvlText w:val="表"/>
      <w:lvlJc w:val="left"/>
      <w:pPr>
        <w:tabs>
          <w:tab w:val="left" w:pos="360"/>
        </w:tabs>
        <w:ind w:left="0" w:firstLine="0"/>
      </w:pPr>
      <w:rPr>
        <w:rFonts w:hint="eastAsia" w:ascii="黑体" w:hAnsi="Times New Roman" w:eastAsia="黑体"/>
        <w:b w:val="0"/>
        <w:i w:val="0"/>
        <w:sz w:val="21"/>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190168AD"/>
    <w:multiLevelType w:val="multilevel"/>
    <w:tmpl w:val="190168AD"/>
    <w:lvl w:ilvl="0" w:tentative="0">
      <w:start w:val="1"/>
      <w:numFmt w:val="chineseCountingThousand"/>
      <w:pStyle w:val="4"/>
      <w:lvlText w:val="第%1节"/>
      <w:lvlJc w:val="center"/>
      <w:pPr>
        <w:ind w:left="840" w:hanging="420"/>
      </w:pPr>
      <w:rPr>
        <w:rFonts w:hint="eastAsia"/>
      </w:rPr>
    </w:lvl>
    <w:lvl w:ilvl="1" w:tentative="0">
      <w:start w:val="4"/>
      <w:numFmt w:val="decimal"/>
      <w:lvlText w:val="%2、"/>
      <w:lvlJc w:val="left"/>
      <w:pPr>
        <w:ind w:left="1560" w:hanging="720"/>
      </w:pPr>
      <w:rPr>
        <w:rFonts w:hint="default"/>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
    <w:nsid w:val="1984997B"/>
    <w:multiLevelType w:val="singleLevel"/>
    <w:tmpl w:val="1984997B"/>
    <w:lvl w:ilvl="0" w:tentative="0">
      <w:start w:val="1"/>
      <w:numFmt w:val="chineseCounting"/>
      <w:pStyle w:val="2"/>
      <w:suff w:val="nothing"/>
      <w:lvlText w:val="第%1章 "/>
      <w:lvlJc w:val="left"/>
      <w:pPr>
        <w:ind w:left="0" w:firstLine="420"/>
      </w:pPr>
      <w:rPr>
        <w:rFonts w:hint="eastAsia"/>
      </w:rPr>
    </w:lvl>
  </w:abstractNum>
  <w:abstractNum w:abstractNumId="3">
    <w:nsid w:val="239A0308"/>
    <w:multiLevelType w:val="multilevel"/>
    <w:tmpl w:val="239A0308"/>
    <w:lvl w:ilvl="0" w:tentative="0">
      <w:start w:val="1"/>
      <w:numFmt w:val="decimal"/>
      <w:pStyle w:val="5"/>
      <w:suff w:val="space"/>
      <w:lvlText w:val="第%1条"/>
      <w:lvlJc w:val="left"/>
      <w:pPr>
        <w:ind w:left="1007" w:hanging="440"/>
      </w:pPr>
      <w:rPr>
        <w:rFonts w:hint="default" w:ascii="Times New Roman" w:hAnsi="Times New Roman" w:cs="Times New Roman"/>
      </w:rPr>
    </w:lvl>
    <w:lvl w:ilvl="1" w:tentative="0">
      <w:start w:val="1"/>
      <w:numFmt w:val="lowerLetter"/>
      <w:lvlText w:val="%2)"/>
      <w:lvlJc w:val="left"/>
      <w:pPr>
        <w:ind w:left="1164" w:hanging="440"/>
      </w:pPr>
    </w:lvl>
    <w:lvl w:ilvl="2" w:tentative="0">
      <w:start w:val="1"/>
      <w:numFmt w:val="lowerRoman"/>
      <w:lvlText w:val="%3."/>
      <w:lvlJc w:val="right"/>
      <w:pPr>
        <w:ind w:left="1604" w:hanging="440"/>
      </w:pPr>
    </w:lvl>
    <w:lvl w:ilvl="3" w:tentative="0">
      <w:start w:val="1"/>
      <w:numFmt w:val="decimal"/>
      <w:lvlText w:val="%4."/>
      <w:lvlJc w:val="left"/>
      <w:pPr>
        <w:ind w:left="2044" w:hanging="440"/>
      </w:pPr>
    </w:lvl>
    <w:lvl w:ilvl="4" w:tentative="0">
      <w:start w:val="1"/>
      <w:numFmt w:val="lowerLetter"/>
      <w:lvlText w:val="%5)"/>
      <w:lvlJc w:val="left"/>
      <w:pPr>
        <w:ind w:left="2484" w:hanging="440"/>
      </w:pPr>
    </w:lvl>
    <w:lvl w:ilvl="5" w:tentative="0">
      <w:start w:val="1"/>
      <w:numFmt w:val="lowerRoman"/>
      <w:lvlText w:val="%6."/>
      <w:lvlJc w:val="right"/>
      <w:pPr>
        <w:ind w:left="2924" w:hanging="440"/>
      </w:pPr>
    </w:lvl>
    <w:lvl w:ilvl="6" w:tentative="0">
      <w:start w:val="1"/>
      <w:numFmt w:val="decimal"/>
      <w:lvlText w:val="%7."/>
      <w:lvlJc w:val="left"/>
      <w:pPr>
        <w:ind w:left="3364" w:hanging="440"/>
      </w:pPr>
    </w:lvl>
    <w:lvl w:ilvl="7" w:tentative="0">
      <w:start w:val="1"/>
      <w:numFmt w:val="lowerLetter"/>
      <w:lvlText w:val="%8)"/>
      <w:lvlJc w:val="left"/>
      <w:pPr>
        <w:ind w:left="3804" w:hanging="440"/>
      </w:pPr>
    </w:lvl>
    <w:lvl w:ilvl="8" w:tentative="0">
      <w:start w:val="1"/>
      <w:numFmt w:val="lowerRoman"/>
      <w:lvlText w:val="%9."/>
      <w:lvlJc w:val="right"/>
      <w:pPr>
        <w:ind w:left="4244" w:hanging="440"/>
      </w:pPr>
    </w:lvl>
  </w:abstractNum>
  <w:abstractNum w:abstractNumId="4">
    <w:nsid w:val="5DD0397B"/>
    <w:multiLevelType w:val="multilevel"/>
    <w:tmpl w:val="5DD0397B"/>
    <w:lvl w:ilvl="0" w:tentative="0">
      <w:start w:val="1"/>
      <w:numFmt w:val="chineseCountingThousand"/>
      <w:lvlText w:val="第%1节"/>
      <w:lvlJc w:val="center"/>
      <w:pPr>
        <w:ind w:left="840" w:hanging="420"/>
      </w:pPr>
      <w:rPr>
        <w:rFonts w:hint="eastAsia"/>
      </w:rPr>
    </w:lvl>
    <w:lvl w:ilvl="1" w:tentative="0">
      <w:start w:val="4"/>
      <w:numFmt w:val="decimal"/>
      <w:lvlText w:val="%2、"/>
      <w:lvlJc w:val="left"/>
      <w:pPr>
        <w:ind w:left="1560" w:hanging="720"/>
      </w:pPr>
      <w:rPr>
        <w:rFonts w:hint="default"/>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
    <w:nsid w:val="6EEF0766"/>
    <w:multiLevelType w:val="multilevel"/>
    <w:tmpl w:val="6EEF0766"/>
    <w:lvl w:ilvl="0" w:tentative="0">
      <w:start w:val="1"/>
      <w:numFmt w:val="decimal"/>
      <w:pStyle w:val="56"/>
      <w:suff w:val="nothing"/>
      <w:lvlText w:val="%1."/>
      <w:lvlJc w:val="left"/>
      <w:pPr>
        <w:ind w:left="964" w:hanging="420"/>
      </w:pPr>
      <w:rPr>
        <w:rFonts w:hint="eastAsia"/>
      </w:rPr>
    </w:lvl>
    <w:lvl w:ilvl="1" w:tentative="0">
      <w:start w:val="1"/>
      <w:numFmt w:val="lowerLetter"/>
      <w:lvlText w:val="%2)"/>
      <w:lvlJc w:val="left"/>
      <w:pPr>
        <w:ind w:left="2024" w:hanging="420"/>
      </w:pPr>
    </w:lvl>
    <w:lvl w:ilvl="2" w:tentative="0">
      <w:start w:val="1"/>
      <w:numFmt w:val="lowerRoman"/>
      <w:lvlText w:val="%3."/>
      <w:lvlJc w:val="right"/>
      <w:pPr>
        <w:ind w:left="2444" w:hanging="420"/>
      </w:pPr>
    </w:lvl>
    <w:lvl w:ilvl="3" w:tentative="0">
      <w:start w:val="1"/>
      <w:numFmt w:val="decimal"/>
      <w:lvlText w:val="%4."/>
      <w:lvlJc w:val="left"/>
      <w:pPr>
        <w:ind w:left="2864" w:hanging="420"/>
      </w:pPr>
    </w:lvl>
    <w:lvl w:ilvl="4" w:tentative="0">
      <w:start w:val="1"/>
      <w:numFmt w:val="lowerLetter"/>
      <w:lvlText w:val="%5)"/>
      <w:lvlJc w:val="left"/>
      <w:pPr>
        <w:ind w:left="3284" w:hanging="420"/>
      </w:pPr>
    </w:lvl>
    <w:lvl w:ilvl="5" w:tentative="0">
      <w:start w:val="1"/>
      <w:numFmt w:val="lowerRoman"/>
      <w:lvlText w:val="%6."/>
      <w:lvlJc w:val="right"/>
      <w:pPr>
        <w:ind w:left="3704" w:hanging="420"/>
      </w:pPr>
    </w:lvl>
    <w:lvl w:ilvl="6" w:tentative="0">
      <w:start w:val="1"/>
      <w:numFmt w:val="decimal"/>
      <w:lvlText w:val="%7."/>
      <w:lvlJc w:val="left"/>
      <w:pPr>
        <w:ind w:left="4124" w:hanging="420"/>
      </w:pPr>
    </w:lvl>
    <w:lvl w:ilvl="7" w:tentative="0">
      <w:start w:val="1"/>
      <w:numFmt w:val="lowerLetter"/>
      <w:lvlText w:val="%8)"/>
      <w:lvlJc w:val="left"/>
      <w:pPr>
        <w:ind w:left="4544" w:hanging="420"/>
      </w:pPr>
    </w:lvl>
    <w:lvl w:ilvl="8" w:tentative="0">
      <w:start w:val="1"/>
      <w:numFmt w:val="lowerRoman"/>
      <w:lvlText w:val="%9."/>
      <w:lvlJc w:val="right"/>
      <w:pPr>
        <w:ind w:left="4964" w:hanging="420"/>
      </w:pPr>
    </w:lvl>
  </w:abstractNum>
  <w:num w:numId="1">
    <w:abstractNumId w:val="2"/>
  </w:num>
  <w:num w:numId="2">
    <w:abstractNumId w:val="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num>
  <w:num w:numId="7">
    <w:abstractNumId w:val="4"/>
  </w:num>
  <w:num w:numId="8">
    <w:abstractNumId w:val="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saveSubset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WIxM2EyNTBkNWRjMTVlZWFjODk0M2E1NzQxMDUzMzEifQ=="/>
  </w:docVars>
  <w:rsids>
    <w:rsidRoot w:val="00427F28"/>
    <w:rsid w:val="00000386"/>
    <w:rsid w:val="00000799"/>
    <w:rsid w:val="00001546"/>
    <w:rsid w:val="0000271C"/>
    <w:rsid w:val="000036D6"/>
    <w:rsid w:val="00003972"/>
    <w:rsid w:val="00004C48"/>
    <w:rsid w:val="00005305"/>
    <w:rsid w:val="00005DBB"/>
    <w:rsid w:val="00007294"/>
    <w:rsid w:val="000079D0"/>
    <w:rsid w:val="000102C1"/>
    <w:rsid w:val="00010AFD"/>
    <w:rsid w:val="000112DD"/>
    <w:rsid w:val="0001210D"/>
    <w:rsid w:val="00012620"/>
    <w:rsid w:val="000133AB"/>
    <w:rsid w:val="00014C09"/>
    <w:rsid w:val="00016A3F"/>
    <w:rsid w:val="0001722C"/>
    <w:rsid w:val="0002071A"/>
    <w:rsid w:val="00021691"/>
    <w:rsid w:val="0002232E"/>
    <w:rsid w:val="0002293A"/>
    <w:rsid w:val="00023B6F"/>
    <w:rsid w:val="00023C35"/>
    <w:rsid w:val="00027103"/>
    <w:rsid w:val="0002745C"/>
    <w:rsid w:val="00027689"/>
    <w:rsid w:val="00027721"/>
    <w:rsid w:val="00030C90"/>
    <w:rsid w:val="00030FA8"/>
    <w:rsid w:val="00031118"/>
    <w:rsid w:val="0003112B"/>
    <w:rsid w:val="00032F13"/>
    <w:rsid w:val="00034A66"/>
    <w:rsid w:val="00035269"/>
    <w:rsid w:val="00035369"/>
    <w:rsid w:val="0003556E"/>
    <w:rsid w:val="00036055"/>
    <w:rsid w:val="0003631D"/>
    <w:rsid w:val="00036C27"/>
    <w:rsid w:val="00036EE5"/>
    <w:rsid w:val="0003719D"/>
    <w:rsid w:val="0003768E"/>
    <w:rsid w:val="0004192A"/>
    <w:rsid w:val="00041BC6"/>
    <w:rsid w:val="00042A35"/>
    <w:rsid w:val="0004380D"/>
    <w:rsid w:val="00044A49"/>
    <w:rsid w:val="00044F38"/>
    <w:rsid w:val="00044FA8"/>
    <w:rsid w:val="0004693C"/>
    <w:rsid w:val="00047E9F"/>
    <w:rsid w:val="000501D6"/>
    <w:rsid w:val="0005061F"/>
    <w:rsid w:val="000515A0"/>
    <w:rsid w:val="00051749"/>
    <w:rsid w:val="0005239A"/>
    <w:rsid w:val="00052BAF"/>
    <w:rsid w:val="000535B1"/>
    <w:rsid w:val="00053619"/>
    <w:rsid w:val="00053620"/>
    <w:rsid w:val="0005400C"/>
    <w:rsid w:val="00055406"/>
    <w:rsid w:val="000555BB"/>
    <w:rsid w:val="00056088"/>
    <w:rsid w:val="00056851"/>
    <w:rsid w:val="00056D70"/>
    <w:rsid w:val="00057123"/>
    <w:rsid w:val="000572BE"/>
    <w:rsid w:val="000575FB"/>
    <w:rsid w:val="000612C0"/>
    <w:rsid w:val="00062105"/>
    <w:rsid w:val="00062D84"/>
    <w:rsid w:val="0006305D"/>
    <w:rsid w:val="00063110"/>
    <w:rsid w:val="0006444E"/>
    <w:rsid w:val="000648AD"/>
    <w:rsid w:val="00066880"/>
    <w:rsid w:val="00066B6E"/>
    <w:rsid w:val="00070850"/>
    <w:rsid w:val="000717DE"/>
    <w:rsid w:val="00071868"/>
    <w:rsid w:val="000729D0"/>
    <w:rsid w:val="000736FB"/>
    <w:rsid w:val="00073A3B"/>
    <w:rsid w:val="00073AFF"/>
    <w:rsid w:val="000750A6"/>
    <w:rsid w:val="000750C2"/>
    <w:rsid w:val="00075A12"/>
    <w:rsid w:val="00077D42"/>
    <w:rsid w:val="0008039A"/>
    <w:rsid w:val="00080713"/>
    <w:rsid w:val="00081116"/>
    <w:rsid w:val="000817B5"/>
    <w:rsid w:val="000822C2"/>
    <w:rsid w:val="0008236F"/>
    <w:rsid w:val="000823AA"/>
    <w:rsid w:val="0008316B"/>
    <w:rsid w:val="000840E4"/>
    <w:rsid w:val="00084EF1"/>
    <w:rsid w:val="00085208"/>
    <w:rsid w:val="0008522F"/>
    <w:rsid w:val="00085801"/>
    <w:rsid w:val="00085A70"/>
    <w:rsid w:val="000872C6"/>
    <w:rsid w:val="00087435"/>
    <w:rsid w:val="00087634"/>
    <w:rsid w:val="0008797D"/>
    <w:rsid w:val="000905EE"/>
    <w:rsid w:val="00091207"/>
    <w:rsid w:val="000918DC"/>
    <w:rsid w:val="00091A2D"/>
    <w:rsid w:val="00092FF7"/>
    <w:rsid w:val="000945C1"/>
    <w:rsid w:val="00094D09"/>
    <w:rsid w:val="00094D6D"/>
    <w:rsid w:val="0009503C"/>
    <w:rsid w:val="00095A98"/>
    <w:rsid w:val="00096622"/>
    <w:rsid w:val="0009775A"/>
    <w:rsid w:val="00097D0E"/>
    <w:rsid w:val="00097EB9"/>
    <w:rsid w:val="00097ECB"/>
    <w:rsid w:val="00097F4A"/>
    <w:rsid w:val="000A056B"/>
    <w:rsid w:val="000A11C5"/>
    <w:rsid w:val="000A2030"/>
    <w:rsid w:val="000A256E"/>
    <w:rsid w:val="000A25CC"/>
    <w:rsid w:val="000A3493"/>
    <w:rsid w:val="000A4283"/>
    <w:rsid w:val="000A4856"/>
    <w:rsid w:val="000A5A10"/>
    <w:rsid w:val="000A5FE5"/>
    <w:rsid w:val="000A651C"/>
    <w:rsid w:val="000A6DB4"/>
    <w:rsid w:val="000A733E"/>
    <w:rsid w:val="000A7A15"/>
    <w:rsid w:val="000A7EDB"/>
    <w:rsid w:val="000A7F41"/>
    <w:rsid w:val="000B0204"/>
    <w:rsid w:val="000B0DAF"/>
    <w:rsid w:val="000B12A8"/>
    <w:rsid w:val="000B1CD8"/>
    <w:rsid w:val="000B3A4E"/>
    <w:rsid w:val="000B570A"/>
    <w:rsid w:val="000B6430"/>
    <w:rsid w:val="000B6549"/>
    <w:rsid w:val="000B6746"/>
    <w:rsid w:val="000B6B70"/>
    <w:rsid w:val="000B783F"/>
    <w:rsid w:val="000C020F"/>
    <w:rsid w:val="000C1223"/>
    <w:rsid w:val="000C14E5"/>
    <w:rsid w:val="000C1CAB"/>
    <w:rsid w:val="000C1D89"/>
    <w:rsid w:val="000C37FF"/>
    <w:rsid w:val="000C3DB1"/>
    <w:rsid w:val="000C4071"/>
    <w:rsid w:val="000C43F0"/>
    <w:rsid w:val="000C4660"/>
    <w:rsid w:val="000C4B79"/>
    <w:rsid w:val="000C51EA"/>
    <w:rsid w:val="000C6A72"/>
    <w:rsid w:val="000C6AEA"/>
    <w:rsid w:val="000C79A8"/>
    <w:rsid w:val="000C7AF3"/>
    <w:rsid w:val="000D0BDD"/>
    <w:rsid w:val="000D16AF"/>
    <w:rsid w:val="000D2C40"/>
    <w:rsid w:val="000D2FC1"/>
    <w:rsid w:val="000D3EC1"/>
    <w:rsid w:val="000D4175"/>
    <w:rsid w:val="000D4240"/>
    <w:rsid w:val="000D43DA"/>
    <w:rsid w:val="000D5277"/>
    <w:rsid w:val="000E23E7"/>
    <w:rsid w:val="000E2939"/>
    <w:rsid w:val="000E2B35"/>
    <w:rsid w:val="000E3D35"/>
    <w:rsid w:val="000E3FE8"/>
    <w:rsid w:val="000E4160"/>
    <w:rsid w:val="000E46FC"/>
    <w:rsid w:val="000E4D76"/>
    <w:rsid w:val="000E4DD8"/>
    <w:rsid w:val="000E5FA4"/>
    <w:rsid w:val="000E71E3"/>
    <w:rsid w:val="000E7630"/>
    <w:rsid w:val="000E767C"/>
    <w:rsid w:val="000E77DF"/>
    <w:rsid w:val="000E7FA5"/>
    <w:rsid w:val="000F027F"/>
    <w:rsid w:val="000F11E0"/>
    <w:rsid w:val="000F128E"/>
    <w:rsid w:val="000F2BE9"/>
    <w:rsid w:val="000F3C3F"/>
    <w:rsid w:val="000F448C"/>
    <w:rsid w:val="000F51FD"/>
    <w:rsid w:val="000F67E4"/>
    <w:rsid w:val="000F73A9"/>
    <w:rsid w:val="001019B1"/>
    <w:rsid w:val="00101E40"/>
    <w:rsid w:val="001033DA"/>
    <w:rsid w:val="001033DB"/>
    <w:rsid w:val="00103CFA"/>
    <w:rsid w:val="00103D86"/>
    <w:rsid w:val="00103DBD"/>
    <w:rsid w:val="00103DE2"/>
    <w:rsid w:val="001044F1"/>
    <w:rsid w:val="0010549B"/>
    <w:rsid w:val="00106C9E"/>
    <w:rsid w:val="00106FB2"/>
    <w:rsid w:val="00107862"/>
    <w:rsid w:val="00111947"/>
    <w:rsid w:val="00111D09"/>
    <w:rsid w:val="00112FCD"/>
    <w:rsid w:val="00113350"/>
    <w:rsid w:val="001139AA"/>
    <w:rsid w:val="001150F8"/>
    <w:rsid w:val="0011512E"/>
    <w:rsid w:val="00116F86"/>
    <w:rsid w:val="00117159"/>
    <w:rsid w:val="001176FA"/>
    <w:rsid w:val="00117768"/>
    <w:rsid w:val="00117FA9"/>
    <w:rsid w:val="00120B33"/>
    <w:rsid w:val="00122D50"/>
    <w:rsid w:val="001246EA"/>
    <w:rsid w:val="001251A5"/>
    <w:rsid w:val="001253F2"/>
    <w:rsid w:val="00125FE4"/>
    <w:rsid w:val="001260C8"/>
    <w:rsid w:val="001260DC"/>
    <w:rsid w:val="00126591"/>
    <w:rsid w:val="00126672"/>
    <w:rsid w:val="00127B84"/>
    <w:rsid w:val="00127DD1"/>
    <w:rsid w:val="0013078D"/>
    <w:rsid w:val="0013098C"/>
    <w:rsid w:val="00131077"/>
    <w:rsid w:val="00131699"/>
    <w:rsid w:val="001324D5"/>
    <w:rsid w:val="001332C6"/>
    <w:rsid w:val="00133826"/>
    <w:rsid w:val="00133A5F"/>
    <w:rsid w:val="00133CC6"/>
    <w:rsid w:val="001352C0"/>
    <w:rsid w:val="00135562"/>
    <w:rsid w:val="00135DC9"/>
    <w:rsid w:val="00135FEA"/>
    <w:rsid w:val="00136C4B"/>
    <w:rsid w:val="00137EC5"/>
    <w:rsid w:val="0014070D"/>
    <w:rsid w:val="00141389"/>
    <w:rsid w:val="00141434"/>
    <w:rsid w:val="00141BA1"/>
    <w:rsid w:val="00141F5A"/>
    <w:rsid w:val="001420AB"/>
    <w:rsid w:val="00142229"/>
    <w:rsid w:val="0014282E"/>
    <w:rsid w:val="00142B67"/>
    <w:rsid w:val="00143B66"/>
    <w:rsid w:val="001443D5"/>
    <w:rsid w:val="00145FD2"/>
    <w:rsid w:val="0014649A"/>
    <w:rsid w:val="00146508"/>
    <w:rsid w:val="00146FF0"/>
    <w:rsid w:val="00147376"/>
    <w:rsid w:val="00147C42"/>
    <w:rsid w:val="00147D33"/>
    <w:rsid w:val="00147FC4"/>
    <w:rsid w:val="00150473"/>
    <w:rsid w:val="00150717"/>
    <w:rsid w:val="001515D9"/>
    <w:rsid w:val="00152E57"/>
    <w:rsid w:val="0015359E"/>
    <w:rsid w:val="00154C3B"/>
    <w:rsid w:val="00155C57"/>
    <w:rsid w:val="00156574"/>
    <w:rsid w:val="00156D5E"/>
    <w:rsid w:val="00157534"/>
    <w:rsid w:val="00157B8C"/>
    <w:rsid w:val="00160BED"/>
    <w:rsid w:val="001615A9"/>
    <w:rsid w:val="00161A0D"/>
    <w:rsid w:val="00161D43"/>
    <w:rsid w:val="00161F4F"/>
    <w:rsid w:val="00162787"/>
    <w:rsid w:val="00162CD6"/>
    <w:rsid w:val="00162F1C"/>
    <w:rsid w:val="00163951"/>
    <w:rsid w:val="00163E20"/>
    <w:rsid w:val="00164B81"/>
    <w:rsid w:val="001654A6"/>
    <w:rsid w:val="00166D34"/>
    <w:rsid w:val="00167029"/>
    <w:rsid w:val="0017110E"/>
    <w:rsid w:val="001713EB"/>
    <w:rsid w:val="001732BF"/>
    <w:rsid w:val="00173C91"/>
    <w:rsid w:val="00173EAF"/>
    <w:rsid w:val="001749BE"/>
    <w:rsid w:val="001752A2"/>
    <w:rsid w:val="00176537"/>
    <w:rsid w:val="001770D6"/>
    <w:rsid w:val="00177C21"/>
    <w:rsid w:val="00177DD8"/>
    <w:rsid w:val="001806CF"/>
    <w:rsid w:val="00181783"/>
    <w:rsid w:val="001828A6"/>
    <w:rsid w:val="00185056"/>
    <w:rsid w:val="00186609"/>
    <w:rsid w:val="001869F7"/>
    <w:rsid w:val="00186F42"/>
    <w:rsid w:val="001875A1"/>
    <w:rsid w:val="00190963"/>
    <w:rsid w:val="001911B0"/>
    <w:rsid w:val="0019193E"/>
    <w:rsid w:val="00191B0A"/>
    <w:rsid w:val="00191FCB"/>
    <w:rsid w:val="00192E7B"/>
    <w:rsid w:val="001930D2"/>
    <w:rsid w:val="00194883"/>
    <w:rsid w:val="00196839"/>
    <w:rsid w:val="00197E87"/>
    <w:rsid w:val="001A014C"/>
    <w:rsid w:val="001A03E7"/>
    <w:rsid w:val="001A0511"/>
    <w:rsid w:val="001A0E8A"/>
    <w:rsid w:val="001A0F90"/>
    <w:rsid w:val="001A0FF2"/>
    <w:rsid w:val="001A13D5"/>
    <w:rsid w:val="001A15FF"/>
    <w:rsid w:val="001A1868"/>
    <w:rsid w:val="001A21EB"/>
    <w:rsid w:val="001A33C3"/>
    <w:rsid w:val="001A3C5B"/>
    <w:rsid w:val="001A5EA1"/>
    <w:rsid w:val="001A5F0D"/>
    <w:rsid w:val="001A778B"/>
    <w:rsid w:val="001A7E90"/>
    <w:rsid w:val="001B0358"/>
    <w:rsid w:val="001B0C50"/>
    <w:rsid w:val="001B0F3F"/>
    <w:rsid w:val="001B1B2F"/>
    <w:rsid w:val="001B1FAD"/>
    <w:rsid w:val="001B2117"/>
    <w:rsid w:val="001B2A42"/>
    <w:rsid w:val="001B2A7F"/>
    <w:rsid w:val="001B3214"/>
    <w:rsid w:val="001B4CF5"/>
    <w:rsid w:val="001B5906"/>
    <w:rsid w:val="001B62E6"/>
    <w:rsid w:val="001B7189"/>
    <w:rsid w:val="001B7699"/>
    <w:rsid w:val="001B76A5"/>
    <w:rsid w:val="001C005F"/>
    <w:rsid w:val="001C0402"/>
    <w:rsid w:val="001C0746"/>
    <w:rsid w:val="001C0BDA"/>
    <w:rsid w:val="001C29DB"/>
    <w:rsid w:val="001C2CAF"/>
    <w:rsid w:val="001C36B2"/>
    <w:rsid w:val="001C3A78"/>
    <w:rsid w:val="001C3A9D"/>
    <w:rsid w:val="001C482B"/>
    <w:rsid w:val="001C4F42"/>
    <w:rsid w:val="001C5F28"/>
    <w:rsid w:val="001C6C2C"/>
    <w:rsid w:val="001C6F0D"/>
    <w:rsid w:val="001C7CCA"/>
    <w:rsid w:val="001C7DA5"/>
    <w:rsid w:val="001C7FBE"/>
    <w:rsid w:val="001D06E3"/>
    <w:rsid w:val="001D0EAE"/>
    <w:rsid w:val="001D1CA5"/>
    <w:rsid w:val="001D1F82"/>
    <w:rsid w:val="001D2A0C"/>
    <w:rsid w:val="001D2A4A"/>
    <w:rsid w:val="001D37B9"/>
    <w:rsid w:val="001D4B83"/>
    <w:rsid w:val="001D4CB6"/>
    <w:rsid w:val="001D5805"/>
    <w:rsid w:val="001D5910"/>
    <w:rsid w:val="001D5F90"/>
    <w:rsid w:val="001D64B8"/>
    <w:rsid w:val="001D6E19"/>
    <w:rsid w:val="001D71DB"/>
    <w:rsid w:val="001D74E2"/>
    <w:rsid w:val="001D771B"/>
    <w:rsid w:val="001D79F9"/>
    <w:rsid w:val="001E0972"/>
    <w:rsid w:val="001E1717"/>
    <w:rsid w:val="001E17BC"/>
    <w:rsid w:val="001E200D"/>
    <w:rsid w:val="001E2665"/>
    <w:rsid w:val="001E2D01"/>
    <w:rsid w:val="001E2F00"/>
    <w:rsid w:val="001E3BC5"/>
    <w:rsid w:val="001E542F"/>
    <w:rsid w:val="001E5791"/>
    <w:rsid w:val="001E5E01"/>
    <w:rsid w:val="001E786B"/>
    <w:rsid w:val="001F1B88"/>
    <w:rsid w:val="001F3FE5"/>
    <w:rsid w:val="001F40F0"/>
    <w:rsid w:val="001F48EB"/>
    <w:rsid w:val="001F601F"/>
    <w:rsid w:val="001F7C66"/>
    <w:rsid w:val="001F7D6D"/>
    <w:rsid w:val="001F7FF7"/>
    <w:rsid w:val="002001B3"/>
    <w:rsid w:val="0020029A"/>
    <w:rsid w:val="0020035D"/>
    <w:rsid w:val="002005B2"/>
    <w:rsid w:val="00201D30"/>
    <w:rsid w:val="002026EC"/>
    <w:rsid w:val="00202E6B"/>
    <w:rsid w:val="0020343C"/>
    <w:rsid w:val="0020368E"/>
    <w:rsid w:val="00203EFD"/>
    <w:rsid w:val="00203FAF"/>
    <w:rsid w:val="00206843"/>
    <w:rsid w:val="00206AD3"/>
    <w:rsid w:val="00206AFD"/>
    <w:rsid w:val="002154A5"/>
    <w:rsid w:val="00215B2E"/>
    <w:rsid w:val="002160DC"/>
    <w:rsid w:val="00217334"/>
    <w:rsid w:val="002174A7"/>
    <w:rsid w:val="00217EED"/>
    <w:rsid w:val="002200FA"/>
    <w:rsid w:val="002201A3"/>
    <w:rsid w:val="0022070E"/>
    <w:rsid w:val="0022073C"/>
    <w:rsid w:val="00220A06"/>
    <w:rsid w:val="0022151E"/>
    <w:rsid w:val="002217E4"/>
    <w:rsid w:val="00222176"/>
    <w:rsid w:val="00222EEB"/>
    <w:rsid w:val="0022322B"/>
    <w:rsid w:val="00223AC6"/>
    <w:rsid w:val="00223D4B"/>
    <w:rsid w:val="00224801"/>
    <w:rsid w:val="002252B1"/>
    <w:rsid w:val="00225BBA"/>
    <w:rsid w:val="00227DDB"/>
    <w:rsid w:val="00231728"/>
    <w:rsid w:val="0023177E"/>
    <w:rsid w:val="0023291E"/>
    <w:rsid w:val="0023335D"/>
    <w:rsid w:val="0023390A"/>
    <w:rsid w:val="002343D0"/>
    <w:rsid w:val="002347F2"/>
    <w:rsid w:val="00234B6B"/>
    <w:rsid w:val="00234C9C"/>
    <w:rsid w:val="002358AB"/>
    <w:rsid w:val="002358AE"/>
    <w:rsid w:val="002359F6"/>
    <w:rsid w:val="00235A4B"/>
    <w:rsid w:val="00235A7E"/>
    <w:rsid w:val="00236AB8"/>
    <w:rsid w:val="00236B73"/>
    <w:rsid w:val="00236F54"/>
    <w:rsid w:val="00236FBC"/>
    <w:rsid w:val="002400B2"/>
    <w:rsid w:val="00242374"/>
    <w:rsid w:val="00243796"/>
    <w:rsid w:val="002446DC"/>
    <w:rsid w:val="002453B9"/>
    <w:rsid w:val="002454FA"/>
    <w:rsid w:val="0024644A"/>
    <w:rsid w:val="00251764"/>
    <w:rsid w:val="00252605"/>
    <w:rsid w:val="00252FEB"/>
    <w:rsid w:val="00253783"/>
    <w:rsid w:val="00260BB4"/>
    <w:rsid w:val="00260DD8"/>
    <w:rsid w:val="0026116E"/>
    <w:rsid w:val="00261214"/>
    <w:rsid w:val="002616BE"/>
    <w:rsid w:val="002616F0"/>
    <w:rsid w:val="002621D5"/>
    <w:rsid w:val="00262921"/>
    <w:rsid w:val="00262F2B"/>
    <w:rsid w:val="002631ED"/>
    <w:rsid w:val="00264B7E"/>
    <w:rsid w:val="0026567E"/>
    <w:rsid w:val="00265CBD"/>
    <w:rsid w:val="00266297"/>
    <w:rsid w:val="002705F4"/>
    <w:rsid w:val="002708AF"/>
    <w:rsid w:val="002709E2"/>
    <w:rsid w:val="00271B2F"/>
    <w:rsid w:val="00273675"/>
    <w:rsid w:val="002739CD"/>
    <w:rsid w:val="002752A5"/>
    <w:rsid w:val="00276373"/>
    <w:rsid w:val="002767C3"/>
    <w:rsid w:val="00277A71"/>
    <w:rsid w:val="00280FB4"/>
    <w:rsid w:val="00281696"/>
    <w:rsid w:val="00281BCF"/>
    <w:rsid w:val="00282123"/>
    <w:rsid w:val="00282279"/>
    <w:rsid w:val="002828BF"/>
    <w:rsid w:val="0028295D"/>
    <w:rsid w:val="002840C8"/>
    <w:rsid w:val="0028426A"/>
    <w:rsid w:val="00287709"/>
    <w:rsid w:val="00290825"/>
    <w:rsid w:val="002909D0"/>
    <w:rsid w:val="00290E56"/>
    <w:rsid w:val="002914BA"/>
    <w:rsid w:val="002922F8"/>
    <w:rsid w:val="00292956"/>
    <w:rsid w:val="0029365F"/>
    <w:rsid w:val="00294B51"/>
    <w:rsid w:val="0029581F"/>
    <w:rsid w:val="00295993"/>
    <w:rsid w:val="00295C91"/>
    <w:rsid w:val="00295F51"/>
    <w:rsid w:val="00296A9E"/>
    <w:rsid w:val="00296ACC"/>
    <w:rsid w:val="00296AE2"/>
    <w:rsid w:val="00296D84"/>
    <w:rsid w:val="00296ECD"/>
    <w:rsid w:val="002A03E2"/>
    <w:rsid w:val="002A0D52"/>
    <w:rsid w:val="002A141F"/>
    <w:rsid w:val="002A2B1A"/>
    <w:rsid w:val="002A2EDE"/>
    <w:rsid w:val="002A32A0"/>
    <w:rsid w:val="002A3AC4"/>
    <w:rsid w:val="002A4224"/>
    <w:rsid w:val="002A4364"/>
    <w:rsid w:val="002A438B"/>
    <w:rsid w:val="002A4651"/>
    <w:rsid w:val="002A4944"/>
    <w:rsid w:val="002A4A24"/>
    <w:rsid w:val="002A5191"/>
    <w:rsid w:val="002A52AC"/>
    <w:rsid w:val="002A5DA7"/>
    <w:rsid w:val="002A639D"/>
    <w:rsid w:val="002A64DD"/>
    <w:rsid w:val="002A6AEE"/>
    <w:rsid w:val="002A732B"/>
    <w:rsid w:val="002A7FFB"/>
    <w:rsid w:val="002B124F"/>
    <w:rsid w:val="002B1611"/>
    <w:rsid w:val="002B193B"/>
    <w:rsid w:val="002B1E33"/>
    <w:rsid w:val="002B2260"/>
    <w:rsid w:val="002B3593"/>
    <w:rsid w:val="002B4139"/>
    <w:rsid w:val="002B5459"/>
    <w:rsid w:val="002B5DCE"/>
    <w:rsid w:val="002B6620"/>
    <w:rsid w:val="002B69D0"/>
    <w:rsid w:val="002B6D52"/>
    <w:rsid w:val="002B6EC1"/>
    <w:rsid w:val="002B6F7C"/>
    <w:rsid w:val="002B719F"/>
    <w:rsid w:val="002B7F09"/>
    <w:rsid w:val="002C0763"/>
    <w:rsid w:val="002C07AA"/>
    <w:rsid w:val="002C086D"/>
    <w:rsid w:val="002C16A3"/>
    <w:rsid w:val="002C2637"/>
    <w:rsid w:val="002C5867"/>
    <w:rsid w:val="002C6BC8"/>
    <w:rsid w:val="002C6FC2"/>
    <w:rsid w:val="002C7157"/>
    <w:rsid w:val="002C7B23"/>
    <w:rsid w:val="002D1A78"/>
    <w:rsid w:val="002D3B68"/>
    <w:rsid w:val="002D408D"/>
    <w:rsid w:val="002D51AA"/>
    <w:rsid w:val="002D54AC"/>
    <w:rsid w:val="002D5DEE"/>
    <w:rsid w:val="002D5E2E"/>
    <w:rsid w:val="002D6443"/>
    <w:rsid w:val="002D7165"/>
    <w:rsid w:val="002D7B76"/>
    <w:rsid w:val="002E0E17"/>
    <w:rsid w:val="002E1F82"/>
    <w:rsid w:val="002E3620"/>
    <w:rsid w:val="002E5448"/>
    <w:rsid w:val="002E572B"/>
    <w:rsid w:val="002E67DE"/>
    <w:rsid w:val="002E6FF2"/>
    <w:rsid w:val="002E7CE6"/>
    <w:rsid w:val="002F023E"/>
    <w:rsid w:val="002F0AB9"/>
    <w:rsid w:val="002F136F"/>
    <w:rsid w:val="002F17D3"/>
    <w:rsid w:val="002F326B"/>
    <w:rsid w:val="002F3E0A"/>
    <w:rsid w:val="002F4273"/>
    <w:rsid w:val="002F5CBE"/>
    <w:rsid w:val="002F62C2"/>
    <w:rsid w:val="002F63AC"/>
    <w:rsid w:val="002F7335"/>
    <w:rsid w:val="002F78C8"/>
    <w:rsid w:val="002F78FB"/>
    <w:rsid w:val="00300167"/>
    <w:rsid w:val="00300C34"/>
    <w:rsid w:val="003018A2"/>
    <w:rsid w:val="00302DD8"/>
    <w:rsid w:val="0030327E"/>
    <w:rsid w:val="0030410C"/>
    <w:rsid w:val="00304511"/>
    <w:rsid w:val="003058FA"/>
    <w:rsid w:val="0030760B"/>
    <w:rsid w:val="00307B3E"/>
    <w:rsid w:val="00307B73"/>
    <w:rsid w:val="0031004D"/>
    <w:rsid w:val="003103DA"/>
    <w:rsid w:val="00310782"/>
    <w:rsid w:val="00311277"/>
    <w:rsid w:val="00311403"/>
    <w:rsid w:val="00311719"/>
    <w:rsid w:val="003117F2"/>
    <w:rsid w:val="00311988"/>
    <w:rsid w:val="0031212C"/>
    <w:rsid w:val="003123D2"/>
    <w:rsid w:val="003140FE"/>
    <w:rsid w:val="00321CAB"/>
    <w:rsid w:val="00321F05"/>
    <w:rsid w:val="00322C77"/>
    <w:rsid w:val="00322E1F"/>
    <w:rsid w:val="003247D5"/>
    <w:rsid w:val="00324CDB"/>
    <w:rsid w:val="00325129"/>
    <w:rsid w:val="003253C4"/>
    <w:rsid w:val="003259BE"/>
    <w:rsid w:val="00325AA9"/>
    <w:rsid w:val="00325F67"/>
    <w:rsid w:val="00326FDE"/>
    <w:rsid w:val="0032759F"/>
    <w:rsid w:val="00330CD0"/>
    <w:rsid w:val="00332CDE"/>
    <w:rsid w:val="00333F91"/>
    <w:rsid w:val="003349FC"/>
    <w:rsid w:val="0033612C"/>
    <w:rsid w:val="00337AEB"/>
    <w:rsid w:val="0034020D"/>
    <w:rsid w:val="00341DBC"/>
    <w:rsid w:val="00343344"/>
    <w:rsid w:val="00343764"/>
    <w:rsid w:val="00343B1B"/>
    <w:rsid w:val="003446DB"/>
    <w:rsid w:val="0034630A"/>
    <w:rsid w:val="00346ED9"/>
    <w:rsid w:val="00350316"/>
    <w:rsid w:val="0035051A"/>
    <w:rsid w:val="00350AD0"/>
    <w:rsid w:val="00351A29"/>
    <w:rsid w:val="00352335"/>
    <w:rsid w:val="00354348"/>
    <w:rsid w:val="003552BD"/>
    <w:rsid w:val="003555CD"/>
    <w:rsid w:val="0035600E"/>
    <w:rsid w:val="003560DB"/>
    <w:rsid w:val="00360C1D"/>
    <w:rsid w:val="00360F4D"/>
    <w:rsid w:val="00361BBE"/>
    <w:rsid w:val="0036286A"/>
    <w:rsid w:val="00363B8B"/>
    <w:rsid w:val="00364159"/>
    <w:rsid w:val="003642BF"/>
    <w:rsid w:val="0036559E"/>
    <w:rsid w:val="00365701"/>
    <w:rsid w:val="0036586D"/>
    <w:rsid w:val="00370113"/>
    <w:rsid w:val="00370BBF"/>
    <w:rsid w:val="00371228"/>
    <w:rsid w:val="003717E0"/>
    <w:rsid w:val="0037297B"/>
    <w:rsid w:val="00373172"/>
    <w:rsid w:val="00373260"/>
    <w:rsid w:val="00374BCF"/>
    <w:rsid w:val="00374C32"/>
    <w:rsid w:val="00375497"/>
    <w:rsid w:val="00376A52"/>
    <w:rsid w:val="00377C5C"/>
    <w:rsid w:val="00380B77"/>
    <w:rsid w:val="00380D49"/>
    <w:rsid w:val="0038109C"/>
    <w:rsid w:val="0038149A"/>
    <w:rsid w:val="00381DB5"/>
    <w:rsid w:val="00382447"/>
    <w:rsid w:val="00383202"/>
    <w:rsid w:val="003839E5"/>
    <w:rsid w:val="00383B64"/>
    <w:rsid w:val="00383B82"/>
    <w:rsid w:val="00383DB4"/>
    <w:rsid w:val="00384585"/>
    <w:rsid w:val="00384913"/>
    <w:rsid w:val="00384C83"/>
    <w:rsid w:val="00384F88"/>
    <w:rsid w:val="00385A11"/>
    <w:rsid w:val="00385D72"/>
    <w:rsid w:val="00386428"/>
    <w:rsid w:val="0038724A"/>
    <w:rsid w:val="00387318"/>
    <w:rsid w:val="003877E8"/>
    <w:rsid w:val="00387BE4"/>
    <w:rsid w:val="00390E6A"/>
    <w:rsid w:val="00390F9A"/>
    <w:rsid w:val="00391C33"/>
    <w:rsid w:val="00392811"/>
    <w:rsid w:val="00392F4A"/>
    <w:rsid w:val="00393B77"/>
    <w:rsid w:val="00393FA1"/>
    <w:rsid w:val="0039461B"/>
    <w:rsid w:val="00394F5B"/>
    <w:rsid w:val="0039511F"/>
    <w:rsid w:val="003952EF"/>
    <w:rsid w:val="00395615"/>
    <w:rsid w:val="00395740"/>
    <w:rsid w:val="00395AA8"/>
    <w:rsid w:val="00395BDD"/>
    <w:rsid w:val="00395DB0"/>
    <w:rsid w:val="003964CD"/>
    <w:rsid w:val="00396AF1"/>
    <w:rsid w:val="003A0227"/>
    <w:rsid w:val="003A1589"/>
    <w:rsid w:val="003A17B6"/>
    <w:rsid w:val="003A1AE0"/>
    <w:rsid w:val="003A1DB7"/>
    <w:rsid w:val="003A2583"/>
    <w:rsid w:val="003A28E1"/>
    <w:rsid w:val="003A2D3F"/>
    <w:rsid w:val="003A5692"/>
    <w:rsid w:val="003A57EE"/>
    <w:rsid w:val="003A62B2"/>
    <w:rsid w:val="003B1CA3"/>
    <w:rsid w:val="003B2536"/>
    <w:rsid w:val="003B2E88"/>
    <w:rsid w:val="003B4A65"/>
    <w:rsid w:val="003B586D"/>
    <w:rsid w:val="003B6C61"/>
    <w:rsid w:val="003C0CE3"/>
    <w:rsid w:val="003C1917"/>
    <w:rsid w:val="003C1E4F"/>
    <w:rsid w:val="003C1FFA"/>
    <w:rsid w:val="003C2915"/>
    <w:rsid w:val="003C304D"/>
    <w:rsid w:val="003C3B3D"/>
    <w:rsid w:val="003C3D7D"/>
    <w:rsid w:val="003C5251"/>
    <w:rsid w:val="003C60B4"/>
    <w:rsid w:val="003C6E71"/>
    <w:rsid w:val="003C7E52"/>
    <w:rsid w:val="003D209A"/>
    <w:rsid w:val="003D2416"/>
    <w:rsid w:val="003D3689"/>
    <w:rsid w:val="003D397B"/>
    <w:rsid w:val="003D39E6"/>
    <w:rsid w:val="003D3E52"/>
    <w:rsid w:val="003D3F9D"/>
    <w:rsid w:val="003E18E6"/>
    <w:rsid w:val="003E1BCD"/>
    <w:rsid w:val="003E1F0A"/>
    <w:rsid w:val="003E2C10"/>
    <w:rsid w:val="003E2CBE"/>
    <w:rsid w:val="003E2FE4"/>
    <w:rsid w:val="003E3B08"/>
    <w:rsid w:val="003E45A1"/>
    <w:rsid w:val="003E4848"/>
    <w:rsid w:val="003E5312"/>
    <w:rsid w:val="003E59F7"/>
    <w:rsid w:val="003E5EC0"/>
    <w:rsid w:val="003E6E36"/>
    <w:rsid w:val="003E79EA"/>
    <w:rsid w:val="003F00C5"/>
    <w:rsid w:val="003F0304"/>
    <w:rsid w:val="003F0B9B"/>
    <w:rsid w:val="003F1A0E"/>
    <w:rsid w:val="003F21D3"/>
    <w:rsid w:val="003F2B5C"/>
    <w:rsid w:val="003F3DD6"/>
    <w:rsid w:val="003F4CE3"/>
    <w:rsid w:val="003F588C"/>
    <w:rsid w:val="003F6D04"/>
    <w:rsid w:val="003F6D67"/>
    <w:rsid w:val="003F7302"/>
    <w:rsid w:val="004006B9"/>
    <w:rsid w:val="00402348"/>
    <w:rsid w:val="00403E44"/>
    <w:rsid w:val="00404247"/>
    <w:rsid w:val="00404ABE"/>
    <w:rsid w:val="004057A3"/>
    <w:rsid w:val="00405E63"/>
    <w:rsid w:val="00410F69"/>
    <w:rsid w:val="00412900"/>
    <w:rsid w:val="00412F84"/>
    <w:rsid w:val="0041394D"/>
    <w:rsid w:val="00413C79"/>
    <w:rsid w:val="0041402F"/>
    <w:rsid w:val="004142D4"/>
    <w:rsid w:val="004145F8"/>
    <w:rsid w:val="00414836"/>
    <w:rsid w:val="004155D9"/>
    <w:rsid w:val="00416EB0"/>
    <w:rsid w:val="00420608"/>
    <w:rsid w:val="00420943"/>
    <w:rsid w:val="0042201D"/>
    <w:rsid w:val="00422BE2"/>
    <w:rsid w:val="0042403A"/>
    <w:rsid w:val="004248A3"/>
    <w:rsid w:val="00424F73"/>
    <w:rsid w:val="0042564A"/>
    <w:rsid w:val="00426066"/>
    <w:rsid w:val="00426636"/>
    <w:rsid w:val="00427F28"/>
    <w:rsid w:val="00430405"/>
    <w:rsid w:val="0043085F"/>
    <w:rsid w:val="00431606"/>
    <w:rsid w:val="0043302A"/>
    <w:rsid w:val="00433955"/>
    <w:rsid w:val="0043591E"/>
    <w:rsid w:val="00435DC5"/>
    <w:rsid w:val="00436523"/>
    <w:rsid w:val="0043778A"/>
    <w:rsid w:val="00437D35"/>
    <w:rsid w:val="00440F58"/>
    <w:rsid w:val="004410DB"/>
    <w:rsid w:val="004412B4"/>
    <w:rsid w:val="0044182E"/>
    <w:rsid w:val="004432F7"/>
    <w:rsid w:val="0044362C"/>
    <w:rsid w:val="00444A4A"/>
    <w:rsid w:val="00445164"/>
    <w:rsid w:val="0044520D"/>
    <w:rsid w:val="00445DB8"/>
    <w:rsid w:val="00446CA7"/>
    <w:rsid w:val="00447CB0"/>
    <w:rsid w:val="004515D6"/>
    <w:rsid w:val="00452681"/>
    <w:rsid w:val="00453046"/>
    <w:rsid w:val="004530A6"/>
    <w:rsid w:val="00453823"/>
    <w:rsid w:val="00455778"/>
    <w:rsid w:val="00455E1F"/>
    <w:rsid w:val="00455E7F"/>
    <w:rsid w:val="00457B3F"/>
    <w:rsid w:val="00457FDB"/>
    <w:rsid w:val="004609CD"/>
    <w:rsid w:val="00460B70"/>
    <w:rsid w:val="004612FE"/>
    <w:rsid w:val="00461458"/>
    <w:rsid w:val="0046176D"/>
    <w:rsid w:val="004629BF"/>
    <w:rsid w:val="00462E0A"/>
    <w:rsid w:val="0046317E"/>
    <w:rsid w:val="004632F7"/>
    <w:rsid w:val="00463764"/>
    <w:rsid w:val="00464203"/>
    <w:rsid w:val="00464CAF"/>
    <w:rsid w:val="00465D36"/>
    <w:rsid w:val="00465D8C"/>
    <w:rsid w:val="0046703E"/>
    <w:rsid w:val="0046731E"/>
    <w:rsid w:val="00470C44"/>
    <w:rsid w:val="004724CC"/>
    <w:rsid w:val="00473D7B"/>
    <w:rsid w:val="00475726"/>
    <w:rsid w:val="00476E48"/>
    <w:rsid w:val="004770B1"/>
    <w:rsid w:val="0047750F"/>
    <w:rsid w:val="00477FCF"/>
    <w:rsid w:val="004809B3"/>
    <w:rsid w:val="00480F13"/>
    <w:rsid w:val="0048446A"/>
    <w:rsid w:val="00484FD5"/>
    <w:rsid w:val="004856C6"/>
    <w:rsid w:val="004863A7"/>
    <w:rsid w:val="004863CD"/>
    <w:rsid w:val="004869A5"/>
    <w:rsid w:val="00486AFE"/>
    <w:rsid w:val="00487474"/>
    <w:rsid w:val="00487A43"/>
    <w:rsid w:val="00487C08"/>
    <w:rsid w:val="0049045A"/>
    <w:rsid w:val="00490623"/>
    <w:rsid w:val="0049091F"/>
    <w:rsid w:val="00491334"/>
    <w:rsid w:val="00491D00"/>
    <w:rsid w:val="00496355"/>
    <w:rsid w:val="004964E5"/>
    <w:rsid w:val="0049682F"/>
    <w:rsid w:val="00496A0F"/>
    <w:rsid w:val="00497DCA"/>
    <w:rsid w:val="004A09FF"/>
    <w:rsid w:val="004A0A25"/>
    <w:rsid w:val="004A1DEC"/>
    <w:rsid w:val="004A1FF8"/>
    <w:rsid w:val="004A2258"/>
    <w:rsid w:val="004A238A"/>
    <w:rsid w:val="004A24B4"/>
    <w:rsid w:val="004A5001"/>
    <w:rsid w:val="004A52D3"/>
    <w:rsid w:val="004A560D"/>
    <w:rsid w:val="004A5F05"/>
    <w:rsid w:val="004A63E7"/>
    <w:rsid w:val="004A67D1"/>
    <w:rsid w:val="004A6925"/>
    <w:rsid w:val="004B0050"/>
    <w:rsid w:val="004B17C9"/>
    <w:rsid w:val="004B19FE"/>
    <w:rsid w:val="004B1CBD"/>
    <w:rsid w:val="004B24AA"/>
    <w:rsid w:val="004B27C0"/>
    <w:rsid w:val="004B29EF"/>
    <w:rsid w:val="004B395E"/>
    <w:rsid w:val="004B4B16"/>
    <w:rsid w:val="004B53AF"/>
    <w:rsid w:val="004B53B0"/>
    <w:rsid w:val="004B59C6"/>
    <w:rsid w:val="004B5DAE"/>
    <w:rsid w:val="004B6554"/>
    <w:rsid w:val="004B69BB"/>
    <w:rsid w:val="004B7612"/>
    <w:rsid w:val="004B7CDC"/>
    <w:rsid w:val="004C0DB0"/>
    <w:rsid w:val="004C1CE0"/>
    <w:rsid w:val="004C3414"/>
    <w:rsid w:val="004C37DC"/>
    <w:rsid w:val="004C37E4"/>
    <w:rsid w:val="004C3994"/>
    <w:rsid w:val="004C41C2"/>
    <w:rsid w:val="004C4295"/>
    <w:rsid w:val="004C4296"/>
    <w:rsid w:val="004C4341"/>
    <w:rsid w:val="004C4562"/>
    <w:rsid w:val="004C5A5B"/>
    <w:rsid w:val="004D075E"/>
    <w:rsid w:val="004D1676"/>
    <w:rsid w:val="004D1F9B"/>
    <w:rsid w:val="004D2D32"/>
    <w:rsid w:val="004D4945"/>
    <w:rsid w:val="004D50FF"/>
    <w:rsid w:val="004D56BE"/>
    <w:rsid w:val="004D5744"/>
    <w:rsid w:val="004D597C"/>
    <w:rsid w:val="004D643F"/>
    <w:rsid w:val="004D6A3D"/>
    <w:rsid w:val="004D6F07"/>
    <w:rsid w:val="004E06A0"/>
    <w:rsid w:val="004E0C5C"/>
    <w:rsid w:val="004E19AD"/>
    <w:rsid w:val="004E3353"/>
    <w:rsid w:val="004E4918"/>
    <w:rsid w:val="004E4D9E"/>
    <w:rsid w:val="004F04DE"/>
    <w:rsid w:val="004F127B"/>
    <w:rsid w:val="004F14F4"/>
    <w:rsid w:val="004F2003"/>
    <w:rsid w:val="004F2928"/>
    <w:rsid w:val="004F2C36"/>
    <w:rsid w:val="004F3D1A"/>
    <w:rsid w:val="004F585F"/>
    <w:rsid w:val="004F6043"/>
    <w:rsid w:val="004F6C0E"/>
    <w:rsid w:val="004F7106"/>
    <w:rsid w:val="0050087A"/>
    <w:rsid w:val="00500C75"/>
    <w:rsid w:val="00501BE1"/>
    <w:rsid w:val="00502455"/>
    <w:rsid w:val="005030A0"/>
    <w:rsid w:val="00503697"/>
    <w:rsid w:val="0050465E"/>
    <w:rsid w:val="00504909"/>
    <w:rsid w:val="0050494D"/>
    <w:rsid w:val="00504FCA"/>
    <w:rsid w:val="005069B7"/>
    <w:rsid w:val="00506AFD"/>
    <w:rsid w:val="00506EA0"/>
    <w:rsid w:val="00506FCE"/>
    <w:rsid w:val="0050786F"/>
    <w:rsid w:val="00507ECD"/>
    <w:rsid w:val="005101D1"/>
    <w:rsid w:val="00510648"/>
    <w:rsid w:val="00511265"/>
    <w:rsid w:val="005112D8"/>
    <w:rsid w:val="0051296E"/>
    <w:rsid w:val="00512B8A"/>
    <w:rsid w:val="00512F27"/>
    <w:rsid w:val="00513718"/>
    <w:rsid w:val="00513893"/>
    <w:rsid w:val="00513928"/>
    <w:rsid w:val="005139B5"/>
    <w:rsid w:val="00513A1F"/>
    <w:rsid w:val="00513ACA"/>
    <w:rsid w:val="00513D44"/>
    <w:rsid w:val="005148F3"/>
    <w:rsid w:val="00514A65"/>
    <w:rsid w:val="00515E21"/>
    <w:rsid w:val="005163D9"/>
    <w:rsid w:val="005166E1"/>
    <w:rsid w:val="0051716B"/>
    <w:rsid w:val="00520014"/>
    <w:rsid w:val="00520473"/>
    <w:rsid w:val="00522514"/>
    <w:rsid w:val="00523517"/>
    <w:rsid w:val="0052385E"/>
    <w:rsid w:val="00524386"/>
    <w:rsid w:val="00524437"/>
    <w:rsid w:val="00525DE8"/>
    <w:rsid w:val="00526589"/>
    <w:rsid w:val="00527EAC"/>
    <w:rsid w:val="005301EC"/>
    <w:rsid w:val="00530C3B"/>
    <w:rsid w:val="00531B82"/>
    <w:rsid w:val="00533602"/>
    <w:rsid w:val="005356D3"/>
    <w:rsid w:val="00535BA6"/>
    <w:rsid w:val="0053654A"/>
    <w:rsid w:val="005370A7"/>
    <w:rsid w:val="0053722B"/>
    <w:rsid w:val="00537E97"/>
    <w:rsid w:val="0054015A"/>
    <w:rsid w:val="00540AE1"/>
    <w:rsid w:val="00540B58"/>
    <w:rsid w:val="00541200"/>
    <w:rsid w:val="005413B9"/>
    <w:rsid w:val="00541975"/>
    <w:rsid w:val="00541BBF"/>
    <w:rsid w:val="0054238D"/>
    <w:rsid w:val="00543C38"/>
    <w:rsid w:val="005445DB"/>
    <w:rsid w:val="00544828"/>
    <w:rsid w:val="00544C43"/>
    <w:rsid w:val="00545258"/>
    <w:rsid w:val="00546E49"/>
    <w:rsid w:val="0055087A"/>
    <w:rsid w:val="00550DFE"/>
    <w:rsid w:val="00551B7F"/>
    <w:rsid w:val="00553D8D"/>
    <w:rsid w:val="005545CE"/>
    <w:rsid w:val="005545DC"/>
    <w:rsid w:val="00554EF1"/>
    <w:rsid w:val="0055662A"/>
    <w:rsid w:val="005566C3"/>
    <w:rsid w:val="00557732"/>
    <w:rsid w:val="00560E06"/>
    <w:rsid w:val="0056111C"/>
    <w:rsid w:val="00561D2A"/>
    <w:rsid w:val="005628B3"/>
    <w:rsid w:val="005629CA"/>
    <w:rsid w:val="005634A1"/>
    <w:rsid w:val="00563779"/>
    <w:rsid w:val="00565FBA"/>
    <w:rsid w:val="00566870"/>
    <w:rsid w:val="00570E94"/>
    <w:rsid w:val="00570ED6"/>
    <w:rsid w:val="00571612"/>
    <w:rsid w:val="005718C1"/>
    <w:rsid w:val="00572628"/>
    <w:rsid w:val="00572A37"/>
    <w:rsid w:val="00573122"/>
    <w:rsid w:val="00573218"/>
    <w:rsid w:val="005736CB"/>
    <w:rsid w:val="005759CE"/>
    <w:rsid w:val="00576D65"/>
    <w:rsid w:val="00576E36"/>
    <w:rsid w:val="00576FD8"/>
    <w:rsid w:val="0057777B"/>
    <w:rsid w:val="00577DC4"/>
    <w:rsid w:val="00580C88"/>
    <w:rsid w:val="00581935"/>
    <w:rsid w:val="00581BFB"/>
    <w:rsid w:val="00581F68"/>
    <w:rsid w:val="005835B1"/>
    <w:rsid w:val="00583658"/>
    <w:rsid w:val="005850CD"/>
    <w:rsid w:val="00585577"/>
    <w:rsid w:val="00585582"/>
    <w:rsid w:val="00585C7E"/>
    <w:rsid w:val="00586470"/>
    <w:rsid w:val="0058688A"/>
    <w:rsid w:val="0058741F"/>
    <w:rsid w:val="005902C4"/>
    <w:rsid w:val="00591043"/>
    <w:rsid w:val="005918F3"/>
    <w:rsid w:val="00591BD7"/>
    <w:rsid w:val="00591F59"/>
    <w:rsid w:val="005930A4"/>
    <w:rsid w:val="005930CC"/>
    <w:rsid w:val="005930F4"/>
    <w:rsid w:val="00594F3A"/>
    <w:rsid w:val="0059531C"/>
    <w:rsid w:val="005960B2"/>
    <w:rsid w:val="005965B7"/>
    <w:rsid w:val="0059792E"/>
    <w:rsid w:val="00597E81"/>
    <w:rsid w:val="005A027E"/>
    <w:rsid w:val="005A0B61"/>
    <w:rsid w:val="005A1828"/>
    <w:rsid w:val="005A2915"/>
    <w:rsid w:val="005A3154"/>
    <w:rsid w:val="005A3714"/>
    <w:rsid w:val="005A430D"/>
    <w:rsid w:val="005A5812"/>
    <w:rsid w:val="005A6D95"/>
    <w:rsid w:val="005A753C"/>
    <w:rsid w:val="005A7A53"/>
    <w:rsid w:val="005B0040"/>
    <w:rsid w:val="005B0364"/>
    <w:rsid w:val="005B2B77"/>
    <w:rsid w:val="005B3B02"/>
    <w:rsid w:val="005B47B5"/>
    <w:rsid w:val="005B790B"/>
    <w:rsid w:val="005C0199"/>
    <w:rsid w:val="005C054B"/>
    <w:rsid w:val="005C0C30"/>
    <w:rsid w:val="005C27C5"/>
    <w:rsid w:val="005C285D"/>
    <w:rsid w:val="005C43BD"/>
    <w:rsid w:val="005C5919"/>
    <w:rsid w:val="005C66CB"/>
    <w:rsid w:val="005C6D1E"/>
    <w:rsid w:val="005C75AC"/>
    <w:rsid w:val="005C7D95"/>
    <w:rsid w:val="005D05FE"/>
    <w:rsid w:val="005D24A8"/>
    <w:rsid w:val="005D396C"/>
    <w:rsid w:val="005D53C0"/>
    <w:rsid w:val="005D6476"/>
    <w:rsid w:val="005D64EB"/>
    <w:rsid w:val="005D6F9F"/>
    <w:rsid w:val="005D7174"/>
    <w:rsid w:val="005D7424"/>
    <w:rsid w:val="005D78BD"/>
    <w:rsid w:val="005D7EBA"/>
    <w:rsid w:val="005E08CF"/>
    <w:rsid w:val="005E0A16"/>
    <w:rsid w:val="005E1531"/>
    <w:rsid w:val="005E233D"/>
    <w:rsid w:val="005E2E41"/>
    <w:rsid w:val="005E3D79"/>
    <w:rsid w:val="005E401D"/>
    <w:rsid w:val="005E46E0"/>
    <w:rsid w:val="005E7F86"/>
    <w:rsid w:val="005F1372"/>
    <w:rsid w:val="005F240F"/>
    <w:rsid w:val="005F2A11"/>
    <w:rsid w:val="005F2B52"/>
    <w:rsid w:val="005F3603"/>
    <w:rsid w:val="005F476B"/>
    <w:rsid w:val="005F49BE"/>
    <w:rsid w:val="005F4D1A"/>
    <w:rsid w:val="005F50C0"/>
    <w:rsid w:val="005F5293"/>
    <w:rsid w:val="005F5A19"/>
    <w:rsid w:val="005F5DD4"/>
    <w:rsid w:val="005F5FAB"/>
    <w:rsid w:val="005F62E7"/>
    <w:rsid w:val="005F67A8"/>
    <w:rsid w:val="00600379"/>
    <w:rsid w:val="0060038C"/>
    <w:rsid w:val="0060069B"/>
    <w:rsid w:val="0060089E"/>
    <w:rsid w:val="00600903"/>
    <w:rsid w:val="00600A4B"/>
    <w:rsid w:val="00600A5C"/>
    <w:rsid w:val="00600CD9"/>
    <w:rsid w:val="006018A8"/>
    <w:rsid w:val="00601A53"/>
    <w:rsid w:val="00601E64"/>
    <w:rsid w:val="00602526"/>
    <w:rsid w:val="00602E91"/>
    <w:rsid w:val="00603A85"/>
    <w:rsid w:val="006046E1"/>
    <w:rsid w:val="00604CE9"/>
    <w:rsid w:val="00604D78"/>
    <w:rsid w:val="006059D9"/>
    <w:rsid w:val="006061AB"/>
    <w:rsid w:val="00606B21"/>
    <w:rsid w:val="00606D07"/>
    <w:rsid w:val="0060773D"/>
    <w:rsid w:val="006103B7"/>
    <w:rsid w:val="00610EE3"/>
    <w:rsid w:val="00610EF9"/>
    <w:rsid w:val="00610F43"/>
    <w:rsid w:val="0061427C"/>
    <w:rsid w:val="00614536"/>
    <w:rsid w:val="00614B95"/>
    <w:rsid w:val="00614BB8"/>
    <w:rsid w:val="00615563"/>
    <w:rsid w:val="0061682A"/>
    <w:rsid w:val="00617AB2"/>
    <w:rsid w:val="00620B09"/>
    <w:rsid w:val="00620D4E"/>
    <w:rsid w:val="00621CF9"/>
    <w:rsid w:val="00622768"/>
    <w:rsid w:val="006230D3"/>
    <w:rsid w:val="006248DE"/>
    <w:rsid w:val="00625337"/>
    <w:rsid w:val="00626B34"/>
    <w:rsid w:val="00627A58"/>
    <w:rsid w:val="00627B3E"/>
    <w:rsid w:val="006303C7"/>
    <w:rsid w:val="00630A33"/>
    <w:rsid w:val="00630F49"/>
    <w:rsid w:val="0063114B"/>
    <w:rsid w:val="0063139C"/>
    <w:rsid w:val="00633031"/>
    <w:rsid w:val="00633BBC"/>
    <w:rsid w:val="006342EB"/>
    <w:rsid w:val="006352E6"/>
    <w:rsid w:val="00635AA4"/>
    <w:rsid w:val="00636163"/>
    <w:rsid w:val="006365CF"/>
    <w:rsid w:val="006369EC"/>
    <w:rsid w:val="0064027D"/>
    <w:rsid w:val="0064106D"/>
    <w:rsid w:val="00641A98"/>
    <w:rsid w:val="00641E56"/>
    <w:rsid w:val="00642530"/>
    <w:rsid w:val="006433F0"/>
    <w:rsid w:val="00643742"/>
    <w:rsid w:val="0064426D"/>
    <w:rsid w:val="006447A2"/>
    <w:rsid w:val="00645268"/>
    <w:rsid w:val="00646A18"/>
    <w:rsid w:val="00646D7C"/>
    <w:rsid w:val="00650714"/>
    <w:rsid w:val="00651172"/>
    <w:rsid w:val="006520F7"/>
    <w:rsid w:val="00652198"/>
    <w:rsid w:val="00652471"/>
    <w:rsid w:val="00652572"/>
    <w:rsid w:val="00653405"/>
    <w:rsid w:val="00654012"/>
    <w:rsid w:val="00654985"/>
    <w:rsid w:val="00654FF7"/>
    <w:rsid w:val="00656F78"/>
    <w:rsid w:val="00657CE5"/>
    <w:rsid w:val="006603C9"/>
    <w:rsid w:val="00660B3C"/>
    <w:rsid w:val="00662076"/>
    <w:rsid w:val="006622BB"/>
    <w:rsid w:val="00662794"/>
    <w:rsid w:val="0066292B"/>
    <w:rsid w:val="00664227"/>
    <w:rsid w:val="0066791F"/>
    <w:rsid w:val="00670A6C"/>
    <w:rsid w:val="00670CC1"/>
    <w:rsid w:val="00671DB5"/>
    <w:rsid w:val="00672257"/>
    <w:rsid w:val="00673059"/>
    <w:rsid w:val="00673846"/>
    <w:rsid w:val="00673F59"/>
    <w:rsid w:val="006753A8"/>
    <w:rsid w:val="00675640"/>
    <w:rsid w:val="00675A6F"/>
    <w:rsid w:val="0067785D"/>
    <w:rsid w:val="0068003F"/>
    <w:rsid w:val="006805CB"/>
    <w:rsid w:val="00680D2D"/>
    <w:rsid w:val="0068146B"/>
    <w:rsid w:val="00681655"/>
    <w:rsid w:val="00682F1C"/>
    <w:rsid w:val="00684A40"/>
    <w:rsid w:val="00685D8A"/>
    <w:rsid w:val="00686B5E"/>
    <w:rsid w:val="00690039"/>
    <w:rsid w:val="006914DF"/>
    <w:rsid w:val="00692135"/>
    <w:rsid w:val="00693421"/>
    <w:rsid w:val="00693B33"/>
    <w:rsid w:val="00694444"/>
    <w:rsid w:val="00694A8E"/>
    <w:rsid w:val="00694C76"/>
    <w:rsid w:val="00695D4A"/>
    <w:rsid w:val="006974FC"/>
    <w:rsid w:val="006A0A74"/>
    <w:rsid w:val="006A13B5"/>
    <w:rsid w:val="006A1DC4"/>
    <w:rsid w:val="006A1FC4"/>
    <w:rsid w:val="006A25B1"/>
    <w:rsid w:val="006A2AC3"/>
    <w:rsid w:val="006A2ED8"/>
    <w:rsid w:val="006A3CA4"/>
    <w:rsid w:val="006A465D"/>
    <w:rsid w:val="006A4717"/>
    <w:rsid w:val="006A47CF"/>
    <w:rsid w:val="006A4814"/>
    <w:rsid w:val="006A5659"/>
    <w:rsid w:val="006A702A"/>
    <w:rsid w:val="006A738D"/>
    <w:rsid w:val="006B0491"/>
    <w:rsid w:val="006B09B6"/>
    <w:rsid w:val="006B0E74"/>
    <w:rsid w:val="006B0E95"/>
    <w:rsid w:val="006B1D2A"/>
    <w:rsid w:val="006B2151"/>
    <w:rsid w:val="006B27EF"/>
    <w:rsid w:val="006B36AE"/>
    <w:rsid w:val="006B3EF9"/>
    <w:rsid w:val="006B3FDC"/>
    <w:rsid w:val="006B429F"/>
    <w:rsid w:val="006B4E35"/>
    <w:rsid w:val="006B5AF0"/>
    <w:rsid w:val="006B5E70"/>
    <w:rsid w:val="006B7B73"/>
    <w:rsid w:val="006C077D"/>
    <w:rsid w:val="006C108A"/>
    <w:rsid w:val="006C1091"/>
    <w:rsid w:val="006C1887"/>
    <w:rsid w:val="006C26F9"/>
    <w:rsid w:val="006C3326"/>
    <w:rsid w:val="006C344A"/>
    <w:rsid w:val="006C405E"/>
    <w:rsid w:val="006C4CA4"/>
    <w:rsid w:val="006C7FF3"/>
    <w:rsid w:val="006D0C21"/>
    <w:rsid w:val="006D1570"/>
    <w:rsid w:val="006D1918"/>
    <w:rsid w:val="006D23EB"/>
    <w:rsid w:val="006D275F"/>
    <w:rsid w:val="006D3194"/>
    <w:rsid w:val="006D32BB"/>
    <w:rsid w:val="006D3DE5"/>
    <w:rsid w:val="006D41F6"/>
    <w:rsid w:val="006D7ED4"/>
    <w:rsid w:val="006E04C9"/>
    <w:rsid w:val="006E0E37"/>
    <w:rsid w:val="006E1420"/>
    <w:rsid w:val="006E1C62"/>
    <w:rsid w:val="006E1D3E"/>
    <w:rsid w:val="006E2BDB"/>
    <w:rsid w:val="006E2BFB"/>
    <w:rsid w:val="006E37C3"/>
    <w:rsid w:val="006E4BD1"/>
    <w:rsid w:val="006E5BB2"/>
    <w:rsid w:val="006E5F40"/>
    <w:rsid w:val="006E68CE"/>
    <w:rsid w:val="006F2A72"/>
    <w:rsid w:val="006F4E8B"/>
    <w:rsid w:val="006F59FE"/>
    <w:rsid w:val="006F63CA"/>
    <w:rsid w:val="006F6D6D"/>
    <w:rsid w:val="006F7142"/>
    <w:rsid w:val="006F7C75"/>
    <w:rsid w:val="00700454"/>
    <w:rsid w:val="0070146B"/>
    <w:rsid w:val="007017FA"/>
    <w:rsid w:val="00701EFF"/>
    <w:rsid w:val="0070239E"/>
    <w:rsid w:val="007024F1"/>
    <w:rsid w:val="00702E08"/>
    <w:rsid w:val="007031E7"/>
    <w:rsid w:val="00704035"/>
    <w:rsid w:val="00704065"/>
    <w:rsid w:val="00704B71"/>
    <w:rsid w:val="00705528"/>
    <w:rsid w:val="0070552B"/>
    <w:rsid w:val="00705A09"/>
    <w:rsid w:val="00706CB9"/>
    <w:rsid w:val="0070733B"/>
    <w:rsid w:val="00707A1A"/>
    <w:rsid w:val="007102A7"/>
    <w:rsid w:val="00710AD5"/>
    <w:rsid w:val="00710B8E"/>
    <w:rsid w:val="00710E3A"/>
    <w:rsid w:val="00711013"/>
    <w:rsid w:val="007113D3"/>
    <w:rsid w:val="00711407"/>
    <w:rsid w:val="00712582"/>
    <w:rsid w:val="007135CC"/>
    <w:rsid w:val="007138DF"/>
    <w:rsid w:val="007153DA"/>
    <w:rsid w:val="00716ADA"/>
    <w:rsid w:val="00716AE5"/>
    <w:rsid w:val="00716C6C"/>
    <w:rsid w:val="00716F35"/>
    <w:rsid w:val="0071792E"/>
    <w:rsid w:val="00720118"/>
    <w:rsid w:val="00722387"/>
    <w:rsid w:val="007225F4"/>
    <w:rsid w:val="007234C7"/>
    <w:rsid w:val="00723A7C"/>
    <w:rsid w:val="00726C40"/>
    <w:rsid w:val="0072726B"/>
    <w:rsid w:val="007277DB"/>
    <w:rsid w:val="00727FEA"/>
    <w:rsid w:val="0073020D"/>
    <w:rsid w:val="00731D3E"/>
    <w:rsid w:val="00731EBD"/>
    <w:rsid w:val="00732CC8"/>
    <w:rsid w:val="00735E8C"/>
    <w:rsid w:val="0073757B"/>
    <w:rsid w:val="00737F5A"/>
    <w:rsid w:val="00740B8C"/>
    <w:rsid w:val="00741993"/>
    <w:rsid w:val="00741DEF"/>
    <w:rsid w:val="00744072"/>
    <w:rsid w:val="00744CA5"/>
    <w:rsid w:val="00744FD7"/>
    <w:rsid w:val="007452E4"/>
    <w:rsid w:val="00746993"/>
    <w:rsid w:val="00747423"/>
    <w:rsid w:val="007479DA"/>
    <w:rsid w:val="00747E3E"/>
    <w:rsid w:val="00747E82"/>
    <w:rsid w:val="007501AC"/>
    <w:rsid w:val="007504B4"/>
    <w:rsid w:val="0075056D"/>
    <w:rsid w:val="007515EB"/>
    <w:rsid w:val="00751A20"/>
    <w:rsid w:val="007520D1"/>
    <w:rsid w:val="007539D6"/>
    <w:rsid w:val="0075425B"/>
    <w:rsid w:val="00755571"/>
    <w:rsid w:val="00755AF2"/>
    <w:rsid w:val="00755FFB"/>
    <w:rsid w:val="007569D6"/>
    <w:rsid w:val="00760FC6"/>
    <w:rsid w:val="00761475"/>
    <w:rsid w:val="007616FC"/>
    <w:rsid w:val="007617B6"/>
    <w:rsid w:val="007619D5"/>
    <w:rsid w:val="00762010"/>
    <w:rsid w:val="00762AED"/>
    <w:rsid w:val="00762F92"/>
    <w:rsid w:val="00764BAE"/>
    <w:rsid w:val="00764F19"/>
    <w:rsid w:val="00767047"/>
    <w:rsid w:val="0076736D"/>
    <w:rsid w:val="00770549"/>
    <w:rsid w:val="00770F39"/>
    <w:rsid w:val="0077337A"/>
    <w:rsid w:val="007735D0"/>
    <w:rsid w:val="0077373B"/>
    <w:rsid w:val="00773BFC"/>
    <w:rsid w:val="007748DD"/>
    <w:rsid w:val="00774E41"/>
    <w:rsid w:val="00775A2B"/>
    <w:rsid w:val="00776602"/>
    <w:rsid w:val="0077710F"/>
    <w:rsid w:val="00777DB9"/>
    <w:rsid w:val="00780A39"/>
    <w:rsid w:val="00780FFE"/>
    <w:rsid w:val="00781793"/>
    <w:rsid w:val="00781C56"/>
    <w:rsid w:val="0078335B"/>
    <w:rsid w:val="007849A4"/>
    <w:rsid w:val="00786DBC"/>
    <w:rsid w:val="0078763A"/>
    <w:rsid w:val="0079007C"/>
    <w:rsid w:val="00790656"/>
    <w:rsid w:val="00792453"/>
    <w:rsid w:val="00793BE0"/>
    <w:rsid w:val="007948E2"/>
    <w:rsid w:val="007969C3"/>
    <w:rsid w:val="007975A2"/>
    <w:rsid w:val="007A006E"/>
    <w:rsid w:val="007A044E"/>
    <w:rsid w:val="007A0FBE"/>
    <w:rsid w:val="007A2B0C"/>
    <w:rsid w:val="007A3298"/>
    <w:rsid w:val="007A32BA"/>
    <w:rsid w:val="007A3C01"/>
    <w:rsid w:val="007A4FC2"/>
    <w:rsid w:val="007A5171"/>
    <w:rsid w:val="007A53FA"/>
    <w:rsid w:val="007A5803"/>
    <w:rsid w:val="007A5F81"/>
    <w:rsid w:val="007A67F8"/>
    <w:rsid w:val="007A72D3"/>
    <w:rsid w:val="007A7B74"/>
    <w:rsid w:val="007A7B7E"/>
    <w:rsid w:val="007A7C0B"/>
    <w:rsid w:val="007B00D5"/>
    <w:rsid w:val="007B3256"/>
    <w:rsid w:val="007B5538"/>
    <w:rsid w:val="007B63B9"/>
    <w:rsid w:val="007B6AC2"/>
    <w:rsid w:val="007B6BAD"/>
    <w:rsid w:val="007B73A1"/>
    <w:rsid w:val="007B769A"/>
    <w:rsid w:val="007B7AA0"/>
    <w:rsid w:val="007C02FA"/>
    <w:rsid w:val="007C23EF"/>
    <w:rsid w:val="007C3C07"/>
    <w:rsid w:val="007C3D27"/>
    <w:rsid w:val="007C3F7D"/>
    <w:rsid w:val="007C400F"/>
    <w:rsid w:val="007C4440"/>
    <w:rsid w:val="007C5496"/>
    <w:rsid w:val="007C57E1"/>
    <w:rsid w:val="007C6728"/>
    <w:rsid w:val="007C67FC"/>
    <w:rsid w:val="007D0050"/>
    <w:rsid w:val="007D07E3"/>
    <w:rsid w:val="007D0D82"/>
    <w:rsid w:val="007D0E72"/>
    <w:rsid w:val="007D244D"/>
    <w:rsid w:val="007D2D4E"/>
    <w:rsid w:val="007D3B83"/>
    <w:rsid w:val="007D4240"/>
    <w:rsid w:val="007D5051"/>
    <w:rsid w:val="007D5715"/>
    <w:rsid w:val="007D7EE7"/>
    <w:rsid w:val="007E0AE4"/>
    <w:rsid w:val="007E0E32"/>
    <w:rsid w:val="007E0E43"/>
    <w:rsid w:val="007E1B78"/>
    <w:rsid w:val="007E6131"/>
    <w:rsid w:val="007F1180"/>
    <w:rsid w:val="007F2F9D"/>
    <w:rsid w:val="007F5289"/>
    <w:rsid w:val="007F587C"/>
    <w:rsid w:val="007F643C"/>
    <w:rsid w:val="007F72CA"/>
    <w:rsid w:val="007F78FB"/>
    <w:rsid w:val="007F78FE"/>
    <w:rsid w:val="008000C2"/>
    <w:rsid w:val="00801280"/>
    <w:rsid w:val="0080181A"/>
    <w:rsid w:val="00801A72"/>
    <w:rsid w:val="00802F40"/>
    <w:rsid w:val="008033F7"/>
    <w:rsid w:val="008035A4"/>
    <w:rsid w:val="00803A46"/>
    <w:rsid w:val="00804C4B"/>
    <w:rsid w:val="0080562C"/>
    <w:rsid w:val="00806980"/>
    <w:rsid w:val="00806EB6"/>
    <w:rsid w:val="00807473"/>
    <w:rsid w:val="00807B1B"/>
    <w:rsid w:val="00807CB8"/>
    <w:rsid w:val="008106E0"/>
    <w:rsid w:val="00810E7E"/>
    <w:rsid w:val="00811D4B"/>
    <w:rsid w:val="00811ED8"/>
    <w:rsid w:val="00812634"/>
    <w:rsid w:val="00812E9C"/>
    <w:rsid w:val="00813121"/>
    <w:rsid w:val="00813391"/>
    <w:rsid w:val="0081340D"/>
    <w:rsid w:val="00813440"/>
    <w:rsid w:val="00815386"/>
    <w:rsid w:val="00815A0B"/>
    <w:rsid w:val="008171CB"/>
    <w:rsid w:val="008201DA"/>
    <w:rsid w:val="00820CD4"/>
    <w:rsid w:val="00820E2D"/>
    <w:rsid w:val="00821048"/>
    <w:rsid w:val="00821824"/>
    <w:rsid w:val="008222A9"/>
    <w:rsid w:val="008237A9"/>
    <w:rsid w:val="00825AA5"/>
    <w:rsid w:val="00825D55"/>
    <w:rsid w:val="008268BC"/>
    <w:rsid w:val="008273DD"/>
    <w:rsid w:val="00827457"/>
    <w:rsid w:val="00827826"/>
    <w:rsid w:val="00827AA9"/>
    <w:rsid w:val="00827B93"/>
    <w:rsid w:val="00827DDF"/>
    <w:rsid w:val="00831631"/>
    <w:rsid w:val="00833835"/>
    <w:rsid w:val="00833FEE"/>
    <w:rsid w:val="0083404A"/>
    <w:rsid w:val="00835DF2"/>
    <w:rsid w:val="0083641C"/>
    <w:rsid w:val="00837819"/>
    <w:rsid w:val="00837FC0"/>
    <w:rsid w:val="00840064"/>
    <w:rsid w:val="008402D8"/>
    <w:rsid w:val="00840BC9"/>
    <w:rsid w:val="008411CF"/>
    <w:rsid w:val="008419B0"/>
    <w:rsid w:val="00841C0D"/>
    <w:rsid w:val="0084219D"/>
    <w:rsid w:val="008431C0"/>
    <w:rsid w:val="00844AC7"/>
    <w:rsid w:val="00844C3B"/>
    <w:rsid w:val="008450FE"/>
    <w:rsid w:val="0084512F"/>
    <w:rsid w:val="00845E56"/>
    <w:rsid w:val="008466D0"/>
    <w:rsid w:val="008471C8"/>
    <w:rsid w:val="00850B5D"/>
    <w:rsid w:val="00851646"/>
    <w:rsid w:val="00851B99"/>
    <w:rsid w:val="008522A4"/>
    <w:rsid w:val="008522C1"/>
    <w:rsid w:val="008539B1"/>
    <w:rsid w:val="0085402E"/>
    <w:rsid w:val="0085522C"/>
    <w:rsid w:val="00856237"/>
    <w:rsid w:val="00856577"/>
    <w:rsid w:val="00856FC6"/>
    <w:rsid w:val="00857A54"/>
    <w:rsid w:val="008602E7"/>
    <w:rsid w:val="00861B2F"/>
    <w:rsid w:val="00862614"/>
    <w:rsid w:val="00863146"/>
    <w:rsid w:val="00863577"/>
    <w:rsid w:val="00864006"/>
    <w:rsid w:val="0086593F"/>
    <w:rsid w:val="00866991"/>
    <w:rsid w:val="00866C80"/>
    <w:rsid w:val="00867AAA"/>
    <w:rsid w:val="00867B6D"/>
    <w:rsid w:val="00867BF5"/>
    <w:rsid w:val="00867F75"/>
    <w:rsid w:val="008706D4"/>
    <w:rsid w:val="00871A03"/>
    <w:rsid w:val="00873254"/>
    <w:rsid w:val="00873918"/>
    <w:rsid w:val="0087482B"/>
    <w:rsid w:val="00875184"/>
    <w:rsid w:val="0087548E"/>
    <w:rsid w:val="0087669A"/>
    <w:rsid w:val="00881AC9"/>
    <w:rsid w:val="00882FB6"/>
    <w:rsid w:val="0088406D"/>
    <w:rsid w:val="00884C4C"/>
    <w:rsid w:val="00884FD4"/>
    <w:rsid w:val="00885B79"/>
    <w:rsid w:val="00887705"/>
    <w:rsid w:val="00887C70"/>
    <w:rsid w:val="008913F0"/>
    <w:rsid w:val="008913F6"/>
    <w:rsid w:val="0089218C"/>
    <w:rsid w:val="00893519"/>
    <w:rsid w:val="0089624F"/>
    <w:rsid w:val="00897646"/>
    <w:rsid w:val="00897689"/>
    <w:rsid w:val="00897D31"/>
    <w:rsid w:val="00897F2E"/>
    <w:rsid w:val="008A0E2B"/>
    <w:rsid w:val="008A1521"/>
    <w:rsid w:val="008A195A"/>
    <w:rsid w:val="008A20F1"/>
    <w:rsid w:val="008A258C"/>
    <w:rsid w:val="008A49A2"/>
    <w:rsid w:val="008A49FD"/>
    <w:rsid w:val="008A4CFC"/>
    <w:rsid w:val="008A5BD5"/>
    <w:rsid w:val="008A74D7"/>
    <w:rsid w:val="008A750E"/>
    <w:rsid w:val="008A7632"/>
    <w:rsid w:val="008B0900"/>
    <w:rsid w:val="008B0E16"/>
    <w:rsid w:val="008B1466"/>
    <w:rsid w:val="008B1DF6"/>
    <w:rsid w:val="008B2064"/>
    <w:rsid w:val="008B2E4A"/>
    <w:rsid w:val="008B51AD"/>
    <w:rsid w:val="008B524B"/>
    <w:rsid w:val="008B66BF"/>
    <w:rsid w:val="008B7397"/>
    <w:rsid w:val="008C0B6D"/>
    <w:rsid w:val="008C18CA"/>
    <w:rsid w:val="008C18F0"/>
    <w:rsid w:val="008C458C"/>
    <w:rsid w:val="008C4D86"/>
    <w:rsid w:val="008C5DB5"/>
    <w:rsid w:val="008C6C76"/>
    <w:rsid w:val="008C6C88"/>
    <w:rsid w:val="008D0030"/>
    <w:rsid w:val="008D019E"/>
    <w:rsid w:val="008D1D14"/>
    <w:rsid w:val="008D25DC"/>
    <w:rsid w:val="008D2EEA"/>
    <w:rsid w:val="008D30B5"/>
    <w:rsid w:val="008D31AF"/>
    <w:rsid w:val="008D3548"/>
    <w:rsid w:val="008D5A17"/>
    <w:rsid w:val="008D799F"/>
    <w:rsid w:val="008E0747"/>
    <w:rsid w:val="008E0B8D"/>
    <w:rsid w:val="008E100F"/>
    <w:rsid w:val="008E1243"/>
    <w:rsid w:val="008E2236"/>
    <w:rsid w:val="008E226C"/>
    <w:rsid w:val="008E2AD1"/>
    <w:rsid w:val="008E321D"/>
    <w:rsid w:val="008E39D7"/>
    <w:rsid w:val="008E4166"/>
    <w:rsid w:val="008E420E"/>
    <w:rsid w:val="008E424D"/>
    <w:rsid w:val="008E45AF"/>
    <w:rsid w:val="008E5F33"/>
    <w:rsid w:val="008E734B"/>
    <w:rsid w:val="008E76ED"/>
    <w:rsid w:val="008F0022"/>
    <w:rsid w:val="008F007D"/>
    <w:rsid w:val="008F0123"/>
    <w:rsid w:val="008F21F8"/>
    <w:rsid w:val="008F288A"/>
    <w:rsid w:val="008F36C4"/>
    <w:rsid w:val="008F3904"/>
    <w:rsid w:val="008F3F87"/>
    <w:rsid w:val="008F4D49"/>
    <w:rsid w:val="008F52CA"/>
    <w:rsid w:val="008F651D"/>
    <w:rsid w:val="008F7453"/>
    <w:rsid w:val="008F749D"/>
    <w:rsid w:val="009004BA"/>
    <w:rsid w:val="00900624"/>
    <w:rsid w:val="00900E49"/>
    <w:rsid w:val="00900FDF"/>
    <w:rsid w:val="00901082"/>
    <w:rsid w:val="009022FB"/>
    <w:rsid w:val="00902A01"/>
    <w:rsid w:val="009046EF"/>
    <w:rsid w:val="009049E8"/>
    <w:rsid w:val="00904C77"/>
    <w:rsid w:val="00904E47"/>
    <w:rsid w:val="0090615D"/>
    <w:rsid w:val="0090662A"/>
    <w:rsid w:val="00910CF6"/>
    <w:rsid w:val="00911413"/>
    <w:rsid w:val="00911653"/>
    <w:rsid w:val="009122EB"/>
    <w:rsid w:val="009125BB"/>
    <w:rsid w:val="00912F93"/>
    <w:rsid w:val="0091386D"/>
    <w:rsid w:val="009153D0"/>
    <w:rsid w:val="00915BD8"/>
    <w:rsid w:val="009166C0"/>
    <w:rsid w:val="00916B0F"/>
    <w:rsid w:val="00917159"/>
    <w:rsid w:val="00917C7F"/>
    <w:rsid w:val="00917E99"/>
    <w:rsid w:val="0092087C"/>
    <w:rsid w:val="00920C54"/>
    <w:rsid w:val="00921920"/>
    <w:rsid w:val="009220BB"/>
    <w:rsid w:val="00922AC4"/>
    <w:rsid w:val="00922BAE"/>
    <w:rsid w:val="00922FDB"/>
    <w:rsid w:val="00923FE3"/>
    <w:rsid w:val="009258A0"/>
    <w:rsid w:val="00925AA5"/>
    <w:rsid w:val="00925D17"/>
    <w:rsid w:val="009261D2"/>
    <w:rsid w:val="009268E5"/>
    <w:rsid w:val="009304F6"/>
    <w:rsid w:val="00931179"/>
    <w:rsid w:val="00931E17"/>
    <w:rsid w:val="009331B1"/>
    <w:rsid w:val="0093428F"/>
    <w:rsid w:val="00934318"/>
    <w:rsid w:val="009346FA"/>
    <w:rsid w:val="00935537"/>
    <w:rsid w:val="00935EA7"/>
    <w:rsid w:val="00937FFA"/>
    <w:rsid w:val="009408A2"/>
    <w:rsid w:val="00940A9A"/>
    <w:rsid w:val="00941331"/>
    <w:rsid w:val="00941905"/>
    <w:rsid w:val="009434DA"/>
    <w:rsid w:val="009436F1"/>
    <w:rsid w:val="00943844"/>
    <w:rsid w:val="0094410E"/>
    <w:rsid w:val="0094488F"/>
    <w:rsid w:val="00944B83"/>
    <w:rsid w:val="00945748"/>
    <w:rsid w:val="00945978"/>
    <w:rsid w:val="009459A9"/>
    <w:rsid w:val="00950201"/>
    <w:rsid w:val="00950383"/>
    <w:rsid w:val="009503BF"/>
    <w:rsid w:val="00951AD9"/>
    <w:rsid w:val="00951F2D"/>
    <w:rsid w:val="009522C2"/>
    <w:rsid w:val="009522EB"/>
    <w:rsid w:val="00952687"/>
    <w:rsid w:val="009533E0"/>
    <w:rsid w:val="00954146"/>
    <w:rsid w:val="0095486E"/>
    <w:rsid w:val="00957EA1"/>
    <w:rsid w:val="00960999"/>
    <w:rsid w:val="00962F1A"/>
    <w:rsid w:val="00964269"/>
    <w:rsid w:val="00964F27"/>
    <w:rsid w:val="009650C9"/>
    <w:rsid w:val="009656A6"/>
    <w:rsid w:val="00966D77"/>
    <w:rsid w:val="00967615"/>
    <w:rsid w:val="00970BF2"/>
    <w:rsid w:val="00970FA9"/>
    <w:rsid w:val="00970FAE"/>
    <w:rsid w:val="00971352"/>
    <w:rsid w:val="009713B2"/>
    <w:rsid w:val="00971502"/>
    <w:rsid w:val="009719E5"/>
    <w:rsid w:val="009732BF"/>
    <w:rsid w:val="009735BC"/>
    <w:rsid w:val="00974F4D"/>
    <w:rsid w:val="00975783"/>
    <w:rsid w:val="00975B5B"/>
    <w:rsid w:val="00976484"/>
    <w:rsid w:val="00976DD1"/>
    <w:rsid w:val="00981260"/>
    <w:rsid w:val="009812D5"/>
    <w:rsid w:val="00981520"/>
    <w:rsid w:val="00981FCA"/>
    <w:rsid w:val="0098231C"/>
    <w:rsid w:val="0098233E"/>
    <w:rsid w:val="00982685"/>
    <w:rsid w:val="009833F1"/>
    <w:rsid w:val="00983875"/>
    <w:rsid w:val="0098566D"/>
    <w:rsid w:val="00986233"/>
    <w:rsid w:val="00986A30"/>
    <w:rsid w:val="00986E52"/>
    <w:rsid w:val="00990187"/>
    <w:rsid w:val="009903E3"/>
    <w:rsid w:val="00990D7F"/>
    <w:rsid w:val="00990F0D"/>
    <w:rsid w:val="0099117C"/>
    <w:rsid w:val="00991525"/>
    <w:rsid w:val="009922F6"/>
    <w:rsid w:val="00992DDD"/>
    <w:rsid w:val="00992F91"/>
    <w:rsid w:val="009930F6"/>
    <w:rsid w:val="009948FF"/>
    <w:rsid w:val="00994B0D"/>
    <w:rsid w:val="00995396"/>
    <w:rsid w:val="009956DB"/>
    <w:rsid w:val="00995CA3"/>
    <w:rsid w:val="009968A1"/>
    <w:rsid w:val="00997694"/>
    <w:rsid w:val="009A0C7A"/>
    <w:rsid w:val="009A1059"/>
    <w:rsid w:val="009A164D"/>
    <w:rsid w:val="009A176A"/>
    <w:rsid w:val="009A1D30"/>
    <w:rsid w:val="009A3717"/>
    <w:rsid w:val="009A4A44"/>
    <w:rsid w:val="009A5A32"/>
    <w:rsid w:val="009A7343"/>
    <w:rsid w:val="009B03F0"/>
    <w:rsid w:val="009B1339"/>
    <w:rsid w:val="009B65CB"/>
    <w:rsid w:val="009B6775"/>
    <w:rsid w:val="009B68CD"/>
    <w:rsid w:val="009B6DD5"/>
    <w:rsid w:val="009B7D79"/>
    <w:rsid w:val="009C0583"/>
    <w:rsid w:val="009C0607"/>
    <w:rsid w:val="009C27E1"/>
    <w:rsid w:val="009C2C23"/>
    <w:rsid w:val="009C2D4D"/>
    <w:rsid w:val="009C2F3D"/>
    <w:rsid w:val="009C58EA"/>
    <w:rsid w:val="009C622D"/>
    <w:rsid w:val="009C6D45"/>
    <w:rsid w:val="009C702E"/>
    <w:rsid w:val="009D02D7"/>
    <w:rsid w:val="009D09B9"/>
    <w:rsid w:val="009D177E"/>
    <w:rsid w:val="009D1E89"/>
    <w:rsid w:val="009D2BC1"/>
    <w:rsid w:val="009D2DA0"/>
    <w:rsid w:val="009D2DB2"/>
    <w:rsid w:val="009D356B"/>
    <w:rsid w:val="009D356D"/>
    <w:rsid w:val="009D431D"/>
    <w:rsid w:val="009D456A"/>
    <w:rsid w:val="009D5CB6"/>
    <w:rsid w:val="009D5F97"/>
    <w:rsid w:val="009D6F3D"/>
    <w:rsid w:val="009D781C"/>
    <w:rsid w:val="009D7E35"/>
    <w:rsid w:val="009E012E"/>
    <w:rsid w:val="009E04BA"/>
    <w:rsid w:val="009E0B07"/>
    <w:rsid w:val="009E0E79"/>
    <w:rsid w:val="009E10B6"/>
    <w:rsid w:val="009E28A1"/>
    <w:rsid w:val="009E2FA9"/>
    <w:rsid w:val="009E4783"/>
    <w:rsid w:val="009E47AA"/>
    <w:rsid w:val="009E535C"/>
    <w:rsid w:val="009E5669"/>
    <w:rsid w:val="009E6008"/>
    <w:rsid w:val="009E63C9"/>
    <w:rsid w:val="009E6D05"/>
    <w:rsid w:val="009F064D"/>
    <w:rsid w:val="009F0DCD"/>
    <w:rsid w:val="009F110C"/>
    <w:rsid w:val="009F1D63"/>
    <w:rsid w:val="009F20F6"/>
    <w:rsid w:val="009F244E"/>
    <w:rsid w:val="009F2633"/>
    <w:rsid w:val="009F26DB"/>
    <w:rsid w:val="009F2F4F"/>
    <w:rsid w:val="009F4028"/>
    <w:rsid w:val="009F46FC"/>
    <w:rsid w:val="009F4AD0"/>
    <w:rsid w:val="009F4B35"/>
    <w:rsid w:val="009F511D"/>
    <w:rsid w:val="009F62E0"/>
    <w:rsid w:val="009F696C"/>
    <w:rsid w:val="009F72F8"/>
    <w:rsid w:val="00A00C2E"/>
    <w:rsid w:val="00A00C4B"/>
    <w:rsid w:val="00A0187B"/>
    <w:rsid w:val="00A02081"/>
    <w:rsid w:val="00A02CE4"/>
    <w:rsid w:val="00A02D73"/>
    <w:rsid w:val="00A0301D"/>
    <w:rsid w:val="00A03DB6"/>
    <w:rsid w:val="00A04B52"/>
    <w:rsid w:val="00A054B7"/>
    <w:rsid w:val="00A05B6C"/>
    <w:rsid w:val="00A0652C"/>
    <w:rsid w:val="00A07745"/>
    <w:rsid w:val="00A110A0"/>
    <w:rsid w:val="00A12FFD"/>
    <w:rsid w:val="00A13CE6"/>
    <w:rsid w:val="00A14D29"/>
    <w:rsid w:val="00A15487"/>
    <w:rsid w:val="00A1668C"/>
    <w:rsid w:val="00A17269"/>
    <w:rsid w:val="00A20A15"/>
    <w:rsid w:val="00A20C95"/>
    <w:rsid w:val="00A230C7"/>
    <w:rsid w:val="00A23780"/>
    <w:rsid w:val="00A239F2"/>
    <w:rsid w:val="00A23A4C"/>
    <w:rsid w:val="00A23EAB"/>
    <w:rsid w:val="00A25066"/>
    <w:rsid w:val="00A25240"/>
    <w:rsid w:val="00A263E0"/>
    <w:rsid w:val="00A274E7"/>
    <w:rsid w:val="00A3011A"/>
    <w:rsid w:val="00A30A61"/>
    <w:rsid w:val="00A316B8"/>
    <w:rsid w:val="00A31825"/>
    <w:rsid w:val="00A31BB6"/>
    <w:rsid w:val="00A31D1F"/>
    <w:rsid w:val="00A32605"/>
    <w:rsid w:val="00A33161"/>
    <w:rsid w:val="00A33695"/>
    <w:rsid w:val="00A34202"/>
    <w:rsid w:val="00A345C6"/>
    <w:rsid w:val="00A34C10"/>
    <w:rsid w:val="00A35577"/>
    <w:rsid w:val="00A3714C"/>
    <w:rsid w:val="00A37289"/>
    <w:rsid w:val="00A37F73"/>
    <w:rsid w:val="00A41862"/>
    <w:rsid w:val="00A43A36"/>
    <w:rsid w:val="00A445E7"/>
    <w:rsid w:val="00A4586C"/>
    <w:rsid w:val="00A50022"/>
    <w:rsid w:val="00A502E5"/>
    <w:rsid w:val="00A51583"/>
    <w:rsid w:val="00A5167B"/>
    <w:rsid w:val="00A52043"/>
    <w:rsid w:val="00A53395"/>
    <w:rsid w:val="00A539B7"/>
    <w:rsid w:val="00A54A39"/>
    <w:rsid w:val="00A5500B"/>
    <w:rsid w:val="00A554A3"/>
    <w:rsid w:val="00A557D4"/>
    <w:rsid w:val="00A57044"/>
    <w:rsid w:val="00A57120"/>
    <w:rsid w:val="00A5762B"/>
    <w:rsid w:val="00A57EDE"/>
    <w:rsid w:val="00A60773"/>
    <w:rsid w:val="00A60ACA"/>
    <w:rsid w:val="00A611CE"/>
    <w:rsid w:val="00A62A2E"/>
    <w:rsid w:val="00A62B05"/>
    <w:rsid w:val="00A63911"/>
    <w:rsid w:val="00A647F8"/>
    <w:rsid w:val="00A65042"/>
    <w:rsid w:val="00A65EEE"/>
    <w:rsid w:val="00A65FBC"/>
    <w:rsid w:val="00A666BC"/>
    <w:rsid w:val="00A66B2E"/>
    <w:rsid w:val="00A66FE1"/>
    <w:rsid w:val="00A67EDA"/>
    <w:rsid w:val="00A67FA1"/>
    <w:rsid w:val="00A70134"/>
    <w:rsid w:val="00A70368"/>
    <w:rsid w:val="00A70C19"/>
    <w:rsid w:val="00A713B1"/>
    <w:rsid w:val="00A71DE3"/>
    <w:rsid w:val="00A72454"/>
    <w:rsid w:val="00A72913"/>
    <w:rsid w:val="00A72AFC"/>
    <w:rsid w:val="00A73190"/>
    <w:rsid w:val="00A738A2"/>
    <w:rsid w:val="00A746F3"/>
    <w:rsid w:val="00A7565E"/>
    <w:rsid w:val="00A76693"/>
    <w:rsid w:val="00A76C84"/>
    <w:rsid w:val="00A7720F"/>
    <w:rsid w:val="00A81035"/>
    <w:rsid w:val="00A813F0"/>
    <w:rsid w:val="00A829A1"/>
    <w:rsid w:val="00A82D6F"/>
    <w:rsid w:val="00A834D3"/>
    <w:rsid w:val="00A836A3"/>
    <w:rsid w:val="00A83707"/>
    <w:rsid w:val="00A85B9E"/>
    <w:rsid w:val="00A86FEC"/>
    <w:rsid w:val="00A8713B"/>
    <w:rsid w:val="00A919B2"/>
    <w:rsid w:val="00A91BF7"/>
    <w:rsid w:val="00A91F06"/>
    <w:rsid w:val="00A92B2B"/>
    <w:rsid w:val="00A92B81"/>
    <w:rsid w:val="00A9384E"/>
    <w:rsid w:val="00A94CB4"/>
    <w:rsid w:val="00A94CD2"/>
    <w:rsid w:val="00A95594"/>
    <w:rsid w:val="00A95711"/>
    <w:rsid w:val="00A96036"/>
    <w:rsid w:val="00A96046"/>
    <w:rsid w:val="00A969C0"/>
    <w:rsid w:val="00A96CBE"/>
    <w:rsid w:val="00A97655"/>
    <w:rsid w:val="00A976A8"/>
    <w:rsid w:val="00A976C3"/>
    <w:rsid w:val="00A97786"/>
    <w:rsid w:val="00A97930"/>
    <w:rsid w:val="00A9798A"/>
    <w:rsid w:val="00A97CCE"/>
    <w:rsid w:val="00AA122E"/>
    <w:rsid w:val="00AA12FF"/>
    <w:rsid w:val="00AA1C74"/>
    <w:rsid w:val="00AA3200"/>
    <w:rsid w:val="00AA3495"/>
    <w:rsid w:val="00AA4354"/>
    <w:rsid w:val="00AA504C"/>
    <w:rsid w:val="00AA68EB"/>
    <w:rsid w:val="00AA7E4B"/>
    <w:rsid w:val="00AA7F67"/>
    <w:rsid w:val="00AB14A1"/>
    <w:rsid w:val="00AB19A3"/>
    <w:rsid w:val="00AB2346"/>
    <w:rsid w:val="00AB236F"/>
    <w:rsid w:val="00AB23E3"/>
    <w:rsid w:val="00AB2659"/>
    <w:rsid w:val="00AB2EEE"/>
    <w:rsid w:val="00AB329A"/>
    <w:rsid w:val="00AB33A8"/>
    <w:rsid w:val="00AB3C3C"/>
    <w:rsid w:val="00AB571D"/>
    <w:rsid w:val="00AB5758"/>
    <w:rsid w:val="00AC197E"/>
    <w:rsid w:val="00AC3F8A"/>
    <w:rsid w:val="00AC4BC8"/>
    <w:rsid w:val="00AC4C94"/>
    <w:rsid w:val="00AC6291"/>
    <w:rsid w:val="00AC6CF7"/>
    <w:rsid w:val="00AC7619"/>
    <w:rsid w:val="00AC7ACD"/>
    <w:rsid w:val="00AD026E"/>
    <w:rsid w:val="00AD2245"/>
    <w:rsid w:val="00AD46ED"/>
    <w:rsid w:val="00AD50C9"/>
    <w:rsid w:val="00AD65AF"/>
    <w:rsid w:val="00AD6984"/>
    <w:rsid w:val="00AD7B61"/>
    <w:rsid w:val="00AE077D"/>
    <w:rsid w:val="00AE1FDC"/>
    <w:rsid w:val="00AE3401"/>
    <w:rsid w:val="00AE402D"/>
    <w:rsid w:val="00AE5211"/>
    <w:rsid w:val="00AE563F"/>
    <w:rsid w:val="00AE6452"/>
    <w:rsid w:val="00AE6593"/>
    <w:rsid w:val="00AE6912"/>
    <w:rsid w:val="00AE7F2A"/>
    <w:rsid w:val="00AF0536"/>
    <w:rsid w:val="00AF1F1D"/>
    <w:rsid w:val="00AF2961"/>
    <w:rsid w:val="00AF3F60"/>
    <w:rsid w:val="00AF4000"/>
    <w:rsid w:val="00AF4A6E"/>
    <w:rsid w:val="00AF4C21"/>
    <w:rsid w:val="00AF4C8F"/>
    <w:rsid w:val="00AF5CC8"/>
    <w:rsid w:val="00AF5EDA"/>
    <w:rsid w:val="00AF6C28"/>
    <w:rsid w:val="00B015B2"/>
    <w:rsid w:val="00B01754"/>
    <w:rsid w:val="00B017D5"/>
    <w:rsid w:val="00B01E99"/>
    <w:rsid w:val="00B021E0"/>
    <w:rsid w:val="00B02E7E"/>
    <w:rsid w:val="00B071DD"/>
    <w:rsid w:val="00B0726E"/>
    <w:rsid w:val="00B104C8"/>
    <w:rsid w:val="00B10BBE"/>
    <w:rsid w:val="00B11B38"/>
    <w:rsid w:val="00B14254"/>
    <w:rsid w:val="00B14348"/>
    <w:rsid w:val="00B1473D"/>
    <w:rsid w:val="00B14D17"/>
    <w:rsid w:val="00B15D5F"/>
    <w:rsid w:val="00B16239"/>
    <w:rsid w:val="00B2030E"/>
    <w:rsid w:val="00B21202"/>
    <w:rsid w:val="00B214B5"/>
    <w:rsid w:val="00B217D2"/>
    <w:rsid w:val="00B2337F"/>
    <w:rsid w:val="00B24399"/>
    <w:rsid w:val="00B244B2"/>
    <w:rsid w:val="00B24D99"/>
    <w:rsid w:val="00B25037"/>
    <w:rsid w:val="00B2568B"/>
    <w:rsid w:val="00B272BE"/>
    <w:rsid w:val="00B277EF"/>
    <w:rsid w:val="00B27969"/>
    <w:rsid w:val="00B30E95"/>
    <w:rsid w:val="00B31B0E"/>
    <w:rsid w:val="00B32054"/>
    <w:rsid w:val="00B32A3A"/>
    <w:rsid w:val="00B33391"/>
    <w:rsid w:val="00B333FA"/>
    <w:rsid w:val="00B36716"/>
    <w:rsid w:val="00B368AC"/>
    <w:rsid w:val="00B36F73"/>
    <w:rsid w:val="00B37115"/>
    <w:rsid w:val="00B37182"/>
    <w:rsid w:val="00B3731C"/>
    <w:rsid w:val="00B401A4"/>
    <w:rsid w:val="00B40220"/>
    <w:rsid w:val="00B40388"/>
    <w:rsid w:val="00B4087B"/>
    <w:rsid w:val="00B40BB6"/>
    <w:rsid w:val="00B40BD2"/>
    <w:rsid w:val="00B41B14"/>
    <w:rsid w:val="00B41D2A"/>
    <w:rsid w:val="00B42792"/>
    <w:rsid w:val="00B427CF"/>
    <w:rsid w:val="00B42D3A"/>
    <w:rsid w:val="00B43E69"/>
    <w:rsid w:val="00B44C93"/>
    <w:rsid w:val="00B45961"/>
    <w:rsid w:val="00B45A42"/>
    <w:rsid w:val="00B465C8"/>
    <w:rsid w:val="00B46990"/>
    <w:rsid w:val="00B5082F"/>
    <w:rsid w:val="00B50F9B"/>
    <w:rsid w:val="00B51815"/>
    <w:rsid w:val="00B51C2C"/>
    <w:rsid w:val="00B51FCD"/>
    <w:rsid w:val="00B522CC"/>
    <w:rsid w:val="00B5261B"/>
    <w:rsid w:val="00B526D4"/>
    <w:rsid w:val="00B5307B"/>
    <w:rsid w:val="00B5321B"/>
    <w:rsid w:val="00B53538"/>
    <w:rsid w:val="00B53B1B"/>
    <w:rsid w:val="00B542B4"/>
    <w:rsid w:val="00B54761"/>
    <w:rsid w:val="00B54FD1"/>
    <w:rsid w:val="00B54FE9"/>
    <w:rsid w:val="00B60C40"/>
    <w:rsid w:val="00B60D69"/>
    <w:rsid w:val="00B61AEE"/>
    <w:rsid w:val="00B620DE"/>
    <w:rsid w:val="00B625CD"/>
    <w:rsid w:val="00B6311F"/>
    <w:rsid w:val="00B631A1"/>
    <w:rsid w:val="00B636A0"/>
    <w:rsid w:val="00B63945"/>
    <w:rsid w:val="00B6398D"/>
    <w:rsid w:val="00B63B24"/>
    <w:rsid w:val="00B648E8"/>
    <w:rsid w:val="00B655E2"/>
    <w:rsid w:val="00B6613C"/>
    <w:rsid w:val="00B67690"/>
    <w:rsid w:val="00B67820"/>
    <w:rsid w:val="00B67B08"/>
    <w:rsid w:val="00B67B57"/>
    <w:rsid w:val="00B7007E"/>
    <w:rsid w:val="00B701CF"/>
    <w:rsid w:val="00B70402"/>
    <w:rsid w:val="00B71D23"/>
    <w:rsid w:val="00B71D54"/>
    <w:rsid w:val="00B724E2"/>
    <w:rsid w:val="00B72773"/>
    <w:rsid w:val="00B72FC8"/>
    <w:rsid w:val="00B738B8"/>
    <w:rsid w:val="00B7469F"/>
    <w:rsid w:val="00B749B6"/>
    <w:rsid w:val="00B75BB4"/>
    <w:rsid w:val="00B76404"/>
    <w:rsid w:val="00B77A7D"/>
    <w:rsid w:val="00B8118C"/>
    <w:rsid w:val="00B81299"/>
    <w:rsid w:val="00B81B29"/>
    <w:rsid w:val="00B822A5"/>
    <w:rsid w:val="00B82538"/>
    <w:rsid w:val="00B8255F"/>
    <w:rsid w:val="00B83A9A"/>
    <w:rsid w:val="00B84196"/>
    <w:rsid w:val="00B84612"/>
    <w:rsid w:val="00B85588"/>
    <w:rsid w:val="00B860DE"/>
    <w:rsid w:val="00B861E0"/>
    <w:rsid w:val="00B86AB2"/>
    <w:rsid w:val="00B87E15"/>
    <w:rsid w:val="00B87E19"/>
    <w:rsid w:val="00B90BB2"/>
    <w:rsid w:val="00B910C8"/>
    <w:rsid w:val="00B91690"/>
    <w:rsid w:val="00B92C80"/>
    <w:rsid w:val="00B9306B"/>
    <w:rsid w:val="00B93608"/>
    <w:rsid w:val="00B94974"/>
    <w:rsid w:val="00B95A41"/>
    <w:rsid w:val="00B9614A"/>
    <w:rsid w:val="00B97EE7"/>
    <w:rsid w:val="00B97EEF"/>
    <w:rsid w:val="00BA02BE"/>
    <w:rsid w:val="00BA076A"/>
    <w:rsid w:val="00BA1FD2"/>
    <w:rsid w:val="00BA20A4"/>
    <w:rsid w:val="00BA26F3"/>
    <w:rsid w:val="00BA287B"/>
    <w:rsid w:val="00BA2BD6"/>
    <w:rsid w:val="00BA3838"/>
    <w:rsid w:val="00BA4B14"/>
    <w:rsid w:val="00BA5635"/>
    <w:rsid w:val="00BA578C"/>
    <w:rsid w:val="00BA67FA"/>
    <w:rsid w:val="00BA6E08"/>
    <w:rsid w:val="00BA6E59"/>
    <w:rsid w:val="00BA70DF"/>
    <w:rsid w:val="00BA78DC"/>
    <w:rsid w:val="00BA7AAE"/>
    <w:rsid w:val="00BB1612"/>
    <w:rsid w:val="00BB2016"/>
    <w:rsid w:val="00BB3CAD"/>
    <w:rsid w:val="00BB5053"/>
    <w:rsid w:val="00BB5333"/>
    <w:rsid w:val="00BB5420"/>
    <w:rsid w:val="00BB5C27"/>
    <w:rsid w:val="00BB7B01"/>
    <w:rsid w:val="00BC0C1D"/>
    <w:rsid w:val="00BC1341"/>
    <w:rsid w:val="00BC1D00"/>
    <w:rsid w:val="00BC2264"/>
    <w:rsid w:val="00BC22F1"/>
    <w:rsid w:val="00BC3C2F"/>
    <w:rsid w:val="00BC4EFD"/>
    <w:rsid w:val="00BC585E"/>
    <w:rsid w:val="00BC60D6"/>
    <w:rsid w:val="00BC7465"/>
    <w:rsid w:val="00BC78AD"/>
    <w:rsid w:val="00BD0E98"/>
    <w:rsid w:val="00BD1A56"/>
    <w:rsid w:val="00BD1EF4"/>
    <w:rsid w:val="00BD2DFE"/>
    <w:rsid w:val="00BD32FB"/>
    <w:rsid w:val="00BD37AA"/>
    <w:rsid w:val="00BD3B51"/>
    <w:rsid w:val="00BD3BDD"/>
    <w:rsid w:val="00BD652E"/>
    <w:rsid w:val="00BE04AE"/>
    <w:rsid w:val="00BE081C"/>
    <w:rsid w:val="00BE0934"/>
    <w:rsid w:val="00BE2A4D"/>
    <w:rsid w:val="00BE313D"/>
    <w:rsid w:val="00BE332F"/>
    <w:rsid w:val="00BE43DF"/>
    <w:rsid w:val="00BE517E"/>
    <w:rsid w:val="00BE5B80"/>
    <w:rsid w:val="00BE5E27"/>
    <w:rsid w:val="00BE6BC3"/>
    <w:rsid w:val="00BE70CF"/>
    <w:rsid w:val="00BE732A"/>
    <w:rsid w:val="00BE7980"/>
    <w:rsid w:val="00BF101D"/>
    <w:rsid w:val="00BF2194"/>
    <w:rsid w:val="00BF2529"/>
    <w:rsid w:val="00BF2E6B"/>
    <w:rsid w:val="00BF47E8"/>
    <w:rsid w:val="00BF4E40"/>
    <w:rsid w:val="00BF4FB4"/>
    <w:rsid w:val="00BF5238"/>
    <w:rsid w:val="00BF629B"/>
    <w:rsid w:val="00BF694B"/>
    <w:rsid w:val="00C01271"/>
    <w:rsid w:val="00C02E97"/>
    <w:rsid w:val="00C03843"/>
    <w:rsid w:val="00C044EA"/>
    <w:rsid w:val="00C04A7E"/>
    <w:rsid w:val="00C04D68"/>
    <w:rsid w:val="00C0768F"/>
    <w:rsid w:val="00C1015F"/>
    <w:rsid w:val="00C103C9"/>
    <w:rsid w:val="00C1099D"/>
    <w:rsid w:val="00C11B0E"/>
    <w:rsid w:val="00C131E7"/>
    <w:rsid w:val="00C140F3"/>
    <w:rsid w:val="00C15242"/>
    <w:rsid w:val="00C16639"/>
    <w:rsid w:val="00C17391"/>
    <w:rsid w:val="00C20DC3"/>
    <w:rsid w:val="00C21147"/>
    <w:rsid w:val="00C212C0"/>
    <w:rsid w:val="00C21DAD"/>
    <w:rsid w:val="00C2231E"/>
    <w:rsid w:val="00C23DBE"/>
    <w:rsid w:val="00C23E1F"/>
    <w:rsid w:val="00C2420D"/>
    <w:rsid w:val="00C3190F"/>
    <w:rsid w:val="00C3317A"/>
    <w:rsid w:val="00C35BEB"/>
    <w:rsid w:val="00C36C6D"/>
    <w:rsid w:val="00C372C6"/>
    <w:rsid w:val="00C37558"/>
    <w:rsid w:val="00C37ED5"/>
    <w:rsid w:val="00C40543"/>
    <w:rsid w:val="00C41E9B"/>
    <w:rsid w:val="00C429C7"/>
    <w:rsid w:val="00C431C6"/>
    <w:rsid w:val="00C43A52"/>
    <w:rsid w:val="00C440ED"/>
    <w:rsid w:val="00C448C8"/>
    <w:rsid w:val="00C44D18"/>
    <w:rsid w:val="00C45880"/>
    <w:rsid w:val="00C45BB4"/>
    <w:rsid w:val="00C45FE5"/>
    <w:rsid w:val="00C4660C"/>
    <w:rsid w:val="00C46C34"/>
    <w:rsid w:val="00C471C2"/>
    <w:rsid w:val="00C50679"/>
    <w:rsid w:val="00C50BDD"/>
    <w:rsid w:val="00C5115F"/>
    <w:rsid w:val="00C51A8F"/>
    <w:rsid w:val="00C52ACC"/>
    <w:rsid w:val="00C5457B"/>
    <w:rsid w:val="00C546A5"/>
    <w:rsid w:val="00C54A16"/>
    <w:rsid w:val="00C54A4F"/>
    <w:rsid w:val="00C54B30"/>
    <w:rsid w:val="00C54CF3"/>
    <w:rsid w:val="00C55E66"/>
    <w:rsid w:val="00C561C4"/>
    <w:rsid w:val="00C567B8"/>
    <w:rsid w:val="00C568EC"/>
    <w:rsid w:val="00C569D6"/>
    <w:rsid w:val="00C5716B"/>
    <w:rsid w:val="00C5719B"/>
    <w:rsid w:val="00C61B8F"/>
    <w:rsid w:val="00C62B58"/>
    <w:rsid w:val="00C63633"/>
    <w:rsid w:val="00C63F53"/>
    <w:rsid w:val="00C654F5"/>
    <w:rsid w:val="00C65614"/>
    <w:rsid w:val="00C6576D"/>
    <w:rsid w:val="00C65C46"/>
    <w:rsid w:val="00C65CCE"/>
    <w:rsid w:val="00C664B5"/>
    <w:rsid w:val="00C666D5"/>
    <w:rsid w:val="00C67C33"/>
    <w:rsid w:val="00C7036F"/>
    <w:rsid w:val="00C706F6"/>
    <w:rsid w:val="00C70B46"/>
    <w:rsid w:val="00C71134"/>
    <w:rsid w:val="00C71A88"/>
    <w:rsid w:val="00C738AA"/>
    <w:rsid w:val="00C7397C"/>
    <w:rsid w:val="00C770D0"/>
    <w:rsid w:val="00C80108"/>
    <w:rsid w:val="00C81F0F"/>
    <w:rsid w:val="00C82DB1"/>
    <w:rsid w:val="00C83A4D"/>
    <w:rsid w:val="00C84854"/>
    <w:rsid w:val="00C862CB"/>
    <w:rsid w:val="00C8679B"/>
    <w:rsid w:val="00C867E5"/>
    <w:rsid w:val="00C86888"/>
    <w:rsid w:val="00C86D11"/>
    <w:rsid w:val="00C86E5A"/>
    <w:rsid w:val="00C86ED5"/>
    <w:rsid w:val="00C8780A"/>
    <w:rsid w:val="00C87CE0"/>
    <w:rsid w:val="00C90132"/>
    <w:rsid w:val="00C90C05"/>
    <w:rsid w:val="00C90E73"/>
    <w:rsid w:val="00C9180E"/>
    <w:rsid w:val="00C928C7"/>
    <w:rsid w:val="00C92B53"/>
    <w:rsid w:val="00C92D1B"/>
    <w:rsid w:val="00C92D34"/>
    <w:rsid w:val="00C92EC2"/>
    <w:rsid w:val="00C94AF8"/>
    <w:rsid w:val="00C96537"/>
    <w:rsid w:val="00C9673B"/>
    <w:rsid w:val="00C969E2"/>
    <w:rsid w:val="00C96AFA"/>
    <w:rsid w:val="00C975DE"/>
    <w:rsid w:val="00CA0314"/>
    <w:rsid w:val="00CA06FD"/>
    <w:rsid w:val="00CA18B5"/>
    <w:rsid w:val="00CA1E3C"/>
    <w:rsid w:val="00CA2763"/>
    <w:rsid w:val="00CA3C8A"/>
    <w:rsid w:val="00CA4146"/>
    <w:rsid w:val="00CA4215"/>
    <w:rsid w:val="00CA4C40"/>
    <w:rsid w:val="00CA5517"/>
    <w:rsid w:val="00CA58C0"/>
    <w:rsid w:val="00CA64A5"/>
    <w:rsid w:val="00CA6DA1"/>
    <w:rsid w:val="00CB08FD"/>
    <w:rsid w:val="00CB0B67"/>
    <w:rsid w:val="00CB1429"/>
    <w:rsid w:val="00CB1EE6"/>
    <w:rsid w:val="00CB2449"/>
    <w:rsid w:val="00CB2D94"/>
    <w:rsid w:val="00CB4E51"/>
    <w:rsid w:val="00CB5C8D"/>
    <w:rsid w:val="00CB68B6"/>
    <w:rsid w:val="00CB7802"/>
    <w:rsid w:val="00CC10ED"/>
    <w:rsid w:val="00CC231F"/>
    <w:rsid w:val="00CC27B3"/>
    <w:rsid w:val="00CC2851"/>
    <w:rsid w:val="00CC3548"/>
    <w:rsid w:val="00CC372A"/>
    <w:rsid w:val="00CC39A9"/>
    <w:rsid w:val="00CC4EB5"/>
    <w:rsid w:val="00CC5875"/>
    <w:rsid w:val="00CC6053"/>
    <w:rsid w:val="00CC64BD"/>
    <w:rsid w:val="00CC6EFB"/>
    <w:rsid w:val="00CC6F6A"/>
    <w:rsid w:val="00CC74EA"/>
    <w:rsid w:val="00CC77E6"/>
    <w:rsid w:val="00CC7DD3"/>
    <w:rsid w:val="00CD096D"/>
    <w:rsid w:val="00CD0C30"/>
    <w:rsid w:val="00CD16CB"/>
    <w:rsid w:val="00CD25BF"/>
    <w:rsid w:val="00CD2A27"/>
    <w:rsid w:val="00CD2A83"/>
    <w:rsid w:val="00CD2E05"/>
    <w:rsid w:val="00CD3C95"/>
    <w:rsid w:val="00CD41A5"/>
    <w:rsid w:val="00CD4400"/>
    <w:rsid w:val="00CD592D"/>
    <w:rsid w:val="00CD5C43"/>
    <w:rsid w:val="00CD61A9"/>
    <w:rsid w:val="00CD62FB"/>
    <w:rsid w:val="00CD7144"/>
    <w:rsid w:val="00CD7F92"/>
    <w:rsid w:val="00CE0DA6"/>
    <w:rsid w:val="00CE143F"/>
    <w:rsid w:val="00CE16DA"/>
    <w:rsid w:val="00CE352D"/>
    <w:rsid w:val="00CE383A"/>
    <w:rsid w:val="00CE40ED"/>
    <w:rsid w:val="00CE4B4A"/>
    <w:rsid w:val="00CE6B6B"/>
    <w:rsid w:val="00CE727B"/>
    <w:rsid w:val="00CE7829"/>
    <w:rsid w:val="00CE7BDF"/>
    <w:rsid w:val="00CE7FFD"/>
    <w:rsid w:val="00CF0CD1"/>
    <w:rsid w:val="00CF0E44"/>
    <w:rsid w:val="00CF1421"/>
    <w:rsid w:val="00CF1902"/>
    <w:rsid w:val="00CF2EDB"/>
    <w:rsid w:val="00CF4244"/>
    <w:rsid w:val="00CF466E"/>
    <w:rsid w:val="00CF4BA9"/>
    <w:rsid w:val="00CF6262"/>
    <w:rsid w:val="00CF6B52"/>
    <w:rsid w:val="00D00608"/>
    <w:rsid w:val="00D00D29"/>
    <w:rsid w:val="00D0215C"/>
    <w:rsid w:val="00D02A2C"/>
    <w:rsid w:val="00D04C7F"/>
    <w:rsid w:val="00D068D8"/>
    <w:rsid w:val="00D06BD1"/>
    <w:rsid w:val="00D10B54"/>
    <w:rsid w:val="00D13FC8"/>
    <w:rsid w:val="00D146CF"/>
    <w:rsid w:val="00D1599F"/>
    <w:rsid w:val="00D15BEA"/>
    <w:rsid w:val="00D15E8A"/>
    <w:rsid w:val="00D15ED6"/>
    <w:rsid w:val="00D16A7C"/>
    <w:rsid w:val="00D173CD"/>
    <w:rsid w:val="00D17E27"/>
    <w:rsid w:val="00D21A3F"/>
    <w:rsid w:val="00D21ABC"/>
    <w:rsid w:val="00D21CE6"/>
    <w:rsid w:val="00D22820"/>
    <w:rsid w:val="00D23519"/>
    <w:rsid w:val="00D24C28"/>
    <w:rsid w:val="00D254AF"/>
    <w:rsid w:val="00D25A03"/>
    <w:rsid w:val="00D26323"/>
    <w:rsid w:val="00D30251"/>
    <w:rsid w:val="00D30306"/>
    <w:rsid w:val="00D307C0"/>
    <w:rsid w:val="00D3272D"/>
    <w:rsid w:val="00D33182"/>
    <w:rsid w:val="00D346B7"/>
    <w:rsid w:val="00D34BD2"/>
    <w:rsid w:val="00D3571A"/>
    <w:rsid w:val="00D35F53"/>
    <w:rsid w:val="00D365E2"/>
    <w:rsid w:val="00D368EE"/>
    <w:rsid w:val="00D36CA9"/>
    <w:rsid w:val="00D36F41"/>
    <w:rsid w:val="00D37DEC"/>
    <w:rsid w:val="00D4055E"/>
    <w:rsid w:val="00D40A24"/>
    <w:rsid w:val="00D42C3A"/>
    <w:rsid w:val="00D43604"/>
    <w:rsid w:val="00D4415F"/>
    <w:rsid w:val="00D45156"/>
    <w:rsid w:val="00D46B87"/>
    <w:rsid w:val="00D47656"/>
    <w:rsid w:val="00D50031"/>
    <w:rsid w:val="00D500A5"/>
    <w:rsid w:val="00D509F6"/>
    <w:rsid w:val="00D517BE"/>
    <w:rsid w:val="00D52481"/>
    <w:rsid w:val="00D54264"/>
    <w:rsid w:val="00D55508"/>
    <w:rsid w:val="00D56412"/>
    <w:rsid w:val="00D572C5"/>
    <w:rsid w:val="00D572FE"/>
    <w:rsid w:val="00D5768A"/>
    <w:rsid w:val="00D57AE3"/>
    <w:rsid w:val="00D609A9"/>
    <w:rsid w:val="00D60C24"/>
    <w:rsid w:val="00D60CC8"/>
    <w:rsid w:val="00D6243E"/>
    <w:rsid w:val="00D62679"/>
    <w:rsid w:val="00D62824"/>
    <w:rsid w:val="00D629A6"/>
    <w:rsid w:val="00D62C82"/>
    <w:rsid w:val="00D62FA1"/>
    <w:rsid w:val="00D63046"/>
    <w:rsid w:val="00D64EB5"/>
    <w:rsid w:val="00D669ED"/>
    <w:rsid w:val="00D66AF1"/>
    <w:rsid w:val="00D67AE8"/>
    <w:rsid w:val="00D7149C"/>
    <w:rsid w:val="00D72AA4"/>
    <w:rsid w:val="00D74620"/>
    <w:rsid w:val="00D74925"/>
    <w:rsid w:val="00D7542F"/>
    <w:rsid w:val="00D75E36"/>
    <w:rsid w:val="00D76839"/>
    <w:rsid w:val="00D76ED2"/>
    <w:rsid w:val="00D7703D"/>
    <w:rsid w:val="00D7753B"/>
    <w:rsid w:val="00D80660"/>
    <w:rsid w:val="00D808D3"/>
    <w:rsid w:val="00D817D9"/>
    <w:rsid w:val="00D817EC"/>
    <w:rsid w:val="00D823D4"/>
    <w:rsid w:val="00D84B51"/>
    <w:rsid w:val="00D85526"/>
    <w:rsid w:val="00D85572"/>
    <w:rsid w:val="00D86E1F"/>
    <w:rsid w:val="00D86F0B"/>
    <w:rsid w:val="00D86FBC"/>
    <w:rsid w:val="00D87379"/>
    <w:rsid w:val="00D875A0"/>
    <w:rsid w:val="00D918D1"/>
    <w:rsid w:val="00D93181"/>
    <w:rsid w:val="00D9405D"/>
    <w:rsid w:val="00D9419A"/>
    <w:rsid w:val="00D94406"/>
    <w:rsid w:val="00D96800"/>
    <w:rsid w:val="00D96838"/>
    <w:rsid w:val="00D979E2"/>
    <w:rsid w:val="00DA12AF"/>
    <w:rsid w:val="00DA16BE"/>
    <w:rsid w:val="00DA2137"/>
    <w:rsid w:val="00DA2D95"/>
    <w:rsid w:val="00DA365B"/>
    <w:rsid w:val="00DA3D64"/>
    <w:rsid w:val="00DA6994"/>
    <w:rsid w:val="00DA6FD0"/>
    <w:rsid w:val="00DB0246"/>
    <w:rsid w:val="00DB02E2"/>
    <w:rsid w:val="00DB0346"/>
    <w:rsid w:val="00DB0588"/>
    <w:rsid w:val="00DB0771"/>
    <w:rsid w:val="00DB0E8C"/>
    <w:rsid w:val="00DB0FB0"/>
    <w:rsid w:val="00DB1B35"/>
    <w:rsid w:val="00DB36C4"/>
    <w:rsid w:val="00DB3841"/>
    <w:rsid w:val="00DB43C9"/>
    <w:rsid w:val="00DB48CE"/>
    <w:rsid w:val="00DB49E1"/>
    <w:rsid w:val="00DB5663"/>
    <w:rsid w:val="00DB5F5A"/>
    <w:rsid w:val="00DB6268"/>
    <w:rsid w:val="00DB6A5E"/>
    <w:rsid w:val="00DB6BFC"/>
    <w:rsid w:val="00DB7D20"/>
    <w:rsid w:val="00DC19DE"/>
    <w:rsid w:val="00DC3A1D"/>
    <w:rsid w:val="00DC3A90"/>
    <w:rsid w:val="00DC3C86"/>
    <w:rsid w:val="00DC49CD"/>
    <w:rsid w:val="00DC4AE3"/>
    <w:rsid w:val="00DC4C12"/>
    <w:rsid w:val="00DC5824"/>
    <w:rsid w:val="00DC59F5"/>
    <w:rsid w:val="00DC6339"/>
    <w:rsid w:val="00DC73A9"/>
    <w:rsid w:val="00DC7936"/>
    <w:rsid w:val="00DD2D65"/>
    <w:rsid w:val="00DD33A0"/>
    <w:rsid w:val="00DD36AB"/>
    <w:rsid w:val="00DD3BEB"/>
    <w:rsid w:val="00DD403B"/>
    <w:rsid w:val="00DD43FE"/>
    <w:rsid w:val="00DD55AE"/>
    <w:rsid w:val="00DD5B9F"/>
    <w:rsid w:val="00DD5D67"/>
    <w:rsid w:val="00DD662A"/>
    <w:rsid w:val="00DD7871"/>
    <w:rsid w:val="00DE1C10"/>
    <w:rsid w:val="00DE1E4D"/>
    <w:rsid w:val="00DE1FA3"/>
    <w:rsid w:val="00DE2850"/>
    <w:rsid w:val="00DE2CA3"/>
    <w:rsid w:val="00DE347D"/>
    <w:rsid w:val="00DE3789"/>
    <w:rsid w:val="00DE405D"/>
    <w:rsid w:val="00DE42AD"/>
    <w:rsid w:val="00DE6BF5"/>
    <w:rsid w:val="00DE7EAA"/>
    <w:rsid w:val="00DF189C"/>
    <w:rsid w:val="00DF1BFA"/>
    <w:rsid w:val="00DF25DD"/>
    <w:rsid w:val="00DF44B4"/>
    <w:rsid w:val="00DF5333"/>
    <w:rsid w:val="00DF5417"/>
    <w:rsid w:val="00DF5671"/>
    <w:rsid w:val="00DF617C"/>
    <w:rsid w:val="00DF6DBC"/>
    <w:rsid w:val="00DF7233"/>
    <w:rsid w:val="00DF72A2"/>
    <w:rsid w:val="00E00213"/>
    <w:rsid w:val="00E009B7"/>
    <w:rsid w:val="00E0103B"/>
    <w:rsid w:val="00E01FA5"/>
    <w:rsid w:val="00E03A06"/>
    <w:rsid w:val="00E03B84"/>
    <w:rsid w:val="00E0437D"/>
    <w:rsid w:val="00E04EE2"/>
    <w:rsid w:val="00E04FAC"/>
    <w:rsid w:val="00E05BB7"/>
    <w:rsid w:val="00E06B16"/>
    <w:rsid w:val="00E074A1"/>
    <w:rsid w:val="00E10474"/>
    <w:rsid w:val="00E10917"/>
    <w:rsid w:val="00E1180A"/>
    <w:rsid w:val="00E1216F"/>
    <w:rsid w:val="00E129B0"/>
    <w:rsid w:val="00E131B1"/>
    <w:rsid w:val="00E14133"/>
    <w:rsid w:val="00E155DC"/>
    <w:rsid w:val="00E16F4B"/>
    <w:rsid w:val="00E1735C"/>
    <w:rsid w:val="00E17758"/>
    <w:rsid w:val="00E20CCF"/>
    <w:rsid w:val="00E2108B"/>
    <w:rsid w:val="00E2153C"/>
    <w:rsid w:val="00E21A1B"/>
    <w:rsid w:val="00E21EC5"/>
    <w:rsid w:val="00E22217"/>
    <w:rsid w:val="00E22E06"/>
    <w:rsid w:val="00E22FA7"/>
    <w:rsid w:val="00E23577"/>
    <w:rsid w:val="00E25708"/>
    <w:rsid w:val="00E25824"/>
    <w:rsid w:val="00E260EA"/>
    <w:rsid w:val="00E26ADA"/>
    <w:rsid w:val="00E2767B"/>
    <w:rsid w:val="00E31375"/>
    <w:rsid w:val="00E31504"/>
    <w:rsid w:val="00E3287D"/>
    <w:rsid w:val="00E33EEA"/>
    <w:rsid w:val="00E3426D"/>
    <w:rsid w:val="00E34607"/>
    <w:rsid w:val="00E34EFD"/>
    <w:rsid w:val="00E3524E"/>
    <w:rsid w:val="00E35373"/>
    <w:rsid w:val="00E355D0"/>
    <w:rsid w:val="00E366FA"/>
    <w:rsid w:val="00E36E4F"/>
    <w:rsid w:val="00E37975"/>
    <w:rsid w:val="00E4165E"/>
    <w:rsid w:val="00E41CAC"/>
    <w:rsid w:val="00E42EAC"/>
    <w:rsid w:val="00E43206"/>
    <w:rsid w:val="00E432B4"/>
    <w:rsid w:val="00E43730"/>
    <w:rsid w:val="00E43996"/>
    <w:rsid w:val="00E44151"/>
    <w:rsid w:val="00E44202"/>
    <w:rsid w:val="00E45727"/>
    <w:rsid w:val="00E45A15"/>
    <w:rsid w:val="00E46609"/>
    <w:rsid w:val="00E47649"/>
    <w:rsid w:val="00E503F6"/>
    <w:rsid w:val="00E51435"/>
    <w:rsid w:val="00E51639"/>
    <w:rsid w:val="00E5193E"/>
    <w:rsid w:val="00E51EBD"/>
    <w:rsid w:val="00E5234F"/>
    <w:rsid w:val="00E5250F"/>
    <w:rsid w:val="00E527B2"/>
    <w:rsid w:val="00E528B2"/>
    <w:rsid w:val="00E52C9F"/>
    <w:rsid w:val="00E55281"/>
    <w:rsid w:val="00E55F3B"/>
    <w:rsid w:val="00E56E65"/>
    <w:rsid w:val="00E57197"/>
    <w:rsid w:val="00E5784D"/>
    <w:rsid w:val="00E57E69"/>
    <w:rsid w:val="00E61A6D"/>
    <w:rsid w:val="00E61EAA"/>
    <w:rsid w:val="00E61F87"/>
    <w:rsid w:val="00E62CFA"/>
    <w:rsid w:val="00E63AE0"/>
    <w:rsid w:val="00E64FC6"/>
    <w:rsid w:val="00E659D3"/>
    <w:rsid w:val="00E66088"/>
    <w:rsid w:val="00E66DCC"/>
    <w:rsid w:val="00E66E10"/>
    <w:rsid w:val="00E67336"/>
    <w:rsid w:val="00E706C7"/>
    <w:rsid w:val="00E71966"/>
    <w:rsid w:val="00E7246A"/>
    <w:rsid w:val="00E72774"/>
    <w:rsid w:val="00E72A79"/>
    <w:rsid w:val="00E72D3A"/>
    <w:rsid w:val="00E72EF7"/>
    <w:rsid w:val="00E749F5"/>
    <w:rsid w:val="00E74ADB"/>
    <w:rsid w:val="00E74FA4"/>
    <w:rsid w:val="00E74FDB"/>
    <w:rsid w:val="00E7522B"/>
    <w:rsid w:val="00E77521"/>
    <w:rsid w:val="00E80504"/>
    <w:rsid w:val="00E812F9"/>
    <w:rsid w:val="00E81330"/>
    <w:rsid w:val="00E8145C"/>
    <w:rsid w:val="00E81CE2"/>
    <w:rsid w:val="00E81F19"/>
    <w:rsid w:val="00E829DC"/>
    <w:rsid w:val="00E82DCB"/>
    <w:rsid w:val="00E84458"/>
    <w:rsid w:val="00E86340"/>
    <w:rsid w:val="00E864A2"/>
    <w:rsid w:val="00E86897"/>
    <w:rsid w:val="00E86E7D"/>
    <w:rsid w:val="00E86EC6"/>
    <w:rsid w:val="00E90038"/>
    <w:rsid w:val="00E9144E"/>
    <w:rsid w:val="00E91D9B"/>
    <w:rsid w:val="00E92008"/>
    <w:rsid w:val="00E92555"/>
    <w:rsid w:val="00E92B57"/>
    <w:rsid w:val="00E94AF6"/>
    <w:rsid w:val="00E9601A"/>
    <w:rsid w:val="00E966AE"/>
    <w:rsid w:val="00E96C36"/>
    <w:rsid w:val="00E97027"/>
    <w:rsid w:val="00E97CF2"/>
    <w:rsid w:val="00EA0689"/>
    <w:rsid w:val="00EA0B51"/>
    <w:rsid w:val="00EA1B39"/>
    <w:rsid w:val="00EA2469"/>
    <w:rsid w:val="00EA24DE"/>
    <w:rsid w:val="00EA29F5"/>
    <w:rsid w:val="00EA3603"/>
    <w:rsid w:val="00EA3836"/>
    <w:rsid w:val="00EA496E"/>
    <w:rsid w:val="00EA52AB"/>
    <w:rsid w:val="00EA5C2C"/>
    <w:rsid w:val="00EA5F3A"/>
    <w:rsid w:val="00EB014E"/>
    <w:rsid w:val="00EB10AE"/>
    <w:rsid w:val="00EB158E"/>
    <w:rsid w:val="00EB31C9"/>
    <w:rsid w:val="00EB32A1"/>
    <w:rsid w:val="00EB34E3"/>
    <w:rsid w:val="00EB3871"/>
    <w:rsid w:val="00EB4172"/>
    <w:rsid w:val="00EB43FC"/>
    <w:rsid w:val="00EB463E"/>
    <w:rsid w:val="00EB48E0"/>
    <w:rsid w:val="00EB506B"/>
    <w:rsid w:val="00EB600B"/>
    <w:rsid w:val="00EB69A0"/>
    <w:rsid w:val="00EB74AC"/>
    <w:rsid w:val="00EB7541"/>
    <w:rsid w:val="00EB7BD5"/>
    <w:rsid w:val="00EC0D0E"/>
    <w:rsid w:val="00EC1C15"/>
    <w:rsid w:val="00EC2E2D"/>
    <w:rsid w:val="00EC34E0"/>
    <w:rsid w:val="00EC372D"/>
    <w:rsid w:val="00EC38E4"/>
    <w:rsid w:val="00EC432C"/>
    <w:rsid w:val="00EC4F52"/>
    <w:rsid w:val="00EC4F6C"/>
    <w:rsid w:val="00EC5832"/>
    <w:rsid w:val="00EC6F96"/>
    <w:rsid w:val="00EC7728"/>
    <w:rsid w:val="00EC7973"/>
    <w:rsid w:val="00EC7D58"/>
    <w:rsid w:val="00ED02F8"/>
    <w:rsid w:val="00ED04FB"/>
    <w:rsid w:val="00ED263D"/>
    <w:rsid w:val="00ED3D1B"/>
    <w:rsid w:val="00ED3E3D"/>
    <w:rsid w:val="00ED4C51"/>
    <w:rsid w:val="00EE01D5"/>
    <w:rsid w:val="00EE048D"/>
    <w:rsid w:val="00EE176F"/>
    <w:rsid w:val="00EE1BA0"/>
    <w:rsid w:val="00EE340E"/>
    <w:rsid w:val="00EE42E0"/>
    <w:rsid w:val="00EE44D6"/>
    <w:rsid w:val="00EE4637"/>
    <w:rsid w:val="00EE4F75"/>
    <w:rsid w:val="00EE5240"/>
    <w:rsid w:val="00EE5975"/>
    <w:rsid w:val="00EE5F31"/>
    <w:rsid w:val="00EE6269"/>
    <w:rsid w:val="00EE6448"/>
    <w:rsid w:val="00EE6BA2"/>
    <w:rsid w:val="00EE70C6"/>
    <w:rsid w:val="00EE7DAC"/>
    <w:rsid w:val="00EF03D7"/>
    <w:rsid w:val="00EF1650"/>
    <w:rsid w:val="00EF2038"/>
    <w:rsid w:val="00EF37B9"/>
    <w:rsid w:val="00EF4657"/>
    <w:rsid w:val="00EF4780"/>
    <w:rsid w:val="00EF48F8"/>
    <w:rsid w:val="00EF4B00"/>
    <w:rsid w:val="00EF57F7"/>
    <w:rsid w:val="00F0012F"/>
    <w:rsid w:val="00F004DA"/>
    <w:rsid w:val="00F02788"/>
    <w:rsid w:val="00F04E4E"/>
    <w:rsid w:val="00F06C33"/>
    <w:rsid w:val="00F12015"/>
    <w:rsid w:val="00F13024"/>
    <w:rsid w:val="00F14122"/>
    <w:rsid w:val="00F14353"/>
    <w:rsid w:val="00F14D1E"/>
    <w:rsid w:val="00F151F4"/>
    <w:rsid w:val="00F159BD"/>
    <w:rsid w:val="00F15D7B"/>
    <w:rsid w:val="00F203C1"/>
    <w:rsid w:val="00F209E9"/>
    <w:rsid w:val="00F21556"/>
    <w:rsid w:val="00F2164F"/>
    <w:rsid w:val="00F21AAF"/>
    <w:rsid w:val="00F2254E"/>
    <w:rsid w:val="00F23C2B"/>
    <w:rsid w:val="00F23D0C"/>
    <w:rsid w:val="00F24370"/>
    <w:rsid w:val="00F25008"/>
    <w:rsid w:val="00F259BD"/>
    <w:rsid w:val="00F26179"/>
    <w:rsid w:val="00F26192"/>
    <w:rsid w:val="00F2656D"/>
    <w:rsid w:val="00F273BF"/>
    <w:rsid w:val="00F275DC"/>
    <w:rsid w:val="00F276C1"/>
    <w:rsid w:val="00F279CA"/>
    <w:rsid w:val="00F3024F"/>
    <w:rsid w:val="00F303E9"/>
    <w:rsid w:val="00F305C4"/>
    <w:rsid w:val="00F30734"/>
    <w:rsid w:val="00F31803"/>
    <w:rsid w:val="00F31CF8"/>
    <w:rsid w:val="00F327B0"/>
    <w:rsid w:val="00F32B9A"/>
    <w:rsid w:val="00F333CC"/>
    <w:rsid w:val="00F33835"/>
    <w:rsid w:val="00F33F43"/>
    <w:rsid w:val="00F3445D"/>
    <w:rsid w:val="00F351A1"/>
    <w:rsid w:val="00F377D9"/>
    <w:rsid w:val="00F37B52"/>
    <w:rsid w:val="00F37C3B"/>
    <w:rsid w:val="00F402E2"/>
    <w:rsid w:val="00F40958"/>
    <w:rsid w:val="00F40B44"/>
    <w:rsid w:val="00F41473"/>
    <w:rsid w:val="00F421C2"/>
    <w:rsid w:val="00F425F5"/>
    <w:rsid w:val="00F428AC"/>
    <w:rsid w:val="00F43449"/>
    <w:rsid w:val="00F45613"/>
    <w:rsid w:val="00F461BE"/>
    <w:rsid w:val="00F4636A"/>
    <w:rsid w:val="00F47533"/>
    <w:rsid w:val="00F476BA"/>
    <w:rsid w:val="00F47A4C"/>
    <w:rsid w:val="00F50951"/>
    <w:rsid w:val="00F509D0"/>
    <w:rsid w:val="00F50F08"/>
    <w:rsid w:val="00F51891"/>
    <w:rsid w:val="00F551F2"/>
    <w:rsid w:val="00F553B9"/>
    <w:rsid w:val="00F55658"/>
    <w:rsid w:val="00F55BCF"/>
    <w:rsid w:val="00F55BD0"/>
    <w:rsid w:val="00F5760C"/>
    <w:rsid w:val="00F5795D"/>
    <w:rsid w:val="00F57CE1"/>
    <w:rsid w:val="00F614E9"/>
    <w:rsid w:val="00F620F8"/>
    <w:rsid w:val="00F62D83"/>
    <w:rsid w:val="00F636CD"/>
    <w:rsid w:val="00F638FC"/>
    <w:rsid w:val="00F63FC5"/>
    <w:rsid w:val="00F64F34"/>
    <w:rsid w:val="00F65082"/>
    <w:rsid w:val="00F65523"/>
    <w:rsid w:val="00F65AC6"/>
    <w:rsid w:val="00F65C86"/>
    <w:rsid w:val="00F65D6B"/>
    <w:rsid w:val="00F6664D"/>
    <w:rsid w:val="00F66881"/>
    <w:rsid w:val="00F673B0"/>
    <w:rsid w:val="00F7154A"/>
    <w:rsid w:val="00F721A5"/>
    <w:rsid w:val="00F7337A"/>
    <w:rsid w:val="00F74DE5"/>
    <w:rsid w:val="00F761EC"/>
    <w:rsid w:val="00F772B8"/>
    <w:rsid w:val="00F8048F"/>
    <w:rsid w:val="00F80C51"/>
    <w:rsid w:val="00F8156C"/>
    <w:rsid w:val="00F81D3F"/>
    <w:rsid w:val="00F824C6"/>
    <w:rsid w:val="00F826E9"/>
    <w:rsid w:val="00F837B2"/>
    <w:rsid w:val="00F83A55"/>
    <w:rsid w:val="00F84258"/>
    <w:rsid w:val="00F87AD7"/>
    <w:rsid w:val="00F90C89"/>
    <w:rsid w:val="00F914D2"/>
    <w:rsid w:val="00F91ED9"/>
    <w:rsid w:val="00F924C2"/>
    <w:rsid w:val="00F931E2"/>
    <w:rsid w:val="00F945E2"/>
    <w:rsid w:val="00F969F0"/>
    <w:rsid w:val="00F96B0D"/>
    <w:rsid w:val="00F96B74"/>
    <w:rsid w:val="00F972F4"/>
    <w:rsid w:val="00FA36B1"/>
    <w:rsid w:val="00FA39C5"/>
    <w:rsid w:val="00FA3B4B"/>
    <w:rsid w:val="00FA511C"/>
    <w:rsid w:val="00FA5A13"/>
    <w:rsid w:val="00FA63AC"/>
    <w:rsid w:val="00FA6A38"/>
    <w:rsid w:val="00FA7E58"/>
    <w:rsid w:val="00FB142E"/>
    <w:rsid w:val="00FB2443"/>
    <w:rsid w:val="00FB32E4"/>
    <w:rsid w:val="00FB3980"/>
    <w:rsid w:val="00FB3AC5"/>
    <w:rsid w:val="00FB3DED"/>
    <w:rsid w:val="00FB448D"/>
    <w:rsid w:val="00FB4BD5"/>
    <w:rsid w:val="00FB4DFB"/>
    <w:rsid w:val="00FB4F46"/>
    <w:rsid w:val="00FB5AE2"/>
    <w:rsid w:val="00FB79D1"/>
    <w:rsid w:val="00FB7B43"/>
    <w:rsid w:val="00FC22A5"/>
    <w:rsid w:val="00FC279A"/>
    <w:rsid w:val="00FC2E05"/>
    <w:rsid w:val="00FC3584"/>
    <w:rsid w:val="00FC43AA"/>
    <w:rsid w:val="00FC44EF"/>
    <w:rsid w:val="00FC56A8"/>
    <w:rsid w:val="00FC61B2"/>
    <w:rsid w:val="00FC628A"/>
    <w:rsid w:val="00FC6638"/>
    <w:rsid w:val="00FC71B1"/>
    <w:rsid w:val="00FC746B"/>
    <w:rsid w:val="00FD1F8D"/>
    <w:rsid w:val="00FD231B"/>
    <w:rsid w:val="00FD2BFF"/>
    <w:rsid w:val="00FD37C8"/>
    <w:rsid w:val="00FD428B"/>
    <w:rsid w:val="00FD4AE4"/>
    <w:rsid w:val="00FD55D2"/>
    <w:rsid w:val="00FD5635"/>
    <w:rsid w:val="00FD5EE4"/>
    <w:rsid w:val="00FD619F"/>
    <w:rsid w:val="00FD6D7B"/>
    <w:rsid w:val="00FD6E0B"/>
    <w:rsid w:val="00FD7872"/>
    <w:rsid w:val="00FE16A6"/>
    <w:rsid w:val="00FE2792"/>
    <w:rsid w:val="00FE3058"/>
    <w:rsid w:val="00FE30E7"/>
    <w:rsid w:val="00FE4C22"/>
    <w:rsid w:val="00FE4DEF"/>
    <w:rsid w:val="00FE4EDA"/>
    <w:rsid w:val="00FE6472"/>
    <w:rsid w:val="00FE67CC"/>
    <w:rsid w:val="00FE6A25"/>
    <w:rsid w:val="00FE750E"/>
    <w:rsid w:val="00FF08BC"/>
    <w:rsid w:val="00FF17A7"/>
    <w:rsid w:val="00FF1ED6"/>
    <w:rsid w:val="00FF251E"/>
    <w:rsid w:val="00FF295D"/>
    <w:rsid w:val="00FF2E97"/>
    <w:rsid w:val="00FF35AD"/>
    <w:rsid w:val="00FF3F39"/>
    <w:rsid w:val="00FF4A2D"/>
    <w:rsid w:val="00FF4AAF"/>
    <w:rsid w:val="00FF4F57"/>
    <w:rsid w:val="00FF51F7"/>
    <w:rsid w:val="00FF53B8"/>
    <w:rsid w:val="00FF5AB4"/>
    <w:rsid w:val="00FF62E4"/>
    <w:rsid w:val="00FF65C5"/>
    <w:rsid w:val="00FF65E9"/>
    <w:rsid w:val="00FF6C9B"/>
    <w:rsid w:val="00FF746B"/>
    <w:rsid w:val="04A317DE"/>
    <w:rsid w:val="0AE15CCE"/>
    <w:rsid w:val="0CEE1737"/>
    <w:rsid w:val="0E0D6A06"/>
    <w:rsid w:val="105C3656"/>
    <w:rsid w:val="13BF14D8"/>
    <w:rsid w:val="14196978"/>
    <w:rsid w:val="1DA22EBD"/>
    <w:rsid w:val="29226266"/>
    <w:rsid w:val="2B697F4B"/>
    <w:rsid w:val="2BED2F51"/>
    <w:rsid w:val="2CBA64E4"/>
    <w:rsid w:val="2D452523"/>
    <w:rsid w:val="49830203"/>
    <w:rsid w:val="4E6D5A61"/>
    <w:rsid w:val="4F3836A6"/>
    <w:rsid w:val="52500FD5"/>
    <w:rsid w:val="53B31AE1"/>
    <w:rsid w:val="5F9240BB"/>
    <w:rsid w:val="606D50BA"/>
    <w:rsid w:val="63374248"/>
    <w:rsid w:val="66BD2892"/>
    <w:rsid w:val="68440BFC"/>
    <w:rsid w:val="6D8B6DD7"/>
    <w:rsid w:val="6DAA4022"/>
    <w:rsid w:val="72F759AB"/>
    <w:rsid w:val="75BB6864"/>
    <w:rsid w:val="79044D14"/>
    <w:rsid w:val="7A8D5ADD"/>
    <w:rsid w:val="7C1903CF"/>
    <w:rsid w:val="7F4F32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9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3"/>
    <w:next w:val="1"/>
    <w:link w:val="42"/>
    <w:qFormat/>
    <w:uiPriority w:val="9"/>
    <w:pPr>
      <w:numPr>
        <w:ilvl w:val="0"/>
        <w:numId w:val="1"/>
      </w:numPr>
      <w:snapToGrid w:val="0"/>
      <w:spacing w:before="200" w:after="400" w:line="596" w:lineRule="exact"/>
      <w:ind w:firstLine="0" w:firstLineChars="0"/>
      <w:jc w:val="center"/>
      <w:outlineLvl w:val="0"/>
    </w:pPr>
    <w:rPr>
      <w:rFonts w:ascii="方正小标宋简体" w:hAnsi="方正小标宋简体" w:eastAsia="方正小标宋简体" w:cs="Times New Roman"/>
      <w:bCs/>
      <w:sz w:val="36"/>
      <w:szCs w:val="36"/>
    </w:rPr>
  </w:style>
  <w:style w:type="paragraph" w:styleId="4">
    <w:name w:val="heading 2"/>
    <w:basedOn w:val="3"/>
    <w:next w:val="1"/>
    <w:link w:val="43"/>
    <w:unhideWhenUsed/>
    <w:qFormat/>
    <w:uiPriority w:val="9"/>
    <w:pPr>
      <w:numPr>
        <w:ilvl w:val="0"/>
        <w:numId w:val="2"/>
      </w:numPr>
      <w:snapToGrid w:val="0"/>
      <w:spacing w:before="200" w:after="200" w:line="600" w:lineRule="exact"/>
      <w:ind w:firstLine="0" w:firstLineChars="0"/>
      <w:jc w:val="center"/>
      <w:outlineLvl w:val="1"/>
    </w:pPr>
    <w:rPr>
      <w:rFonts w:ascii="黑体" w:hAnsi="黑体" w:eastAsia="黑体" w:cs="Times New Roman"/>
      <w:sz w:val="32"/>
      <w:szCs w:val="36"/>
    </w:rPr>
  </w:style>
  <w:style w:type="paragraph" w:styleId="5">
    <w:name w:val="heading 3"/>
    <w:basedOn w:val="3"/>
    <w:next w:val="1"/>
    <w:link w:val="41"/>
    <w:unhideWhenUsed/>
    <w:qFormat/>
    <w:uiPriority w:val="9"/>
    <w:pPr>
      <w:numPr>
        <w:ilvl w:val="0"/>
        <w:numId w:val="3"/>
      </w:numPr>
      <w:adjustRightInd w:val="0"/>
      <w:snapToGrid w:val="0"/>
      <w:spacing w:line="596" w:lineRule="exact"/>
      <w:ind w:left="0" w:firstLine="200"/>
      <w:jc w:val="left"/>
      <w:outlineLvl w:val="2"/>
    </w:pPr>
    <w:rPr>
      <w:rFonts w:ascii="Times New Roman" w:hAnsi="Times New Roman" w:eastAsia="楷体" w:cs="Times New Roman"/>
      <w:sz w:val="32"/>
      <w:szCs w:val="32"/>
    </w:rPr>
  </w:style>
  <w:style w:type="paragraph" w:styleId="6">
    <w:name w:val="heading 4"/>
    <w:basedOn w:val="1"/>
    <w:next w:val="1"/>
    <w:link w:val="44"/>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7">
    <w:name w:val="heading 5"/>
    <w:basedOn w:val="1"/>
    <w:next w:val="1"/>
    <w:link w:val="58"/>
    <w:semiHidden/>
    <w:unhideWhenUsed/>
    <w:qFormat/>
    <w:uiPriority w:val="9"/>
    <w:pPr>
      <w:keepNext/>
      <w:keepLines/>
      <w:spacing w:before="280" w:after="290" w:line="376" w:lineRule="auto"/>
      <w:outlineLvl w:val="4"/>
    </w:pPr>
    <w:rPr>
      <w:b/>
      <w:bCs/>
      <w:sz w:val="28"/>
      <w:szCs w:val="28"/>
    </w:rPr>
  </w:style>
  <w:style w:type="paragraph" w:styleId="8">
    <w:name w:val="heading 6"/>
    <w:basedOn w:val="1"/>
    <w:next w:val="1"/>
    <w:link w:val="89"/>
    <w:semiHidden/>
    <w:unhideWhenUsed/>
    <w:qFormat/>
    <w:uiPriority w:val="9"/>
    <w:pPr>
      <w:keepNext/>
      <w:keepLines/>
      <w:spacing w:before="40" w:line="278" w:lineRule="auto"/>
      <w:jc w:val="left"/>
      <w:outlineLvl w:val="5"/>
    </w:pPr>
    <w:rPr>
      <w:rFonts w:cstheme="majorBidi"/>
      <w:b/>
      <w:bCs/>
      <w:color w:val="376092" w:themeColor="accent1" w:themeShade="BF"/>
      <w:sz w:val="22"/>
      <w:szCs w:val="24"/>
      <w14:ligatures w14:val="standardContextual"/>
    </w:rPr>
  </w:style>
  <w:style w:type="paragraph" w:styleId="9">
    <w:name w:val="heading 7"/>
    <w:basedOn w:val="1"/>
    <w:next w:val="1"/>
    <w:link w:val="90"/>
    <w:semiHidden/>
    <w:unhideWhenUsed/>
    <w:qFormat/>
    <w:uiPriority w:val="9"/>
    <w:pPr>
      <w:keepNext/>
      <w:keepLines/>
      <w:spacing w:before="40" w:line="278" w:lineRule="auto"/>
      <w:jc w:val="left"/>
      <w:outlineLvl w:val="6"/>
    </w:pPr>
    <w:rPr>
      <w:rFonts w:cstheme="majorBidi"/>
      <w:b/>
      <w:bCs/>
      <w:color w:val="595959" w:themeColor="text1" w:themeTint="A6"/>
      <w:sz w:val="22"/>
      <w:szCs w:val="24"/>
      <w14:textFill>
        <w14:solidFill>
          <w14:schemeClr w14:val="tx1">
            <w14:lumMod w14:val="65000"/>
            <w14:lumOff w14:val="35000"/>
          </w14:schemeClr>
        </w14:solidFill>
      </w14:textFill>
      <w14:ligatures w14:val="standardContextual"/>
    </w:rPr>
  </w:style>
  <w:style w:type="paragraph" w:styleId="10">
    <w:name w:val="heading 8"/>
    <w:basedOn w:val="1"/>
    <w:next w:val="1"/>
    <w:link w:val="91"/>
    <w:semiHidden/>
    <w:unhideWhenUsed/>
    <w:qFormat/>
    <w:uiPriority w:val="9"/>
    <w:pPr>
      <w:keepNext/>
      <w:keepLines/>
      <w:spacing w:line="278" w:lineRule="auto"/>
      <w:jc w:val="left"/>
      <w:outlineLvl w:val="7"/>
    </w:pPr>
    <w:rPr>
      <w:rFonts w:cstheme="majorBidi"/>
      <w:color w:val="595959" w:themeColor="text1" w:themeTint="A6"/>
      <w:sz w:val="22"/>
      <w:szCs w:val="24"/>
      <w14:textFill>
        <w14:solidFill>
          <w14:schemeClr w14:val="tx1">
            <w14:lumMod w14:val="65000"/>
            <w14:lumOff w14:val="35000"/>
          </w14:schemeClr>
        </w14:solidFill>
      </w14:textFill>
      <w14:ligatures w14:val="standardContextual"/>
    </w:rPr>
  </w:style>
  <w:style w:type="paragraph" w:styleId="11">
    <w:name w:val="heading 9"/>
    <w:basedOn w:val="1"/>
    <w:next w:val="1"/>
    <w:link w:val="92"/>
    <w:semiHidden/>
    <w:unhideWhenUsed/>
    <w:qFormat/>
    <w:uiPriority w:val="9"/>
    <w:pPr>
      <w:keepNext/>
      <w:keepLines/>
      <w:spacing w:line="278" w:lineRule="auto"/>
      <w:jc w:val="left"/>
      <w:outlineLvl w:val="8"/>
    </w:pPr>
    <w:rPr>
      <w:rFonts w:eastAsiaTheme="majorEastAsia" w:cstheme="majorBidi"/>
      <w:color w:val="595959" w:themeColor="text1" w:themeTint="A6"/>
      <w:sz w:val="22"/>
      <w:szCs w:val="24"/>
      <w14:textFill>
        <w14:solidFill>
          <w14:schemeClr w14:val="tx1">
            <w14:lumMod w14:val="65000"/>
            <w14:lumOff w14:val="35000"/>
          </w14:schemeClr>
        </w14:solidFill>
      </w14:textFill>
      <w14:ligatures w14:val="standardContextual"/>
    </w:rPr>
  </w:style>
  <w:style w:type="character" w:default="1" w:styleId="34">
    <w:name w:val="Default Paragraph Font"/>
    <w:semiHidden/>
    <w:unhideWhenUsed/>
    <w:qFormat/>
    <w:uiPriority w:val="1"/>
  </w:style>
  <w:style w:type="table" w:default="1" w:styleId="39">
    <w:name w:val="Normal Table"/>
    <w:semiHidden/>
    <w:unhideWhenUsed/>
    <w:qFormat/>
    <w:uiPriority w:val="99"/>
    <w:tblPr>
      <w:tblLayout w:type="fixed"/>
      <w:tblCellMar>
        <w:top w:w="0" w:type="dxa"/>
        <w:left w:w="108" w:type="dxa"/>
        <w:bottom w:w="0" w:type="dxa"/>
        <w:right w:w="108" w:type="dxa"/>
      </w:tblCellMar>
    </w:tblPr>
  </w:style>
  <w:style w:type="paragraph" w:styleId="3">
    <w:name w:val="List Paragraph"/>
    <w:basedOn w:val="1"/>
    <w:qFormat/>
    <w:uiPriority w:val="34"/>
    <w:pPr>
      <w:ind w:firstLine="420" w:firstLineChars="200"/>
    </w:pPr>
  </w:style>
  <w:style w:type="paragraph" w:styleId="12">
    <w:name w:val="annotation subject"/>
    <w:basedOn w:val="13"/>
    <w:next w:val="13"/>
    <w:link w:val="65"/>
    <w:semiHidden/>
    <w:unhideWhenUsed/>
    <w:qFormat/>
    <w:uiPriority w:val="99"/>
    <w:rPr>
      <w:b/>
      <w:bCs/>
    </w:rPr>
  </w:style>
  <w:style w:type="paragraph" w:styleId="13">
    <w:name w:val="annotation text"/>
    <w:basedOn w:val="1"/>
    <w:link w:val="60"/>
    <w:unhideWhenUsed/>
    <w:qFormat/>
    <w:uiPriority w:val="99"/>
    <w:pPr>
      <w:jc w:val="left"/>
    </w:pPr>
  </w:style>
  <w:style w:type="paragraph" w:styleId="14">
    <w:name w:val="toc 7"/>
    <w:basedOn w:val="1"/>
    <w:next w:val="1"/>
    <w:unhideWhenUsed/>
    <w:qFormat/>
    <w:uiPriority w:val="39"/>
    <w:pPr>
      <w:ind w:left="2520" w:leftChars="1200"/>
    </w:pPr>
  </w:style>
  <w:style w:type="paragraph" w:styleId="15">
    <w:name w:val="Body Text First Indent"/>
    <w:basedOn w:val="16"/>
    <w:link w:val="53"/>
    <w:qFormat/>
    <w:uiPriority w:val="0"/>
    <w:pPr>
      <w:spacing w:after="0" w:line="560" w:lineRule="exact"/>
      <w:ind w:firstLine="200" w:firstLineChars="200"/>
    </w:pPr>
    <w:rPr>
      <w:rFonts w:ascii="Times New Roman" w:hAnsi="Times New Roman" w:eastAsia="仿宋" w:cs="Times New Roman"/>
      <w:sz w:val="32"/>
      <w:szCs w:val="20"/>
    </w:rPr>
  </w:style>
  <w:style w:type="paragraph" w:styleId="16">
    <w:name w:val="Body Text"/>
    <w:basedOn w:val="1"/>
    <w:link w:val="52"/>
    <w:semiHidden/>
    <w:unhideWhenUsed/>
    <w:qFormat/>
    <w:uiPriority w:val="99"/>
    <w:pPr>
      <w:spacing w:after="120"/>
    </w:pPr>
  </w:style>
  <w:style w:type="paragraph" w:styleId="17">
    <w:name w:val="Normal Indent"/>
    <w:basedOn w:val="1"/>
    <w:qFormat/>
    <w:uiPriority w:val="0"/>
    <w:pPr>
      <w:spacing w:line="596" w:lineRule="exact"/>
      <w:ind w:firstLine="640" w:firstLineChars="200"/>
    </w:pPr>
    <w:rPr>
      <w:rFonts w:ascii="Times New Roman" w:hAnsi="Times New Roman" w:eastAsia="仿宋_GB2312" w:cs="Times New Roman"/>
      <w:sz w:val="32"/>
      <w:szCs w:val="32"/>
    </w:rPr>
  </w:style>
  <w:style w:type="paragraph" w:styleId="18">
    <w:name w:val="caption"/>
    <w:basedOn w:val="1"/>
    <w:next w:val="1"/>
    <w:link w:val="86"/>
    <w:unhideWhenUsed/>
    <w:qFormat/>
    <w:uiPriority w:val="35"/>
    <w:rPr>
      <w:rFonts w:eastAsia="黑体" w:asciiTheme="majorHAnsi" w:hAnsiTheme="majorHAnsi" w:cstheme="majorBidi"/>
      <w:sz w:val="20"/>
      <w:szCs w:val="20"/>
    </w:rPr>
  </w:style>
  <w:style w:type="paragraph" w:styleId="19">
    <w:name w:val="toc 5"/>
    <w:basedOn w:val="1"/>
    <w:next w:val="1"/>
    <w:unhideWhenUsed/>
    <w:qFormat/>
    <w:uiPriority w:val="39"/>
    <w:pPr>
      <w:ind w:left="1680" w:leftChars="800"/>
    </w:pPr>
  </w:style>
  <w:style w:type="paragraph" w:styleId="20">
    <w:name w:val="toc 3"/>
    <w:basedOn w:val="1"/>
    <w:next w:val="1"/>
    <w:unhideWhenUsed/>
    <w:qFormat/>
    <w:uiPriority w:val="39"/>
    <w:pPr>
      <w:ind w:left="840" w:leftChars="400"/>
    </w:pPr>
  </w:style>
  <w:style w:type="paragraph" w:styleId="21">
    <w:name w:val="toc 8"/>
    <w:basedOn w:val="1"/>
    <w:next w:val="1"/>
    <w:unhideWhenUsed/>
    <w:qFormat/>
    <w:uiPriority w:val="39"/>
    <w:pPr>
      <w:ind w:left="2940" w:leftChars="1400"/>
    </w:pPr>
  </w:style>
  <w:style w:type="paragraph" w:styleId="22">
    <w:name w:val="Date"/>
    <w:basedOn w:val="1"/>
    <w:next w:val="1"/>
    <w:link w:val="80"/>
    <w:semiHidden/>
    <w:unhideWhenUsed/>
    <w:qFormat/>
    <w:uiPriority w:val="99"/>
    <w:pPr>
      <w:ind w:left="100" w:leftChars="2500"/>
    </w:pPr>
  </w:style>
  <w:style w:type="paragraph" w:styleId="23">
    <w:name w:val="Balloon Text"/>
    <w:basedOn w:val="1"/>
    <w:link w:val="49"/>
    <w:semiHidden/>
    <w:unhideWhenUsed/>
    <w:qFormat/>
    <w:uiPriority w:val="99"/>
    <w:rPr>
      <w:sz w:val="18"/>
      <w:szCs w:val="18"/>
    </w:rPr>
  </w:style>
  <w:style w:type="paragraph" w:styleId="24">
    <w:name w:val="footer"/>
    <w:basedOn w:val="1"/>
    <w:link w:val="46"/>
    <w:unhideWhenUsed/>
    <w:qFormat/>
    <w:uiPriority w:val="99"/>
    <w:pPr>
      <w:tabs>
        <w:tab w:val="center" w:pos="4153"/>
        <w:tab w:val="right" w:pos="8306"/>
      </w:tabs>
      <w:snapToGrid w:val="0"/>
      <w:jc w:val="left"/>
    </w:pPr>
    <w:rPr>
      <w:sz w:val="18"/>
      <w:szCs w:val="18"/>
    </w:rPr>
  </w:style>
  <w:style w:type="paragraph" w:styleId="25">
    <w:name w:val="header"/>
    <w:basedOn w:val="1"/>
    <w:link w:val="45"/>
    <w:unhideWhenUsed/>
    <w:qFormat/>
    <w:uiPriority w:val="99"/>
    <w:pPr>
      <w:pBdr>
        <w:bottom w:val="single" w:color="auto" w:sz="6" w:space="1"/>
      </w:pBdr>
      <w:tabs>
        <w:tab w:val="center" w:pos="4153"/>
        <w:tab w:val="right" w:pos="8306"/>
      </w:tabs>
      <w:snapToGrid w:val="0"/>
      <w:jc w:val="center"/>
    </w:pPr>
    <w:rPr>
      <w:sz w:val="18"/>
      <w:szCs w:val="18"/>
    </w:rPr>
  </w:style>
  <w:style w:type="paragraph" w:styleId="26">
    <w:name w:val="toc 1"/>
    <w:basedOn w:val="1"/>
    <w:next w:val="1"/>
    <w:unhideWhenUsed/>
    <w:qFormat/>
    <w:uiPriority w:val="39"/>
    <w:pPr>
      <w:tabs>
        <w:tab w:val="right" w:leader="dot" w:pos="8302"/>
      </w:tabs>
      <w:spacing w:line="596" w:lineRule="exact"/>
      <w:ind w:left="1120" w:hanging="1120" w:hangingChars="350"/>
    </w:pPr>
    <w:rPr>
      <w:rFonts w:ascii="Times New Roman" w:hAnsi="Times New Roman" w:eastAsia="楷体"/>
      <w:sz w:val="32"/>
    </w:rPr>
  </w:style>
  <w:style w:type="paragraph" w:styleId="27">
    <w:name w:val="toc 4"/>
    <w:basedOn w:val="1"/>
    <w:next w:val="1"/>
    <w:unhideWhenUsed/>
    <w:qFormat/>
    <w:uiPriority w:val="39"/>
    <w:pPr>
      <w:ind w:left="1260" w:leftChars="600"/>
    </w:pPr>
  </w:style>
  <w:style w:type="paragraph" w:styleId="28">
    <w:name w:val="Subtitle"/>
    <w:basedOn w:val="1"/>
    <w:next w:val="1"/>
    <w:link w:val="94"/>
    <w:qFormat/>
    <w:uiPriority w:val="11"/>
    <w:pPr>
      <w:spacing w:after="160" w:line="278" w:lineRule="auto"/>
      <w:jc w:val="center"/>
    </w:pPr>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14:ligatures w14:val="standardContextual"/>
    </w:rPr>
  </w:style>
  <w:style w:type="paragraph" w:styleId="29">
    <w:name w:val="toc 6"/>
    <w:basedOn w:val="1"/>
    <w:next w:val="1"/>
    <w:unhideWhenUsed/>
    <w:qFormat/>
    <w:uiPriority w:val="39"/>
    <w:pPr>
      <w:ind w:left="2100" w:leftChars="1000"/>
    </w:pPr>
  </w:style>
  <w:style w:type="paragraph" w:styleId="30">
    <w:name w:val="toc 2"/>
    <w:basedOn w:val="1"/>
    <w:next w:val="1"/>
    <w:unhideWhenUsed/>
    <w:qFormat/>
    <w:uiPriority w:val="39"/>
    <w:pPr>
      <w:tabs>
        <w:tab w:val="left" w:pos="1680"/>
        <w:tab w:val="right" w:leader="dot" w:pos="8302"/>
      </w:tabs>
      <w:spacing w:line="596" w:lineRule="exact"/>
      <w:ind w:left="1750" w:leftChars="300" w:hanging="1120" w:hangingChars="350"/>
    </w:pPr>
  </w:style>
  <w:style w:type="paragraph" w:styleId="31">
    <w:name w:val="toc 9"/>
    <w:basedOn w:val="1"/>
    <w:next w:val="1"/>
    <w:unhideWhenUsed/>
    <w:qFormat/>
    <w:uiPriority w:val="39"/>
    <w:pPr>
      <w:ind w:left="3360" w:leftChars="1600"/>
    </w:pPr>
  </w:style>
  <w:style w:type="paragraph" w:styleId="32">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33">
    <w:name w:val="Title"/>
    <w:basedOn w:val="1"/>
    <w:next w:val="1"/>
    <w:link w:val="93"/>
    <w:qFormat/>
    <w:uiPriority w:val="10"/>
    <w:pPr>
      <w:spacing w:after="80"/>
      <w:contextualSpacing/>
      <w:jc w:val="center"/>
    </w:pPr>
    <w:rPr>
      <w:rFonts w:asciiTheme="majorHAnsi" w:hAnsiTheme="majorHAnsi" w:eastAsiaTheme="majorEastAsia" w:cstheme="majorBidi"/>
      <w:spacing w:val="-10"/>
      <w:kern w:val="28"/>
      <w:sz w:val="56"/>
      <w:szCs w:val="56"/>
      <w14:ligatures w14:val="standardContextual"/>
    </w:rPr>
  </w:style>
  <w:style w:type="character" w:styleId="35">
    <w:name w:val="Strong"/>
    <w:basedOn w:val="34"/>
    <w:qFormat/>
    <w:uiPriority w:val="22"/>
    <w:rPr>
      <w:b/>
      <w:bCs/>
    </w:rPr>
  </w:style>
  <w:style w:type="character" w:styleId="36">
    <w:name w:val="FollowedHyperlink"/>
    <w:basedOn w:val="34"/>
    <w:semiHidden/>
    <w:unhideWhenUsed/>
    <w:qFormat/>
    <w:uiPriority w:val="99"/>
    <w:rPr>
      <w:color w:val="800080" w:themeColor="followedHyperlink"/>
      <w:u w:val="single"/>
      <w14:textFill>
        <w14:solidFill>
          <w14:schemeClr w14:val="folHlink"/>
        </w14:solidFill>
      </w14:textFill>
    </w:rPr>
  </w:style>
  <w:style w:type="character" w:styleId="37">
    <w:name w:val="Hyperlink"/>
    <w:basedOn w:val="34"/>
    <w:unhideWhenUsed/>
    <w:qFormat/>
    <w:uiPriority w:val="99"/>
    <w:rPr>
      <w:color w:val="0000FF" w:themeColor="hyperlink"/>
      <w:u w:val="single"/>
      <w14:textFill>
        <w14:solidFill>
          <w14:schemeClr w14:val="hlink"/>
        </w14:solidFill>
      </w14:textFill>
    </w:rPr>
  </w:style>
  <w:style w:type="character" w:styleId="38">
    <w:name w:val="annotation reference"/>
    <w:basedOn w:val="34"/>
    <w:semiHidden/>
    <w:unhideWhenUsed/>
    <w:qFormat/>
    <w:uiPriority w:val="99"/>
    <w:rPr>
      <w:sz w:val="21"/>
      <w:szCs w:val="21"/>
    </w:rPr>
  </w:style>
  <w:style w:type="table" w:styleId="40">
    <w:name w:val="Table Grid"/>
    <w:basedOn w:val="39"/>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41">
    <w:name w:val="标题 3 字符"/>
    <w:basedOn w:val="34"/>
    <w:link w:val="5"/>
    <w:qFormat/>
    <w:uiPriority w:val="9"/>
    <w:rPr>
      <w:rFonts w:ascii="Times New Roman" w:hAnsi="Times New Roman" w:eastAsia="楷体" w:cs="Times New Roman"/>
      <w:kern w:val="2"/>
      <w:sz w:val="32"/>
      <w:szCs w:val="32"/>
    </w:rPr>
  </w:style>
  <w:style w:type="character" w:customStyle="1" w:styleId="42">
    <w:name w:val="标题 1 字符"/>
    <w:basedOn w:val="34"/>
    <w:link w:val="2"/>
    <w:qFormat/>
    <w:uiPriority w:val="9"/>
    <w:rPr>
      <w:rFonts w:ascii="方正小标宋简体" w:hAnsi="方正小标宋简体" w:eastAsia="方正小标宋简体" w:cs="Times New Roman"/>
      <w:bCs/>
      <w:kern w:val="2"/>
      <w:sz w:val="36"/>
      <w:szCs w:val="36"/>
    </w:rPr>
  </w:style>
  <w:style w:type="character" w:customStyle="1" w:styleId="43">
    <w:name w:val="标题 2 字符"/>
    <w:basedOn w:val="34"/>
    <w:link w:val="4"/>
    <w:qFormat/>
    <w:uiPriority w:val="9"/>
    <w:rPr>
      <w:rFonts w:ascii="黑体" w:hAnsi="黑体" w:eastAsia="黑体" w:cs="Times New Roman"/>
      <w:kern w:val="2"/>
      <w:sz w:val="32"/>
      <w:szCs w:val="36"/>
    </w:rPr>
  </w:style>
  <w:style w:type="character" w:customStyle="1" w:styleId="44">
    <w:name w:val="标题 4 字符"/>
    <w:basedOn w:val="34"/>
    <w:link w:val="6"/>
    <w:qFormat/>
    <w:uiPriority w:val="9"/>
    <w:rPr>
      <w:rFonts w:asciiTheme="majorHAnsi" w:hAnsiTheme="majorHAnsi" w:eastAsiaTheme="majorEastAsia" w:cstheme="majorBidi"/>
      <w:b/>
      <w:bCs/>
      <w:sz w:val="28"/>
      <w:szCs w:val="28"/>
    </w:rPr>
  </w:style>
  <w:style w:type="character" w:customStyle="1" w:styleId="45">
    <w:name w:val="页眉 字符"/>
    <w:basedOn w:val="34"/>
    <w:link w:val="25"/>
    <w:qFormat/>
    <w:uiPriority w:val="99"/>
    <w:rPr>
      <w:sz w:val="18"/>
      <w:szCs w:val="18"/>
    </w:rPr>
  </w:style>
  <w:style w:type="character" w:customStyle="1" w:styleId="46">
    <w:name w:val="页脚 字符"/>
    <w:basedOn w:val="34"/>
    <w:link w:val="24"/>
    <w:qFormat/>
    <w:uiPriority w:val="99"/>
    <w:rPr>
      <w:sz w:val="18"/>
      <w:szCs w:val="18"/>
    </w:rPr>
  </w:style>
  <w:style w:type="paragraph" w:customStyle="1" w:styleId="47">
    <w:name w:val="正文！！！"/>
    <w:basedOn w:val="1"/>
    <w:qFormat/>
    <w:uiPriority w:val="0"/>
    <w:pPr>
      <w:spacing w:line="560" w:lineRule="exact"/>
      <w:ind w:firstLine="640" w:firstLineChars="200"/>
    </w:pPr>
    <w:rPr>
      <w:rFonts w:ascii="Times New Roman" w:hAnsi="Times New Roman" w:eastAsia="仿宋_GB2312" w:cs="Times New Roman"/>
      <w:sz w:val="32"/>
      <w:szCs w:val="32"/>
    </w:rPr>
  </w:style>
  <w:style w:type="paragraph" w:customStyle="1" w:styleId="48">
    <w:name w:val="表名样式！！"/>
    <w:basedOn w:val="18"/>
    <w:qFormat/>
    <w:uiPriority w:val="0"/>
    <w:pPr>
      <w:keepNext/>
      <w:spacing w:before="156" w:beforeLines="50" w:after="156" w:afterLines="50" w:line="560" w:lineRule="exact"/>
      <w:jc w:val="center"/>
    </w:pPr>
    <w:rPr>
      <w:rFonts w:ascii="黑体" w:hAnsi="黑体" w:eastAsia="微软雅黑"/>
      <w:b/>
      <w:sz w:val="28"/>
    </w:rPr>
  </w:style>
  <w:style w:type="character" w:customStyle="1" w:styleId="49">
    <w:name w:val="批注框文本 字符"/>
    <w:basedOn w:val="34"/>
    <w:link w:val="23"/>
    <w:semiHidden/>
    <w:qFormat/>
    <w:uiPriority w:val="99"/>
    <w:rPr>
      <w:sz w:val="18"/>
      <w:szCs w:val="18"/>
    </w:rPr>
  </w:style>
  <w:style w:type="paragraph" w:customStyle="1" w:styleId="50">
    <w:name w:val="TOC 标题1"/>
    <w:basedOn w:val="2"/>
    <w:next w:val="1"/>
    <w:unhideWhenUsed/>
    <w:qFormat/>
    <w:uiPriority w:val="39"/>
    <w:pPr>
      <w:keepNext/>
      <w:keepLines/>
      <w:widowControl/>
      <w:snapToGrid/>
      <w:spacing w:before="240" w:after="0" w:line="259" w:lineRule="auto"/>
      <w:outlineLvl w:val="9"/>
    </w:pPr>
    <w:rPr>
      <w:rFonts w:asciiTheme="majorHAnsi" w:hAnsiTheme="majorHAnsi" w:eastAsiaTheme="majorEastAsia" w:cstheme="majorBidi"/>
      <w:color w:val="376092" w:themeColor="accent1" w:themeShade="BF"/>
      <w:kern w:val="0"/>
      <w:sz w:val="32"/>
      <w:szCs w:val="32"/>
    </w:rPr>
  </w:style>
  <w:style w:type="character" w:customStyle="1" w:styleId="51">
    <w:name w:val="未处理的提及1"/>
    <w:basedOn w:val="34"/>
    <w:semiHidden/>
    <w:unhideWhenUsed/>
    <w:qFormat/>
    <w:uiPriority w:val="99"/>
    <w:rPr>
      <w:color w:val="605E5C"/>
      <w:shd w:val="clear" w:color="auto" w:fill="E1DFDD"/>
    </w:rPr>
  </w:style>
  <w:style w:type="character" w:customStyle="1" w:styleId="52">
    <w:name w:val="正文文本 字符"/>
    <w:basedOn w:val="34"/>
    <w:link w:val="16"/>
    <w:semiHidden/>
    <w:qFormat/>
    <w:uiPriority w:val="99"/>
  </w:style>
  <w:style w:type="character" w:customStyle="1" w:styleId="53">
    <w:name w:val="正文文本首行缩进 字符"/>
    <w:basedOn w:val="52"/>
    <w:link w:val="15"/>
    <w:qFormat/>
    <w:uiPriority w:val="0"/>
    <w:rPr>
      <w:rFonts w:ascii="Times New Roman" w:hAnsi="Times New Roman" w:eastAsia="仿宋" w:cs="Times New Roman"/>
      <w:kern w:val="2"/>
      <w:sz w:val="32"/>
    </w:rPr>
  </w:style>
  <w:style w:type="paragraph" w:customStyle="1" w:styleId="54">
    <w:name w:val="规划正文"/>
    <w:basedOn w:val="1"/>
    <w:qFormat/>
    <w:uiPriority w:val="0"/>
    <w:pPr>
      <w:spacing w:line="590" w:lineRule="exact"/>
      <w:ind w:firstLine="200" w:firstLineChars="200"/>
    </w:pPr>
    <w:rPr>
      <w:rFonts w:ascii="仿宋_GB2312" w:eastAsia="仿宋_GB2312"/>
      <w:spacing w:val="-4"/>
      <w:sz w:val="28"/>
    </w:rPr>
  </w:style>
  <w:style w:type="paragraph" w:customStyle="1" w:styleId="55">
    <w:name w:val="！！正文"/>
    <w:basedOn w:val="1"/>
    <w:qFormat/>
    <w:uiPriority w:val="0"/>
    <w:pPr>
      <w:snapToGrid w:val="0"/>
      <w:spacing w:line="360" w:lineRule="auto"/>
    </w:pPr>
    <w:rPr>
      <w:rFonts w:ascii="Times New Roman" w:hAnsi="Times New Roman" w:eastAsia="仿宋" w:cs="Times New Roman"/>
      <w:color w:val="000000"/>
      <w:szCs w:val="21"/>
    </w:rPr>
  </w:style>
  <w:style w:type="paragraph" w:customStyle="1" w:styleId="56">
    <w:name w:val="小节标题"/>
    <w:basedOn w:val="54"/>
    <w:next w:val="54"/>
    <w:qFormat/>
    <w:uiPriority w:val="0"/>
    <w:pPr>
      <w:numPr>
        <w:ilvl w:val="0"/>
        <w:numId w:val="4"/>
      </w:numPr>
      <w:ind w:firstLine="0" w:firstLineChars="0"/>
      <w:outlineLvl w:val="3"/>
    </w:pPr>
    <w:rPr>
      <w:b/>
      <w:szCs w:val="28"/>
    </w:rPr>
  </w:style>
  <w:style w:type="paragraph" w:customStyle="1" w:styleId="57">
    <w:name w:val="Default"/>
    <w:qFormat/>
    <w:uiPriority w:val="0"/>
    <w:pPr>
      <w:widowControl w:val="0"/>
      <w:autoSpaceDE w:val="0"/>
      <w:autoSpaceDN w:val="0"/>
      <w:adjustRightInd w:val="0"/>
    </w:pPr>
    <w:rPr>
      <w:rFonts w:ascii="仿宋" w:eastAsia="仿宋" w:cs="仿宋" w:hAnsiTheme="minorHAnsi"/>
      <w:color w:val="000000"/>
      <w:sz w:val="24"/>
      <w:szCs w:val="24"/>
      <w:lang w:val="en-US" w:eastAsia="zh-CN" w:bidi="ar-SA"/>
    </w:rPr>
  </w:style>
  <w:style w:type="character" w:customStyle="1" w:styleId="58">
    <w:name w:val="标题 5 字符"/>
    <w:basedOn w:val="34"/>
    <w:link w:val="7"/>
    <w:semiHidden/>
    <w:qFormat/>
    <w:uiPriority w:val="9"/>
    <w:rPr>
      <w:b/>
      <w:bCs/>
      <w:sz w:val="28"/>
      <w:szCs w:val="28"/>
    </w:rPr>
  </w:style>
  <w:style w:type="paragraph" w:customStyle="1" w:styleId="59">
    <w:name w:val="正文111111"/>
    <w:basedOn w:val="1"/>
    <w:qFormat/>
    <w:uiPriority w:val="0"/>
    <w:pPr>
      <w:spacing w:line="360" w:lineRule="auto"/>
      <w:ind w:firstLine="480" w:firstLineChars="200"/>
    </w:pPr>
    <w:rPr>
      <w:rFonts w:asciiTheme="minorEastAsia" w:hAnsiTheme="minorEastAsia"/>
      <w:sz w:val="24"/>
      <w:szCs w:val="24"/>
    </w:rPr>
  </w:style>
  <w:style w:type="character" w:customStyle="1" w:styleId="60">
    <w:name w:val="批注文字 字符"/>
    <w:basedOn w:val="34"/>
    <w:link w:val="13"/>
    <w:qFormat/>
    <w:uiPriority w:val="99"/>
  </w:style>
  <w:style w:type="character" w:customStyle="1" w:styleId="61">
    <w:name w:val="正文1 Char"/>
    <w:link w:val="62"/>
    <w:qFormat/>
    <w:uiPriority w:val="0"/>
    <w:rPr>
      <w:rFonts w:ascii="Times New Roman" w:hAnsi="Times New Roman" w:eastAsia="仿宋_GB2312" w:cs="Times New Roman"/>
      <w:sz w:val="30"/>
      <w:szCs w:val="30"/>
    </w:rPr>
  </w:style>
  <w:style w:type="paragraph" w:customStyle="1" w:styleId="62">
    <w:name w:val="正文1"/>
    <w:basedOn w:val="1"/>
    <w:link w:val="61"/>
    <w:qFormat/>
    <w:uiPriority w:val="0"/>
    <w:pPr>
      <w:widowControl/>
      <w:ind w:firstLine="600"/>
      <w:jc w:val="left"/>
    </w:pPr>
    <w:rPr>
      <w:rFonts w:ascii="Times New Roman" w:hAnsi="Times New Roman" w:eastAsia="仿宋_GB2312" w:cs="Times New Roman"/>
      <w:sz w:val="30"/>
      <w:szCs w:val="30"/>
    </w:rPr>
  </w:style>
  <w:style w:type="paragraph" w:customStyle="1" w:styleId="63">
    <w:name w:val="铝土矿正文"/>
    <w:basedOn w:val="1"/>
    <w:qFormat/>
    <w:uiPriority w:val="0"/>
    <w:pPr>
      <w:ind w:firstLine="480" w:firstLineChars="200"/>
    </w:pPr>
    <w:rPr>
      <w:rFonts w:ascii="仿宋_GB2312" w:hAnsi="Times New Roman" w:eastAsia="仿宋_GB2312" w:cs="Times New Roman"/>
      <w:kern w:val="0"/>
      <w:sz w:val="24"/>
      <w:szCs w:val="20"/>
    </w:rPr>
  </w:style>
  <w:style w:type="character" w:customStyle="1" w:styleId="64">
    <w:name w:val="leaidx"/>
    <w:basedOn w:val="34"/>
    <w:qFormat/>
    <w:uiPriority w:val="0"/>
  </w:style>
  <w:style w:type="character" w:customStyle="1" w:styleId="65">
    <w:name w:val="批注主题 字符"/>
    <w:basedOn w:val="60"/>
    <w:link w:val="12"/>
    <w:semiHidden/>
    <w:qFormat/>
    <w:uiPriority w:val="99"/>
    <w:rPr>
      <w:b/>
      <w:bCs/>
    </w:rPr>
  </w:style>
  <w:style w:type="character" w:customStyle="1" w:styleId="66">
    <w:name w:val="bjh-p"/>
    <w:basedOn w:val="34"/>
    <w:qFormat/>
    <w:uiPriority w:val="0"/>
  </w:style>
  <w:style w:type="character" w:customStyle="1" w:styleId="67">
    <w:name w:val="fontstyle01"/>
    <w:basedOn w:val="34"/>
    <w:qFormat/>
    <w:uiPriority w:val="0"/>
    <w:rPr>
      <w:rFonts w:hint="eastAsia" w:ascii="仿宋" w:hAnsi="仿宋" w:eastAsia="仿宋"/>
      <w:color w:val="000000"/>
      <w:sz w:val="30"/>
      <w:szCs w:val="30"/>
    </w:rPr>
  </w:style>
  <w:style w:type="paragraph" w:customStyle="1" w:styleId="68">
    <w:name w:val="nj正文"/>
    <w:basedOn w:val="62"/>
    <w:link w:val="69"/>
    <w:qFormat/>
    <w:uiPriority w:val="0"/>
    <w:pPr>
      <w:spacing w:line="360" w:lineRule="auto"/>
      <w:ind w:firstLine="560" w:firstLineChars="200"/>
    </w:pPr>
    <w:rPr>
      <w:rFonts w:ascii="宋体" w:eastAsia="宋体" w:hAnsiTheme="minorHAnsi" w:cstheme="minorBidi"/>
      <w:color w:val="000000" w:themeColor="text1"/>
      <w:kern w:val="0"/>
      <w:sz w:val="28"/>
      <w:szCs w:val="22"/>
      <w14:textFill>
        <w14:solidFill>
          <w14:schemeClr w14:val="tx1"/>
        </w14:solidFill>
      </w14:textFill>
    </w:rPr>
  </w:style>
  <w:style w:type="character" w:customStyle="1" w:styleId="69">
    <w:name w:val="nj正文 字符"/>
    <w:basedOn w:val="34"/>
    <w:link w:val="68"/>
    <w:qFormat/>
    <w:uiPriority w:val="0"/>
    <w:rPr>
      <w:rFonts w:ascii="宋体" w:eastAsia="宋体"/>
      <w:color w:val="000000" w:themeColor="text1"/>
      <w:kern w:val="0"/>
      <w:sz w:val="28"/>
      <w14:textFill>
        <w14:solidFill>
          <w14:schemeClr w14:val="tx1"/>
        </w14:solidFill>
      </w14:textFill>
    </w:rPr>
  </w:style>
  <w:style w:type="paragraph" w:customStyle="1" w:styleId="70">
    <w:name w:val="图表 名"/>
    <w:basedOn w:val="18"/>
    <w:qFormat/>
    <w:uiPriority w:val="0"/>
    <w:pPr>
      <w:adjustRightInd w:val="0"/>
      <w:snapToGrid w:val="0"/>
      <w:spacing w:before="40" w:after="40"/>
      <w:jc w:val="center"/>
    </w:pPr>
    <w:rPr>
      <w:rFonts w:eastAsia="华文楷体"/>
      <w:kern w:val="0"/>
      <w:sz w:val="24"/>
    </w:rPr>
  </w:style>
  <w:style w:type="paragraph" w:customStyle="1" w:styleId="71">
    <w:name w:val="修订1"/>
    <w:hidden/>
    <w:semiHidden/>
    <w:qFormat/>
    <w:uiPriority w:val="99"/>
    <w:rPr>
      <w:rFonts w:asciiTheme="minorHAnsi" w:hAnsiTheme="minorHAnsi" w:eastAsiaTheme="minorEastAsia" w:cstheme="minorBidi"/>
      <w:kern w:val="2"/>
      <w:sz w:val="21"/>
      <w:szCs w:val="22"/>
      <w:lang w:val="en-US" w:eastAsia="zh-CN" w:bidi="ar-SA"/>
    </w:rPr>
  </w:style>
  <w:style w:type="paragraph" w:styleId="72">
    <w:name w:val="No Spacing"/>
    <w:qFormat/>
    <w:uiPriority w:val="1"/>
    <w:pPr>
      <w:widowControl w:val="0"/>
      <w:spacing w:line="360" w:lineRule="auto"/>
      <w:ind w:firstLine="200" w:firstLineChars="200"/>
      <w:jc w:val="both"/>
    </w:pPr>
    <w:rPr>
      <w:rFonts w:asciiTheme="minorHAnsi" w:hAnsiTheme="minorHAnsi" w:eastAsiaTheme="minorEastAsia" w:cstheme="minorBidi"/>
      <w:kern w:val="2"/>
      <w:sz w:val="24"/>
      <w:szCs w:val="22"/>
      <w:lang w:val="en-US" w:eastAsia="zh-CN" w:bidi="ar-SA"/>
    </w:rPr>
  </w:style>
  <w:style w:type="table" w:customStyle="1" w:styleId="73">
    <w:name w:val="网格型11"/>
    <w:basedOn w:val="39"/>
    <w:qFormat/>
    <w:uiPriority w:val="0"/>
    <w:pPr>
      <w:widowControl w:val="0"/>
      <w:adjustRightInd w:val="0"/>
      <w:spacing w:line="420" w:lineRule="atLeast"/>
      <w:ind w:firstLine="522"/>
      <w:textAlignment w:val="baseline"/>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74">
    <w:name w:val="样式 样式 正文新乡 + 首行缩进:  1 字符 + 两端对齐 首行缩进:  2 字符"/>
    <w:basedOn w:val="1"/>
    <w:qFormat/>
    <w:uiPriority w:val="0"/>
    <w:pPr>
      <w:spacing w:line="312" w:lineRule="auto"/>
      <w:ind w:firstLine="200" w:firstLineChars="200"/>
    </w:pPr>
    <w:rPr>
      <w:rFonts w:ascii="Times New Roman" w:hAnsi="Times New Roman" w:eastAsia="宋体" w:cs="宋体"/>
      <w:kern w:val="0"/>
      <w:sz w:val="24"/>
      <w:szCs w:val="20"/>
    </w:rPr>
  </w:style>
  <w:style w:type="character" w:customStyle="1" w:styleId="75">
    <w:name w:val="font11"/>
    <w:basedOn w:val="34"/>
    <w:qFormat/>
    <w:uiPriority w:val="0"/>
    <w:rPr>
      <w:rFonts w:hint="eastAsia" w:ascii="宋体" w:hAnsi="宋体" w:eastAsia="宋体" w:cs="宋体"/>
      <w:color w:val="000000"/>
      <w:sz w:val="21"/>
      <w:szCs w:val="21"/>
      <w:u w:val="none"/>
    </w:rPr>
  </w:style>
  <w:style w:type="character" w:customStyle="1" w:styleId="76">
    <w:name w:val="font21"/>
    <w:basedOn w:val="34"/>
    <w:qFormat/>
    <w:uiPriority w:val="0"/>
    <w:rPr>
      <w:rFonts w:hint="eastAsia" w:ascii="宋体" w:hAnsi="宋体" w:eastAsia="宋体" w:cs="宋体"/>
      <w:color w:val="000000"/>
      <w:sz w:val="21"/>
      <w:szCs w:val="21"/>
      <w:u w:val="none"/>
    </w:rPr>
  </w:style>
  <w:style w:type="paragraph" w:customStyle="1" w:styleId="77">
    <w:name w:val="修订2"/>
    <w:hidden/>
    <w:semiHidden/>
    <w:qFormat/>
    <w:uiPriority w:val="99"/>
    <w:rPr>
      <w:rFonts w:asciiTheme="minorHAnsi" w:hAnsiTheme="minorHAnsi" w:eastAsiaTheme="minorEastAsia" w:cstheme="minorBidi"/>
      <w:kern w:val="2"/>
      <w:sz w:val="21"/>
      <w:szCs w:val="22"/>
      <w:lang w:val="en-US" w:eastAsia="zh-CN" w:bidi="ar-SA"/>
    </w:rPr>
  </w:style>
  <w:style w:type="paragraph" w:customStyle="1" w:styleId="78">
    <w:name w:val="列出段落111"/>
    <w:basedOn w:val="1"/>
    <w:qFormat/>
    <w:uiPriority w:val="0"/>
    <w:pPr>
      <w:widowControl/>
      <w:ind w:firstLine="420"/>
    </w:pPr>
    <w:rPr>
      <w:rFonts w:ascii="Calibri" w:hAnsi="Calibri" w:eastAsia="宋体" w:cs="Times New Roman"/>
      <w:kern w:val="0"/>
      <w:szCs w:val="21"/>
    </w:rPr>
  </w:style>
  <w:style w:type="table" w:customStyle="1" w:styleId="79">
    <w:name w:val="网格型12"/>
    <w:basedOn w:val="39"/>
    <w:qFormat/>
    <w:uiPriority w:val="3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80">
    <w:name w:val="日期 字符"/>
    <w:basedOn w:val="34"/>
    <w:link w:val="22"/>
    <w:semiHidden/>
    <w:qFormat/>
    <w:uiPriority w:val="99"/>
    <w:rPr>
      <w:kern w:val="2"/>
      <w:sz w:val="21"/>
      <w:szCs w:val="22"/>
    </w:rPr>
  </w:style>
  <w:style w:type="paragraph" w:customStyle="1" w:styleId="81">
    <w:name w:val="0正文1"/>
    <w:basedOn w:val="1"/>
    <w:link w:val="82"/>
    <w:qFormat/>
    <w:uiPriority w:val="0"/>
    <w:pPr>
      <w:spacing w:line="596" w:lineRule="exact"/>
      <w:ind w:firstLine="640" w:firstLineChars="200"/>
    </w:pPr>
    <w:rPr>
      <w:rFonts w:ascii="Times New Roman" w:hAnsi="Times New Roman" w:eastAsia="仿宋_GB2312" w:cs="Times New Roman"/>
      <w:sz w:val="32"/>
      <w:szCs w:val="24"/>
    </w:rPr>
  </w:style>
  <w:style w:type="character" w:customStyle="1" w:styleId="82">
    <w:name w:val="0正文1 Char"/>
    <w:link w:val="81"/>
    <w:qFormat/>
    <w:uiPriority w:val="0"/>
    <w:rPr>
      <w:rFonts w:ascii="Times New Roman" w:hAnsi="Times New Roman" w:eastAsia="仿宋_GB2312" w:cs="Times New Roman"/>
      <w:kern w:val="2"/>
      <w:sz w:val="32"/>
      <w:szCs w:val="24"/>
    </w:rPr>
  </w:style>
  <w:style w:type="paragraph" w:customStyle="1" w:styleId="83">
    <w:name w:val="专栏正文"/>
    <w:basedOn w:val="1"/>
    <w:qFormat/>
    <w:uiPriority w:val="0"/>
    <w:pPr>
      <w:spacing w:line="300" w:lineRule="exact"/>
      <w:ind w:firstLine="480" w:firstLineChars="200"/>
      <w:contextualSpacing/>
      <w:textAlignment w:val="baseline"/>
    </w:pPr>
    <w:rPr>
      <w:rFonts w:hint="eastAsia" w:ascii="Times New Roman" w:hAnsi="Times New Roman" w:eastAsia="仿宋_GB2312" w:cs="仿宋"/>
      <w:kern w:val="0"/>
      <w:sz w:val="24"/>
      <w:szCs w:val="24"/>
    </w:rPr>
  </w:style>
  <w:style w:type="paragraph" w:customStyle="1" w:styleId="84">
    <w:name w:val="表格"/>
    <w:basedOn w:val="1"/>
    <w:link w:val="85"/>
    <w:qFormat/>
    <w:uiPriority w:val="0"/>
    <w:pPr>
      <w:widowControl/>
      <w:jc w:val="center"/>
    </w:pPr>
    <w:rPr>
      <w:rFonts w:ascii="Times New Roman" w:hAnsi="Times New Roman" w:eastAsia="仿宋_GB2312" w:cs="Times New Roman"/>
      <w:szCs w:val="21"/>
    </w:rPr>
  </w:style>
  <w:style w:type="character" w:customStyle="1" w:styleId="85">
    <w:name w:val="表格 字符"/>
    <w:basedOn w:val="34"/>
    <w:link w:val="84"/>
    <w:qFormat/>
    <w:uiPriority w:val="0"/>
    <w:rPr>
      <w:rFonts w:ascii="Times New Roman" w:hAnsi="Times New Roman" w:eastAsia="仿宋_GB2312" w:cs="Times New Roman"/>
      <w:kern w:val="2"/>
      <w:sz w:val="21"/>
      <w:szCs w:val="21"/>
    </w:rPr>
  </w:style>
  <w:style w:type="character" w:customStyle="1" w:styleId="86">
    <w:name w:val="题注 字符"/>
    <w:link w:val="18"/>
    <w:qFormat/>
    <w:uiPriority w:val="35"/>
    <w:rPr>
      <w:rFonts w:eastAsia="黑体" w:asciiTheme="majorHAnsi" w:hAnsiTheme="majorHAnsi" w:cstheme="majorBidi"/>
      <w:kern w:val="2"/>
    </w:rPr>
  </w:style>
  <w:style w:type="paragraph" w:customStyle="1" w:styleId="87">
    <w:name w:val="附录表标题"/>
    <w:next w:val="1"/>
    <w:qFormat/>
    <w:uiPriority w:val="0"/>
    <w:pPr>
      <w:numPr>
        <w:ilvl w:val="0"/>
        <w:numId w:val="5"/>
      </w:numPr>
      <w:jc w:val="center"/>
    </w:pPr>
    <w:rPr>
      <w:rFonts w:ascii="黑体" w:hAnsi="Times New Roman" w:eastAsia="黑体" w:cs="Times New Roman"/>
      <w:kern w:val="21"/>
      <w:sz w:val="21"/>
      <w:lang w:val="en-US" w:eastAsia="zh-CN" w:bidi="ar-SA"/>
    </w:rPr>
  </w:style>
  <w:style w:type="paragraph" w:customStyle="1" w:styleId="88">
    <w:name w:val="修订3"/>
    <w:hidden/>
    <w:unhideWhenUsed/>
    <w:qFormat/>
    <w:uiPriority w:val="99"/>
    <w:rPr>
      <w:rFonts w:asciiTheme="minorHAnsi" w:hAnsiTheme="minorHAnsi" w:eastAsiaTheme="minorEastAsia" w:cstheme="minorBidi"/>
      <w:kern w:val="2"/>
      <w:sz w:val="21"/>
      <w:szCs w:val="22"/>
      <w:lang w:val="en-US" w:eastAsia="zh-CN" w:bidi="ar-SA"/>
    </w:rPr>
  </w:style>
  <w:style w:type="character" w:customStyle="1" w:styleId="89">
    <w:name w:val="标题 6 字符"/>
    <w:basedOn w:val="34"/>
    <w:link w:val="8"/>
    <w:semiHidden/>
    <w:qFormat/>
    <w:uiPriority w:val="9"/>
    <w:rPr>
      <w:rFonts w:cstheme="majorBidi"/>
      <w:b/>
      <w:bCs/>
      <w:color w:val="376092" w:themeColor="accent1" w:themeShade="BF"/>
      <w:kern w:val="2"/>
      <w:sz w:val="22"/>
      <w:szCs w:val="24"/>
      <w14:ligatures w14:val="standardContextual"/>
    </w:rPr>
  </w:style>
  <w:style w:type="character" w:customStyle="1" w:styleId="90">
    <w:name w:val="标题 7 字符"/>
    <w:basedOn w:val="34"/>
    <w:link w:val="9"/>
    <w:semiHidden/>
    <w:qFormat/>
    <w:uiPriority w:val="9"/>
    <w:rPr>
      <w:rFonts w:cstheme="majorBidi"/>
      <w:b/>
      <w:bCs/>
      <w:color w:val="595959" w:themeColor="text1" w:themeTint="A6"/>
      <w:kern w:val="2"/>
      <w:sz w:val="22"/>
      <w:szCs w:val="24"/>
      <w14:textFill>
        <w14:solidFill>
          <w14:schemeClr w14:val="tx1">
            <w14:lumMod w14:val="65000"/>
            <w14:lumOff w14:val="35000"/>
          </w14:schemeClr>
        </w14:solidFill>
      </w14:textFill>
      <w14:ligatures w14:val="standardContextual"/>
    </w:rPr>
  </w:style>
  <w:style w:type="character" w:customStyle="1" w:styleId="91">
    <w:name w:val="标题 8 字符"/>
    <w:basedOn w:val="34"/>
    <w:link w:val="10"/>
    <w:semiHidden/>
    <w:qFormat/>
    <w:uiPriority w:val="9"/>
    <w:rPr>
      <w:rFonts w:cstheme="majorBidi"/>
      <w:color w:val="595959" w:themeColor="text1" w:themeTint="A6"/>
      <w:kern w:val="2"/>
      <w:sz w:val="22"/>
      <w:szCs w:val="24"/>
      <w14:textFill>
        <w14:solidFill>
          <w14:schemeClr w14:val="tx1">
            <w14:lumMod w14:val="65000"/>
            <w14:lumOff w14:val="35000"/>
          </w14:schemeClr>
        </w14:solidFill>
      </w14:textFill>
      <w14:ligatures w14:val="standardContextual"/>
    </w:rPr>
  </w:style>
  <w:style w:type="character" w:customStyle="1" w:styleId="92">
    <w:name w:val="标题 9 字符"/>
    <w:basedOn w:val="34"/>
    <w:link w:val="11"/>
    <w:semiHidden/>
    <w:qFormat/>
    <w:uiPriority w:val="9"/>
    <w:rPr>
      <w:rFonts w:eastAsiaTheme="majorEastAsia" w:cstheme="majorBidi"/>
      <w:color w:val="595959" w:themeColor="text1" w:themeTint="A6"/>
      <w:kern w:val="2"/>
      <w:sz w:val="22"/>
      <w:szCs w:val="24"/>
      <w14:textFill>
        <w14:solidFill>
          <w14:schemeClr w14:val="tx1">
            <w14:lumMod w14:val="65000"/>
            <w14:lumOff w14:val="35000"/>
          </w14:schemeClr>
        </w14:solidFill>
      </w14:textFill>
      <w14:ligatures w14:val="standardContextual"/>
    </w:rPr>
  </w:style>
  <w:style w:type="character" w:customStyle="1" w:styleId="93">
    <w:name w:val="标题 字符"/>
    <w:basedOn w:val="34"/>
    <w:link w:val="33"/>
    <w:qFormat/>
    <w:uiPriority w:val="10"/>
    <w:rPr>
      <w:rFonts w:asciiTheme="majorHAnsi" w:hAnsiTheme="majorHAnsi" w:eastAsiaTheme="majorEastAsia" w:cstheme="majorBidi"/>
      <w:spacing w:val="-10"/>
      <w:kern w:val="28"/>
      <w:sz w:val="56"/>
      <w:szCs w:val="56"/>
      <w14:ligatures w14:val="standardContextual"/>
    </w:rPr>
  </w:style>
  <w:style w:type="character" w:customStyle="1" w:styleId="94">
    <w:name w:val="副标题 字符"/>
    <w:basedOn w:val="34"/>
    <w:link w:val="28"/>
    <w:qFormat/>
    <w:uiPriority w:val="11"/>
    <w:rPr>
      <w:rFonts w:asciiTheme="majorHAnsi" w:hAnsiTheme="majorHAnsi" w:eastAsiaTheme="majorEastAsia" w:cstheme="majorBidi"/>
      <w:color w:val="595959" w:themeColor="text1" w:themeTint="A6"/>
      <w:spacing w:val="15"/>
      <w:kern w:val="2"/>
      <w:sz w:val="28"/>
      <w:szCs w:val="28"/>
      <w14:textFill>
        <w14:solidFill>
          <w14:schemeClr w14:val="tx1">
            <w14:lumMod w14:val="65000"/>
            <w14:lumOff w14:val="35000"/>
          </w14:schemeClr>
        </w14:solidFill>
      </w14:textFill>
      <w14:ligatures w14:val="standardContextual"/>
    </w:rPr>
  </w:style>
  <w:style w:type="paragraph" w:styleId="95">
    <w:name w:val="Quote"/>
    <w:basedOn w:val="1"/>
    <w:next w:val="1"/>
    <w:link w:val="96"/>
    <w:qFormat/>
    <w:uiPriority w:val="29"/>
    <w:pPr>
      <w:spacing w:before="160" w:after="160" w:line="278" w:lineRule="auto"/>
      <w:jc w:val="center"/>
    </w:pPr>
    <w:rPr>
      <w:i/>
      <w:iCs/>
      <w:color w:val="404040" w:themeColor="text1" w:themeTint="BF"/>
      <w:sz w:val="22"/>
      <w:szCs w:val="24"/>
      <w14:textFill>
        <w14:solidFill>
          <w14:schemeClr w14:val="tx1">
            <w14:lumMod w14:val="75000"/>
            <w14:lumOff w14:val="25000"/>
          </w14:schemeClr>
        </w14:solidFill>
      </w14:textFill>
      <w14:ligatures w14:val="standardContextual"/>
    </w:rPr>
  </w:style>
  <w:style w:type="character" w:customStyle="1" w:styleId="96">
    <w:name w:val="引用 字符"/>
    <w:basedOn w:val="34"/>
    <w:link w:val="95"/>
    <w:qFormat/>
    <w:uiPriority w:val="29"/>
    <w:rPr>
      <w:i/>
      <w:iCs/>
      <w:color w:val="404040" w:themeColor="text1" w:themeTint="BF"/>
      <w:kern w:val="2"/>
      <w:sz w:val="22"/>
      <w:szCs w:val="24"/>
      <w14:textFill>
        <w14:solidFill>
          <w14:schemeClr w14:val="tx1">
            <w14:lumMod w14:val="75000"/>
            <w14:lumOff w14:val="25000"/>
          </w14:schemeClr>
        </w14:solidFill>
      </w14:textFill>
      <w14:ligatures w14:val="standardContextual"/>
    </w:rPr>
  </w:style>
  <w:style w:type="character" w:customStyle="1" w:styleId="97">
    <w:name w:val="Intense Emphasis"/>
    <w:basedOn w:val="34"/>
    <w:qFormat/>
    <w:uiPriority w:val="21"/>
    <w:rPr>
      <w:i/>
      <w:iCs/>
      <w:color w:val="376092" w:themeColor="accent1" w:themeShade="BF"/>
    </w:rPr>
  </w:style>
  <w:style w:type="paragraph" w:styleId="98">
    <w:name w:val="Intense Quote"/>
    <w:basedOn w:val="1"/>
    <w:next w:val="1"/>
    <w:link w:val="99"/>
    <w:qFormat/>
    <w:uiPriority w:val="30"/>
    <w:pPr>
      <w:pBdr>
        <w:top w:val="single" w:color="366091" w:themeColor="accent1" w:themeShade="BF" w:sz="4" w:space="10"/>
        <w:bottom w:val="single" w:color="366091" w:themeColor="accent1" w:themeShade="BF" w:sz="4" w:space="10"/>
      </w:pBdr>
      <w:spacing w:before="360" w:after="360" w:line="278" w:lineRule="auto"/>
      <w:ind w:left="864" w:right="864"/>
      <w:jc w:val="center"/>
    </w:pPr>
    <w:rPr>
      <w:i/>
      <w:iCs/>
      <w:color w:val="376092" w:themeColor="accent1" w:themeShade="BF"/>
      <w:sz w:val="22"/>
      <w:szCs w:val="24"/>
      <w14:ligatures w14:val="standardContextual"/>
    </w:rPr>
  </w:style>
  <w:style w:type="character" w:customStyle="1" w:styleId="99">
    <w:name w:val="明显引用 字符"/>
    <w:basedOn w:val="34"/>
    <w:link w:val="98"/>
    <w:qFormat/>
    <w:uiPriority w:val="30"/>
    <w:rPr>
      <w:i/>
      <w:iCs/>
      <w:color w:val="376092" w:themeColor="accent1" w:themeShade="BF"/>
      <w:kern w:val="2"/>
      <w:sz w:val="22"/>
      <w:szCs w:val="24"/>
      <w14:ligatures w14:val="standardContextual"/>
    </w:rPr>
  </w:style>
  <w:style w:type="character" w:customStyle="1" w:styleId="100">
    <w:name w:val="Intense Reference"/>
    <w:basedOn w:val="34"/>
    <w:qFormat/>
    <w:uiPriority w:val="32"/>
    <w:rPr>
      <w:b/>
      <w:bCs/>
      <w:smallCaps/>
      <w:color w:val="376092" w:themeColor="accent1" w:themeShade="BF"/>
      <w:spacing w:val="5"/>
    </w:rPr>
  </w:style>
  <w:style w:type="paragraph" w:customStyle="1" w:styleId="101">
    <w:name w:val="TOC 71"/>
    <w:basedOn w:val="1"/>
    <w:next w:val="1"/>
    <w:unhideWhenUsed/>
    <w:qFormat/>
    <w:uiPriority w:val="39"/>
    <w:pPr>
      <w:ind w:left="2520" w:leftChars="1200"/>
    </w:pPr>
  </w:style>
  <w:style w:type="paragraph" w:customStyle="1" w:styleId="102">
    <w:name w:val="题注1"/>
    <w:basedOn w:val="1"/>
    <w:next w:val="1"/>
    <w:unhideWhenUsed/>
    <w:qFormat/>
    <w:uiPriority w:val="35"/>
    <w:rPr>
      <w:rFonts w:ascii="Cambria" w:hAnsi="Cambria" w:eastAsia="黑体" w:cs="Times New Roman"/>
      <w:sz w:val="20"/>
      <w:szCs w:val="20"/>
    </w:rPr>
  </w:style>
  <w:style w:type="paragraph" w:customStyle="1" w:styleId="103">
    <w:name w:val="批注文字1"/>
    <w:basedOn w:val="1"/>
    <w:next w:val="13"/>
    <w:unhideWhenUsed/>
    <w:qFormat/>
    <w:uiPriority w:val="99"/>
    <w:pPr>
      <w:jc w:val="left"/>
    </w:pPr>
    <w:rPr>
      <w:rFonts w:ascii="Calibri" w:hAnsi="Calibri" w:eastAsia="宋体" w:cs="Times New Roman"/>
      <w14:ligatures w14:val="standardContextual"/>
    </w:rPr>
  </w:style>
  <w:style w:type="paragraph" w:customStyle="1" w:styleId="104">
    <w:name w:val="正文文本1"/>
    <w:basedOn w:val="1"/>
    <w:next w:val="16"/>
    <w:semiHidden/>
    <w:unhideWhenUsed/>
    <w:qFormat/>
    <w:uiPriority w:val="99"/>
    <w:pPr>
      <w:spacing w:after="120"/>
    </w:pPr>
    <w:rPr>
      <w:rFonts w:ascii="Calibri" w:hAnsi="Calibri" w:eastAsia="宋体" w:cs="Times New Roman"/>
      <w14:ligatures w14:val="standardContextual"/>
    </w:rPr>
  </w:style>
  <w:style w:type="paragraph" w:customStyle="1" w:styleId="105">
    <w:name w:val="TOC 51"/>
    <w:basedOn w:val="1"/>
    <w:next w:val="1"/>
    <w:unhideWhenUsed/>
    <w:qFormat/>
    <w:uiPriority w:val="39"/>
    <w:pPr>
      <w:ind w:left="1680" w:leftChars="800"/>
    </w:pPr>
  </w:style>
  <w:style w:type="paragraph" w:customStyle="1" w:styleId="106">
    <w:name w:val="TOC 31"/>
    <w:basedOn w:val="1"/>
    <w:next w:val="1"/>
    <w:unhideWhenUsed/>
    <w:qFormat/>
    <w:uiPriority w:val="39"/>
    <w:pPr>
      <w:ind w:left="840" w:leftChars="400"/>
    </w:pPr>
  </w:style>
  <w:style w:type="paragraph" w:customStyle="1" w:styleId="107">
    <w:name w:val="TOC 81"/>
    <w:basedOn w:val="1"/>
    <w:next w:val="1"/>
    <w:unhideWhenUsed/>
    <w:qFormat/>
    <w:uiPriority w:val="39"/>
    <w:pPr>
      <w:ind w:left="2940" w:leftChars="1400"/>
    </w:pPr>
  </w:style>
  <w:style w:type="paragraph" w:customStyle="1" w:styleId="108">
    <w:name w:val="日期1"/>
    <w:basedOn w:val="1"/>
    <w:next w:val="1"/>
    <w:semiHidden/>
    <w:unhideWhenUsed/>
    <w:qFormat/>
    <w:uiPriority w:val="99"/>
    <w:pPr>
      <w:ind w:left="100" w:leftChars="2500"/>
    </w:pPr>
  </w:style>
  <w:style w:type="paragraph" w:customStyle="1" w:styleId="109">
    <w:name w:val="批注框文本1"/>
    <w:basedOn w:val="1"/>
    <w:next w:val="23"/>
    <w:semiHidden/>
    <w:unhideWhenUsed/>
    <w:qFormat/>
    <w:uiPriority w:val="99"/>
    <w:rPr>
      <w:rFonts w:ascii="Calibri" w:hAnsi="Calibri" w:eastAsia="宋体" w:cs="Times New Roman"/>
      <w:sz w:val="18"/>
      <w:szCs w:val="18"/>
      <w14:ligatures w14:val="standardContextual"/>
    </w:rPr>
  </w:style>
  <w:style w:type="paragraph" w:customStyle="1" w:styleId="110">
    <w:name w:val="页脚1"/>
    <w:basedOn w:val="1"/>
    <w:next w:val="24"/>
    <w:unhideWhenUsed/>
    <w:qFormat/>
    <w:uiPriority w:val="99"/>
    <w:pPr>
      <w:tabs>
        <w:tab w:val="center" w:pos="4153"/>
        <w:tab w:val="right" w:pos="8306"/>
      </w:tabs>
      <w:snapToGrid w:val="0"/>
      <w:jc w:val="left"/>
    </w:pPr>
    <w:rPr>
      <w:rFonts w:ascii="Calibri" w:hAnsi="Calibri" w:eastAsia="宋体" w:cs="Times New Roman"/>
      <w:sz w:val="18"/>
      <w:szCs w:val="18"/>
      <w14:ligatures w14:val="standardContextual"/>
    </w:rPr>
  </w:style>
  <w:style w:type="paragraph" w:customStyle="1" w:styleId="111">
    <w:name w:val="页眉1"/>
    <w:basedOn w:val="1"/>
    <w:next w:val="25"/>
    <w:unhideWhenUsed/>
    <w:qFormat/>
    <w:uiPriority w:val="99"/>
    <w:pPr>
      <w:pBdr>
        <w:bottom w:val="single" w:color="auto" w:sz="6" w:space="1"/>
      </w:pBdr>
      <w:tabs>
        <w:tab w:val="center" w:pos="4153"/>
        <w:tab w:val="right" w:pos="8306"/>
      </w:tabs>
      <w:snapToGrid w:val="0"/>
      <w:jc w:val="center"/>
    </w:pPr>
    <w:rPr>
      <w:rFonts w:ascii="Calibri" w:hAnsi="Calibri" w:eastAsia="宋体" w:cs="Times New Roman"/>
      <w:sz w:val="18"/>
      <w:szCs w:val="18"/>
      <w14:ligatures w14:val="standardContextual"/>
    </w:rPr>
  </w:style>
  <w:style w:type="paragraph" w:customStyle="1" w:styleId="112">
    <w:name w:val="TOC 11"/>
    <w:basedOn w:val="1"/>
    <w:next w:val="1"/>
    <w:unhideWhenUsed/>
    <w:qFormat/>
    <w:uiPriority w:val="39"/>
  </w:style>
  <w:style w:type="paragraph" w:customStyle="1" w:styleId="113">
    <w:name w:val="TOC 41"/>
    <w:basedOn w:val="1"/>
    <w:next w:val="1"/>
    <w:unhideWhenUsed/>
    <w:qFormat/>
    <w:uiPriority w:val="39"/>
    <w:pPr>
      <w:ind w:left="1260" w:leftChars="600"/>
    </w:pPr>
  </w:style>
  <w:style w:type="paragraph" w:customStyle="1" w:styleId="114">
    <w:name w:val="TOC 61"/>
    <w:basedOn w:val="1"/>
    <w:next w:val="1"/>
    <w:unhideWhenUsed/>
    <w:qFormat/>
    <w:uiPriority w:val="39"/>
    <w:pPr>
      <w:ind w:left="2100" w:leftChars="1000"/>
    </w:pPr>
  </w:style>
  <w:style w:type="paragraph" w:customStyle="1" w:styleId="115">
    <w:name w:val="TOC 21"/>
    <w:basedOn w:val="1"/>
    <w:next w:val="1"/>
    <w:unhideWhenUsed/>
    <w:qFormat/>
    <w:uiPriority w:val="39"/>
    <w:pPr>
      <w:ind w:left="420" w:leftChars="200"/>
    </w:pPr>
  </w:style>
  <w:style w:type="paragraph" w:customStyle="1" w:styleId="116">
    <w:name w:val="TOC 91"/>
    <w:basedOn w:val="1"/>
    <w:next w:val="1"/>
    <w:unhideWhenUsed/>
    <w:qFormat/>
    <w:uiPriority w:val="39"/>
    <w:pPr>
      <w:ind w:left="3360" w:leftChars="1600"/>
    </w:pPr>
  </w:style>
  <w:style w:type="paragraph" w:customStyle="1" w:styleId="117">
    <w:name w:val="批注主题1"/>
    <w:basedOn w:val="13"/>
    <w:next w:val="13"/>
    <w:semiHidden/>
    <w:unhideWhenUsed/>
    <w:qFormat/>
    <w:uiPriority w:val="99"/>
    <w:rPr>
      <w:b/>
      <w:bCs/>
    </w:rPr>
  </w:style>
  <w:style w:type="character" w:customStyle="1" w:styleId="118">
    <w:name w:val="正文文本 字符1"/>
    <w:basedOn w:val="34"/>
    <w:semiHidden/>
    <w:qFormat/>
    <w:uiPriority w:val="99"/>
  </w:style>
  <w:style w:type="character" w:customStyle="1" w:styleId="119">
    <w:name w:val="访问过的超链接1"/>
    <w:basedOn w:val="34"/>
    <w:semiHidden/>
    <w:unhideWhenUsed/>
    <w:qFormat/>
    <w:uiPriority w:val="99"/>
    <w:rPr>
      <w:color w:val="800080"/>
      <w:u w:val="single"/>
    </w:rPr>
  </w:style>
  <w:style w:type="character" w:customStyle="1" w:styleId="120">
    <w:name w:val="超链接1"/>
    <w:basedOn w:val="34"/>
    <w:unhideWhenUsed/>
    <w:qFormat/>
    <w:uiPriority w:val="99"/>
    <w:rPr>
      <w:color w:val="0000FF"/>
      <w:u w:val="single"/>
    </w:rPr>
  </w:style>
  <w:style w:type="paragraph" w:customStyle="1" w:styleId="121">
    <w:name w:val="无间隔1"/>
    <w:next w:val="72"/>
    <w:qFormat/>
    <w:uiPriority w:val="1"/>
    <w:pPr>
      <w:widowControl w:val="0"/>
      <w:spacing w:line="360" w:lineRule="auto"/>
      <w:ind w:firstLine="200" w:firstLineChars="200"/>
      <w:jc w:val="both"/>
    </w:pPr>
    <w:rPr>
      <w:rFonts w:asciiTheme="minorHAnsi" w:hAnsiTheme="minorHAnsi" w:eastAsiaTheme="minorEastAsia" w:cstheme="minorBidi"/>
      <w:kern w:val="2"/>
      <w:sz w:val="24"/>
      <w:szCs w:val="22"/>
      <w:lang w:val="en-US" w:eastAsia="zh-CN" w:bidi="ar-SA"/>
    </w:rPr>
  </w:style>
  <w:style w:type="paragraph" w:customStyle="1" w:styleId="122">
    <w:name w:val="修订4"/>
    <w:next w:val="123"/>
    <w:hidden/>
    <w:unhideWhenUsed/>
    <w:qFormat/>
    <w:uiPriority w:val="99"/>
    <w:rPr>
      <w:rFonts w:asciiTheme="minorHAnsi" w:hAnsiTheme="minorHAnsi" w:eastAsiaTheme="minorEastAsia" w:cstheme="minorBidi"/>
      <w:kern w:val="2"/>
      <w:sz w:val="21"/>
      <w:szCs w:val="22"/>
      <w:lang w:val="en-US" w:eastAsia="zh-CN" w:bidi="ar-SA"/>
    </w:rPr>
  </w:style>
  <w:style w:type="paragraph" w:customStyle="1" w:styleId="123">
    <w:name w:val="Revision"/>
    <w:hidden/>
    <w:semiHidden/>
    <w:qFormat/>
    <w:uiPriority w:val="99"/>
    <w:rPr>
      <w:rFonts w:asciiTheme="minorHAnsi" w:hAnsiTheme="minorHAnsi" w:eastAsiaTheme="minorEastAsia" w:cstheme="minorBidi"/>
      <w:kern w:val="2"/>
      <w:sz w:val="22"/>
      <w:szCs w:val="24"/>
      <w:lang w:val="en-US" w:eastAsia="zh-CN" w:bidi="ar-SA"/>
      <w14:ligatures w14:val="standardContextual"/>
    </w:rPr>
  </w:style>
  <w:style w:type="character" w:customStyle="1" w:styleId="124">
    <w:name w:val="批注文字 字符1"/>
    <w:basedOn w:val="34"/>
    <w:semiHidden/>
    <w:qFormat/>
    <w:uiPriority w:val="99"/>
  </w:style>
  <w:style w:type="character" w:customStyle="1" w:styleId="125">
    <w:name w:val="日期 字符1"/>
    <w:basedOn w:val="34"/>
    <w:semiHidden/>
    <w:qFormat/>
    <w:uiPriority w:val="99"/>
  </w:style>
  <w:style w:type="character" w:customStyle="1" w:styleId="126">
    <w:name w:val="批注框文本 字符1"/>
    <w:basedOn w:val="34"/>
    <w:semiHidden/>
    <w:qFormat/>
    <w:uiPriority w:val="99"/>
    <w:rPr>
      <w:sz w:val="18"/>
      <w:szCs w:val="18"/>
    </w:rPr>
  </w:style>
  <w:style w:type="character" w:customStyle="1" w:styleId="127">
    <w:name w:val="页脚 字符1"/>
    <w:basedOn w:val="34"/>
    <w:qFormat/>
    <w:uiPriority w:val="99"/>
    <w:rPr>
      <w:sz w:val="18"/>
      <w:szCs w:val="18"/>
    </w:rPr>
  </w:style>
  <w:style w:type="character" w:customStyle="1" w:styleId="128">
    <w:name w:val="页眉 字符1"/>
    <w:basedOn w:val="34"/>
    <w:qFormat/>
    <w:uiPriority w:val="99"/>
    <w:rPr>
      <w:sz w:val="18"/>
      <w:szCs w:val="18"/>
    </w:rPr>
  </w:style>
  <w:style w:type="character" w:customStyle="1" w:styleId="129">
    <w:name w:val="批注主题 字符1"/>
    <w:basedOn w:val="124"/>
    <w:semiHidden/>
    <w:qFormat/>
    <w:uiPriority w:val="99"/>
    <w:rPr>
      <w:b/>
      <w:bCs/>
    </w:rPr>
  </w:style>
  <w:style w:type="paragraph" w:customStyle="1" w:styleId="130">
    <w:name w:val="msonormal"/>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31">
    <w:name w:val="font5"/>
    <w:basedOn w:val="1"/>
    <w:qFormat/>
    <w:uiPriority w:val="0"/>
    <w:pPr>
      <w:widowControl/>
      <w:spacing w:before="100" w:beforeAutospacing="1" w:after="100" w:afterAutospacing="1"/>
      <w:jc w:val="left"/>
    </w:pPr>
    <w:rPr>
      <w:rFonts w:ascii="Calibri" w:hAnsi="Calibri" w:eastAsia="宋体" w:cs="宋体"/>
      <w:color w:val="000000"/>
      <w:kern w:val="0"/>
      <w:szCs w:val="21"/>
    </w:rPr>
  </w:style>
  <w:style w:type="paragraph" w:customStyle="1" w:styleId="132">
    <w:name w:val="font6"/>
    <w:basedOn w:val="1"/>
    <w:qFormat/>
    <w:uiPriority w:val="0"/>
    <w:pPr>
      <w:widowControl/>
      <w:spacing w:before="100" w:beforeAutospacing="1" w:after="100" w:afterAutospacing="1"/>
      <w:jc w:val="left"/>
    </w:pPr>
    <w:rPr>
      <w:rFonts w:ascii="仿宋_GB2312" w:hAnsi="宋体" w:eastAsia="仿宋_GB2312" w:cs="宋体"/>
      <w:color w:val="000000"/>
      <w:kern w:val="0"/>
      <w:szCs w:val="21"/>
    </w:rPr>
  </w:style>
  <w:style w:type="paragraph" w:customStyle="1" w:styleId="133">
    <w:name w:val="font7"/>
    <w:basedOn w:val="1"/>
    <w:qFormat/>
    <w:uiPriority w:val="0"/>
    <w:pPr>
      <w:widowControl/>
      <w:spacing w:before="100" w:beforeAutospacing="1" w:after="100" w:afterAutospacing="1"/>
      <w:jc w:val="left"/>
    </w:pPr>
    <w:rPr>
      <w:rFonts w:ascii="Times New Roman" w:hAnsi="Times New Roman" w:eastAsia="宋体" w:cs="Times New Roman"/>
      <w:color w:val="000000"/>
      <w:kern w:val="0"/>
      <w:szCs w:val="21"/>
    </w:rPr>
  </w:style>
  <w:style w:type="paragraph" w:customStyle="1" w:styleId="134">
    <w:name w:val="font8"/>
    <w:basedOn w:val="1"/>
    <w:qFormat/>
    <w:uiPriority w:val="0"/>
    <w:pPr>
      <w:widowControl/>
      <w:spacing w:before="100" w:beforeAutospacing="1" w:after="100" w:afterAutospacing="1"/>
      <w:jc w:val="left"/>
    </w:pPr>
    <w:rPr>
      <w:rFonts w:ascii="等线" w:hAnsi="等线" w:eastAsia="等线" w:cs="宋体"/>
      <w:kern w:val="0"/>
      <w:sz w:val="18"/>
      <w:szCs w:val="18"/>
    </w:rPr>
  </w:style>
  <w:style w:type="paragraph" w:customStyle="1" w:styleId="135">
    <w:name w:val="xl65"/>
    <w:basedOn w:val="1"/>
    <w:qFormat/>
    <w:uiPriority w:val="0"/>
    <w:pPr>
      <w:widowControl/>
      <w:pBdr>
        <w:bottom w:val="single" w:color="auto" w:sz="8" w:space="0"/>
        <w:right w:val="single" w:color="auto" w:sz="8" w:space="0"/>
      </w:pBdr>
      <w:spacing w:before="100" w:beforeAutospacing="1" w:after="100" w:afterAutospacing="1"/>
      <w:jc w:val="center"/>
      <w:textAlignment w:val="center"/>
    </w:pPr>
    <w:rPr>
      <w:rFonts w:ascii="仿宋_GB2312" w:hAnsi="宋体" w:eastAsia="仿宋_GB2312" w:cs="宋体"/>
      <w:kern w:val="0"/>
      <w:szCs w:val="21"/>
    </w:rPr>
  </w:style>
  <w:style w:type="paragraph" w:customStyle="1" w:styleId="136">
    <w:name w:val="xl66"/>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textAlignment w:val="center"/>
    </w:pPr>
    <w:rPr>
      <w:rFonts w:ascii="Times New Roman" w:hAnsi="Times New Roman" w:eastAsia="宋体" w:cs="Times New Roman"/>
      <w:kern w:val="0"/>
      <w:szCs w:val="21"/>
    </w:rPr>
  </w:style>
  <w:style w:type="paragraph" w:customStyle="1" w:styleId="137">
    <w:name w:val="xl67"/>
    <w:basedOn w:val="1"/>
    <w:qFormat/>
    <w:uiPriority w:val="0"/>
    <w:pPr>
      <w:widowControl/>
      <w:pBdr>
        <w:bottom w:val="single" w:color="auto" w:sz="8" w:space="0"/>
        <w:right w:val="single" w:color="auto" w:sz="8" w:space="0"/>
      </w:pBdr>
      <w:spacing w:before="100" w:beforeAutospacing="1" w:after="100" w:afterAutospacing="1"/>
      <w:jc w:val="center"/>
      <w:textAlignment w:val="center"/>
    </w:pPr>
    <w:rPr>
      <w:rFonts w:ascii="Times New Roman" w:hAnsi="Times New Roman" w:eastAsia="宋体" w:cs="Times New Roman"/>
      <w:kern w:val="0"/>
      <w:szCs w:val="21"/>
    </w:rPr>
  </w:style>
  <w:style w:type="paragraph" w:customStyle="1" w:styleId="138">
    <w:name w:val="xl68"/>
    <w:basedOn w:val="1"/>
    <w:qFormat/>
    <w:uiPriority w:val="0"/>
    <w:pPr>
      <w:widowControl/>
      <w:pBdr>
        <w:top w:val="single" w:color="auto" w:sz="8" w:space="0"/>
        <w:left w:val="single" w:color="auto" w:sz="8" w:space="0"/>
        <w:right w:val="single" w:color="auto" w:sz="8" w:space="0"/>
      </w:pBdr>
      <w:spacing w:before="100" w:beforeAutospacing="1" w:after="100" w:afterAutospacing="1"/>
      <w:jc w:val="center"/>
      <w:textAlignment w:val="center"/>
    </w:pPr>
    <w:rPr>
      <w:rFonts w:ascii="仿宋_GB2312" w:hAnsi="宋体" w:eastAsia="仿宋_GB2312" w:cs="宋体"/>
      <w:kern w:val="0"/>
      <w:szCs w:val="21"/>
    </w:rPr>
  </w:style>
  <w:style w:type="paragraph" w:customStyle="1" w:styleId="139">
    <w:name w:val="xl69"/>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textAlignment w:val="center"/>
    </w:pPr>
    <w:rPr>
      <w:rFonts w:ascii="仿宋_GB2312" w:hAnsi="宋体" w:eastAsia="仿宋_GB2312" w:cs="宋体"/>
      <w:kern w:val="0"/>
      <w:szCs w:val="21"/>
    </w:rPr>
  </w:style>
  <w:style w:type="paragraph" w:customStyle="1" w:styleId="140">
    <w:name w:val="xl70"/>
    <w:basedOn w:val="1"/>
    <w:qFormat/>
    <w:uiPriority w:val="0"/>
    <w:pPr>
      <w:widowControl/>
      <w:pBdr>
        <w:top w:val="single" w:color="auto" w:sz="8" w:space="0"/>
        <w:left w:val="single" w:color="auto" w:sz="8" w:space="0"/>
        <w:bottom w:val="single" w:color="auto" w:sz="8" w:space="0"/>
      </w:pBdr>
      <w:spacing w:before="100" w:beforeAutospacing="1" w:after="100" w:afterAutospacing="1"/>
      <w:jc w:val="center"/>
      <w:textAlignment w:val="center"/>
    </w:pPr>
    <w:rPr>
      <w:rFonts w:ascii="仿宋_GB2312" w:hAnsi="宋体" w:eastAsia="仿宋_GB2312" w:cs="宋体"/>
      <w:kern w:val="0"/>
      <w:szCs w:val="21"/>
    </w:rPr>
  </w:style>
  <w:style w:type="paragraph" w:customStyle="1" w:styleId="141">
    <w:name w:val="xl71"/>
    <w:basedOn w:val="1"/>
    <w:qFormat/>
    <w:uiPriority w:val="0"/>
    <w:pPr>
      <w:widowControl/>
      <w:pBdr>
        <w:top w:val="single" w:color="auto" w:sz="8" w:space="0"/>
        <w:bottom w:val="single" w:color="auto" w:sz="8" w:space="0"/>
      </w:pBdr>
      <w:spacing w:before="100" w:beforeAutospacing="1" w:after="100" w:afterAutospacing="1"/>
      <w:jc w:val="center"/>
      <w:textAlignment w:val="center"/>
    </w:pPr>
    <w:rPr>
      <w:rFonts w:ascii="仿宋_GB2312" w:hAnsi="宋体" w:eastAsia="仿宋_GB2312" w:cs="宋体"/>
      <w:kern w:val="0"/>
      <w:szCs w:val="21"/>
    </w:rPr>
  </w:style>
  <w:style w:type="paragraph" w:customStyle="1" w:styleId="142">
    <w:name w:val="xl72"/>
    <w:basedOn w:val="1"/>
    <w:qFormat/>
    <w:uiPriority w:val="0"/>
    <w:pPr>
      <w:widowControl/>
      <w:pBdr>
        <w:top w:val="single" w:color="auto" w:sz="8" w:space="0"/>
        <w:bottom w:val="single" w:color="auto" w:sz="8" w:space="0"/>
        <w:right w:val="single" w:color="auto" w:sz="8" w:space="0"/>
      </w:pBdr>
      <w:spacing w:before="100" w:beforeAutospacing="1" w:after="100" w:afterAutospacing="1"/>
      <w:jc w:val="center"/>
      <w:textAlignment w:val="center"/>
    </w:pPr>
    <w:rPr>
      <w:rFonts w:ascii="仿宋_GB2312" w:hAnsi="宋体" w:eastAsia="仿宋_GB2312" w:cs="宋体"/>
      <w:kern w:val="0"/>
      <w:szCs w:val="21"/>
    </w:rPr>
  </w:style>
  <w:style w:type="paragraph" w:customStyle="1" w:styleId="143">
    <w:name w:val="xl73"/>
    <w:basedOn w:val="1"/>
    <w:qFormat/>
    <w:uiPriority w:val="0"/>
    <w:pPr>
      <w:widowControl/>
      <w:pBdr>
        <w:bottom w:val="single" w:color="auto" w:sz="8" w:space="0"/>
        <w:right w:val="single" w:color="auto" w:sz="8" w:space="0"/>
      </w:pBdr>
      <w:shd w:val="clear" w:color="000000" w:fill="FFFF00"/>
      <w:spacing w:before="100" w:beforeAutospacing="1" w:after="100" w:afterAutospacing="1"/>
      <w:jc w:val="center"/>
      <w:textAlignment w:val="center"/>
    </w:pPr>
    <w:rPr>
      <w:rFonts w:ascii="仿宋_GB2312" w:hAnsi="宋体" w:eastAsia="仿宋_GB2312" w:cs="宋体"/>
      <w:kern w:val="0"/>
      <w:szCs w:val="21"/>
    </w:rPr>
  </w:style>
  <w:style w:type="paragraph" w:customStyle="1" w:styleId="144">
    <w:name w:val="xl74"/>
    <w:basedOn w:val="1"/>
    <w:qFormat/>
    <w:uiPriority w:val="0"/>
    <w:pPr>
      <w:widowControl/>
      <w:pBdr>
        <w:bottom w:val="single" w:color="auto" w:sz="8" w:space="0"/>
        <w:right w:val="single" w:color="auto" w:sz="8" w:space="0"/>
      </w:pBdr>
      <w:shd w:val="clear" w:color="000000" w:fill="FFFF00"/>
      <w:spacing w:before="100" w:beforeAutospacing="1" w:after="100" w:afterAutospacing="1"/>
      <w:jc w:val="center"/>
      <w:textAlignment w:val="center"/>
    </w:pPr>
    <w:rPr>
      <w:rFonts w:ascii="Times New Roman" w:hAnsi="Times New Roman" w:eastAsia="宋体" w:cs="Times New Roman"/>
      <w:kern w:val="0"/>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0" Type="http://schemas.openxmlformats.org/officeDocument/2006/relationships/glossaryDocument" Target="glossary/document.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2.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DefaultPlaceholder_2098659788"/>
        <w:style w:val=""/>
        <w:category>
          <w:name w:val="常规"/>
          <w:gallery w:val="placeholder"/>
        </w:category>
        <w:types>
          <w:type w:val="bbPlcHdr"/>
        </w:types>
        <w:behaviors>
          <w:behavior w:val="content"/>
        </w:behaviors>
        <w:description w:val=""/>
        <w:guid w:val="{c180cf91-d5d8-478b-b418-90d5273bd1bc}"/>
      </w:docPartPr>
      <w:docPartBody>
        <w:p>
          <w:r>
            <w:rPr>
              <w:color w:val="808080"/>
            </w:rPr>
            <w:t>在此处键入公式。</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A00002EF" w:usb1="4000207B" w:usb2="00000000" w:usb3="00000000" w:csb0="2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compat>
    <w:useFELayout/>
    <w:splitPgBreakAndParaMark/>
    <w:compatSetting w:name="compatibilityMode" w:uri="http://schemas.microsoft.com/office/word" w:val="15"/>
  </w:compat>
  <w:rsids>
    <w:rsidRoot w:val="0000000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styl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EE975CF-4AF3-494D-BA0B-C9AA03A0CC18}">
  <ds:schemaRefs/>
</ds:datastoreItem>
</file>

<file path=docProps/app.xml><?xml version="1.0" encoding="utf-8"?>
<Properties xmlns="http://schemas.openxmlformats.org/officeDocument/2006/extended-properties" xmlns:vt="http://schemas.openxmlformats.org/officeDocument/2006/docPropsVTypes">
  <Template>Normal.dotm</Template>
  <Pages>82</Pages>
  <Words>34280</Words>
  <Characters>34985</Characters>
  <Lines>280</Lines>
  <Paragraphs>78</Paragraphs>
  <TotalTime>4</TotalTime>
  <ScaleCrop>false</ScaleCrop>
  <LinksUpToDate>false</LinksUpToDate>
  <CharactersWithSpaces>35130</CharactersWithSpaces>
  <Application>WPS Office_10.8.2.7090_F1E327BC-269C-435d-A152-05C5408002CA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2024-03-09T02:38:00Z</dcterms:created>
  <dc:creator>t</dc:creator>
  <cp:lastModifiedBy>Administrator</cp:lastModifiedBy>
  <cp:lastPrinted>2024-03-06T08:46:00Z</cp:lastPrinted>
  <dcterms:modified xsi:type="dcterms:W3CDTF">2024-11-12T02:29:50Z</dcterms:modified>
  <cp:revision>229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2052-10.8.2.7090</vt:lpwstr>
  </property>
  <property fmtid="{D5CDD505-2E9C-101B-9397-08002B2CF9AE}" pid="3" name="ICV">
    <vt:lpwstr>EE8FD26845D44E6D8DD43BF6CF97350F_13</vt:lpwstr>
  </property>
  <property fmtid="{D5CDD505-2E9C-101B-9397-08002B2CF9AE}" pid="4" name="MSIP_Label_defa4170-0d19-0005-0004-bc88714345d2_Enabled">
    <vt:lpwstr>true</vt:lpwstr>
  </property>
  <property fmtid="{D5CDD505-2E9C-101B-9397-08002B2CF9AE}" pid="5" name="MSIP_Label_defa4170-0d19-0005-0004-bc88714345d2_SetDate">
    <vt:lpwstr>2023-05-11T15:03:17Z</vt:lpwstr>
  </property>
  <property fmtid="{D5CDD505-2E9C-101B-9397-08002B2CF9AE}" pid="6" name="MSIP_Label_defa4170-0d19-0005-0004-bc88714345d2_Method">
    <vt:lpwstr>Standard</vt:lpwstr>
  </property>
  <property fmtid="{D5CDD505-2E9C-101B-9397-08002B2CF9AE}" pid="7" name="MSIP_Label_defa4170-0d19-0005-0004-bc88714345d2_Name">
    <vt:lpwstr>defa4170-0d19-0005-0004-bc88714345d2</vt:lpwstr>
  </property>
  <property fmtid="{D5CDD505-2E9C-101B-9397-08002B2CF9AE}" pid="8" name="MSIP_Label_defa4170-0d19-0005-0004-bc88714345d2_SiteId">
    <vt:lpwstr>09c1d03c-0e12-4068-bc24-f2a3f353afec</vt:lpwstr>
  </property>
  <property fmtid="{D5CDD505-2E9C-101B-9397-08002B2CF9AE}" pid="9" name="MSIP_Label_defa4170-0d19-0005-0004-bc88714345d2_ActionId">
    <vt:lpwstr>744fbd55-32eb-4fa0-8a98-4191433dee79</vt:lpwstr>
  </property>
  <property fmtid="{D5CDD505-2E9C-101B-9397-08002B2CF9AE}" pid="10" name="MSIP_Label_defa4170-0d19-0005-0004-bc88714345d2_ContentBits">
    <vt:lpwstr>0</vt:lpwstr>
  </property>
</Properties>
</file>