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80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80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新经开文〔202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spacing w:line="57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关于下达2024年新乡经济开发区管理委员会收支预算的通知</w:t>
      </w:r>
    </w:p>
    <w:p>
      <w:pPr>
        <w:spacing w:line="57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新乡经济开发区各局（办）: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新乡经济开发区管理委员会2024年预算已经县十五届人大四次会议审查批准，根据《预算法》及有关规定，现将2024年部门收支预算有关问题通知如下: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一、综合财务收支预算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区收入预算28090000元，其中:当年一般公共预算拨款10053161.34元，当年政府性基金预算拨款0元,财政专户管理资金收入0元,上年结转18036838.66元。支出预算28090000元，其中:基本支出8456200元;项目支出19633800元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二、2024年预算执行总体要求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按照有关规定组织收入，做到应收尽收，严格执行收支两条线，不得截留、坐支和挪用;要坚决落实过紧日子各项要求，勤俭节约办一切事业，要严格约束支出预算，严控“三公经费”和一般性支出，科学安排项目支出；严格执行政府采购计划，加快财政支出进度，尽早发挥财政资金使用效益;强化预算约束和绩效管理，提高财政资金配置效率和支出使用效果。县财政部门将对预算执行情况进行监督检查，并对项目资金的使用情况进行绩效评价，维护预算的严肃性，提高资金使用效益。区财政金融局要在批复预算后的20日内，通过县政府门户网站公开部门预算和“三公经费”预算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为维护预算的严肃性，部门收支预算下达后，一般不得调整。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2024年单位支出预算表</w:t>
      </w:r>
    </w:p>
    <w:p>
      <w:pPr>
        <w:spacing w:line="57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项目支出预算表</w:t>
      </w:r>
    </w:p>
    <w:p>
      <w:pPr>
        <w:spacing w:line="57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2024年度部门预算项目绩效目标表</w:t>
      </w:r>
    </w:p>
    <w:p>
      <w:pPr>
        <w:spacing w:line="57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部门（单位）整体绩效目标表</w:t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新乡经济开发区管理委员会</w:t>
      </w:r>
    </w:p>
    <w:p>
      <w:pPr>
        <w:spacing w:line="57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2024年3月29日</w:t>
      </w:r>
    </w:p>
    <w:p>
      <w:pPr>
        <w:spacing w:line="57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>预算01表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1511"/>
        <w:gridCol w:w="3021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  <w:t>收 支 预 算 总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部门名称：新乡经济开发区管理委员会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收入</w:t>
            </w:r>
          </w:p>
        </w:tc>
        <w:tc>
          <w:tcPr>
            <w:tcW w:w="25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项目  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金额  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项目 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10,053,161.34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9,428,700.00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10,053,161.34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六、事业单位经营收入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七、文化旅游体育与传媒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七、上级补助收入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334,200.00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八、附属单位上缴收入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68,400.00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122,000.00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十五、资源勘探信息等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十六、商业服务业等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136,700.00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二十三、国有资本经营预算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二十四、灾害防治及应急管理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10,053,161.34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 年 支 出 合 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28,090,000.00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18,036,838.66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入 总 计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28,090,000.00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28,090,000.00</w:t>
            </w:r>
          </w:p>
        </w:tc>
      </w:tr>
    </w:tbl>
    <w:p>
      <w:pPr>
        <w:spacing w:line="570" w:lineRule="exact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211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6"/>
        <w:gridCol w:w="396"/>
        <w:gridCol w:w="486"/>
        <w:gridCol w:w="1233"/>
        <w:gridCol w:w="1256"/>
        <w:gridCol w:w="1176"/>
        <w:gridCol w:w="1176"/>
        <w:gridCol w:w="1016"/>
        <w:gridCol w:w="1016"/>
        <w:gridCol w:w="646"/>
        <w:gridCol w:w="1256"/>
        <w:gridCol w:w="1176"/>
        <w:gridCol w:w="1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  <w:t>2024年单位支出预算表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部门名称：新乡经济开发区管理委员会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82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119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72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41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3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41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28,090,000.00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8,456,200.00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8,023,800.00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122,300.00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310,100.00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19,633,800.00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1,653,800.00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新乡经济开发区管理委员会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28,090,000.00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8,456,200.00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8,023,800.00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122,300.00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310,100.00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19,633,800.00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1,653,800.00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1,298,800.00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1,298,800.00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1,240,600.00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58,200.00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6,638,100.00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6,638,100.00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6,386,200.00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251,900.00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30,000.00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其他一般公共服务支出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1,441,800.00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1,441,800.00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1,441,800.00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51,100.00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51,100.00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51,100.00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53,000.00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53,000.00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53,000.00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174,000.00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174,000.00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174,000.00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18,200.00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44,600.00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44,600.00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44,600.00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23,800.00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小城镇基础设施建设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122,000.00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136,700.00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136,700.00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136,700.00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灾害风险防治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安全监管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6"/>
        <w:gridCol w:w="396"/>
        <w:gridCol w:w="842"/>
        <w:gridCol w:w="2622"/>
        <w:gridCol w:w="1256"/>
        <w:gridCol w:w="1176"/>
        <w:gridCol w:w="1176"/>
        <w:gridCol w:w="1179"/>
        <w:gridCol w:w="1257"/>
        <w:gridCol w:w="1257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  <w:t>项 目 支 出 预 算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7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部门名称：新乡经济开发区管理委员会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科目编码  </w:t>
            </w:r>
          </w:p>
        </w:tc>
        <w:tc>
          <w:tcPr>
            <w:tcW w:w="3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0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单位（项目名称）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36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132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3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5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19,633,800.00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新乡经济开发区管理委员会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19,633,800.00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新乡经济开发区管理委员会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19,633,800.00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1,596,961.34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18,036,838.66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统计调查经费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限上企业统计 劳务费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基层财政所工作经费（2023年结转）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原黎明派出所管网改造项目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财税征收工作经费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自筹人员工资福利支出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原黎明派出所办公场所改造费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357,000.00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357,000.00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357,000.00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357,000.00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办公运转经费（党建、纪检、宣传、文明创建费）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246,961.34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246,961.34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246,961.34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246,961.34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振动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中心厂房维修、监理等费用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自筹人员工资福利及平安建设奖励（2023年结转）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36,838.66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36,838.66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36,838.66</w:t>
            </w:r>
          </w:p>
        </w:tc>
        <w:tc>
          <w:tcPr>
            <w:tcW w:w="3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补记职业年金和养老保险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杨屯污水管网建设项目质保金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7,000.00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7,000.00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7,000.00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7,000.00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开发区项目谋划前期费用（可研、监理、审计）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新乡经济开发区化工园区环境影响评价报告项目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新乡经济开发区重大安全风险防控项目（2023年结转）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17,980,000.00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安全生产专家服务项目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112"/>
        <w:gridCol w:w="1116"/>
        <w:gridCol w:w="1206"/>
        <w:gridCol w:w="518"/>
        <w:gridCol w:w="526"/>
        <w:gridCol w:w="1078"/>
        <w:gridCol w:w="576"/>
        <w:gridCol w:w="1032"/>
        <w:gridCol w:w="576"/>
        <w:gridCol w:w="1032"/>
        <w:gridCol w:w="521"/>
        <w:gridCol w:w="981"/>
        <w:gridCol w:w="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预算18表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  <w:t>2024年度部门预算项目绩效目标表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部门名称：新乡经济开发区管理委员会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单位编码（项目编码）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项目单位 （项目名称）</w:t>
            </w:r>
          </w:p>
        </w:tc>
        <w:tc>
          <w:tcPr>
            <w:tcW w:w="129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项目金额（元）</w:t>
            </w:r>
          </w:p>
        </w:tc>
        <w:tc>
          <w:tcPr>
            <w:tcW w:w="246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成本指标  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产出指标  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效益指标  </w:t>
            </w: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满意度指标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政府预算资金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单位资金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新乡经济开发区管理委员会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19,633,800.00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19,633,800.00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908001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新乡经济开发区管理委员会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19,633,800.00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19,633,800.00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410721240000000029284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自筹人员工资福利及平安建设奖励（2023年结转）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36,838.66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36,838.66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自筹人员工资发放总额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≤3.69万元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自筹人员工资发放人数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≤7人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提高自筹退休人员收入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自筹人员工资发放足额率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自筹人员工资发放及时性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410721240000000029289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基层财政所工作经费（2023年结转）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项目支出总金额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≤2万元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办公用品及耗材采购完成率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提升基层财政所办公条件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基层财政所工作人员满意度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办公用品及耗材采购合格率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办公用品及耗材采购完成及时性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410721240000000042406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办公运转经费（党建、纪检、宣传、文明创建费）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246,961.34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246,961.34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经费支出总金额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≤100万元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办公用品设备材料采购完成率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保障机关正常运转</w:t>
            </w:r>
          </w:p>
        </w:tc>
        <w:tc>
          <w:tcPr>
            <w:tcW w:w="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机关工作人员满意度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印刷完成率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差旅费报销合规率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办公用品设备材料采购合格率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办公用品设备材料采购及时率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印刷完成及时率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差旅费报销及时性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跨区域工作任务完成率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印刷合格率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410721240000000042407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振动中心厂房维修、监理等费用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维修费总金额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≤7万元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维修维护完成及时性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提高振动中心厂房使用寿命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厂房租赁主体满意度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维修房屋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维修维护验收通过率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410721240000000042410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原黎明派出所办公场所改造费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357,000.00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357,000.00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办公场所改造费总额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≤35.7万元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改造工作完成时间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12月前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保障税务机关正常运转</w:t>
            </w:r>
          </w:p>
        </w:tc>
        <w:tc>
          <w:tcPr>
            <w:tcW w:w="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税务工作人员满意度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改造房屋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1栋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改造工作验收通过率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410721240000000042412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补记职业年金和养老保险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职业年金和养老保险补记总金额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≤2万元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补记资金缴纳及时性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保障社保资金足额缴纳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补记人员满意度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补记人数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1人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补记资金使用合规率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410721240000000042414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原黎明派出所管网改造项目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31,000.00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31,000.00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项目改造费总额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≤3.1万元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管网改造完工及时性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保障区税务局办公运转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税务工作人员满意度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管网改造数量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1套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管网改造验收通过率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410721240000000042415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自筹人员工资福利支出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工资发放总额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≤5万元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工资发放及时率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保障区机关正常运转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自筹人员满意度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工资发放人数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工资足额发放率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410721240000000042417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财税征收工作经费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650,000.00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650,000.00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经费支出总金额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≤200万元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经费拨付及时性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保障税务部门运转</w:t>
            </w:r>
          </w:p>
        </w:tc>
        <w:tc>
          <w:tcPr>
            <w:tcW w:w="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税务工作人员满意度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税收工作完成率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经费足额拨付率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410721240000000042419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开发区项目谋划前期费用（可研、监理、审计）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经费支出总金额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≤20万元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前期准备工作完成及时率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保障项目正常推进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项目建设人员满意度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项目前期工作完成率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项目规划评审通过率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410721240000000042420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统计调查经费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经费支出总金额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≤6万元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统计调查结果上报时间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12月前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提高区内经济主体统计数据准确度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统计调查人员满意度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经济主体统计调查覆盖率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统计调查结果上报率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410721240000000042422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限上企业统计 劳务费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统计劳务费总金额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≤4万元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劳务费发放及时率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提升统计数据准确性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统计人员满意度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劳务费发放人数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≤60人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限上企业统计数据上报率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410721240000000042423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杨屯污水管网建设项目质保金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项目质保金总额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≤0.7万元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质保期内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维修维护完成及时性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提高污水管网排污能力</w:t>
            </w:r>
          </w:p>
        </w:tc>
        <w:tc>
          <w:tcPr>
            <w:tcW w:w="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污水管网改造村庄数量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1个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质保期验收通过率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410721240000000042424</w:t>
            </w:r>
          </w:p>
        </w:tc>
        <w:tc>
          <w:tcPr>
            <w:tcW w:w="4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安全生产专家服务项目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4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20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经费支出总金额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≤10万元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安全生产常态化检查完成及时性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不发生安全生产事件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不发生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专家满意度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聘请专家数量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≥3人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安全检查专家出勤率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410721240000000042425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新乡经济开发区化工园区环境影响评价报告项目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65,000.00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65,000.00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环评报告编制费总金额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≤62万元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环评报告评审通过时间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12月前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提高环评信息准确度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报告编制企业满意度部门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环评报告编制数量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1份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环评报告提交通过率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410721240000000029300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新乡经济开发区重大安全风险防控项目（2023年结转）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17980000.00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17980000.00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≤1798万元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建设聚集区安全风险智能化管控平台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1个</w:t>
            </w:r>
          </w:p>
        </w:tc>
        <w:tc>
          <w:tcPr>
            <w:tcW w:w="3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园区重大安全风险数字化管控水平</w:t>
            </w:r>
          </w:p>
        </w:tc>
        <w:tc>
          <w:tcPr>
            <w:tcW w:w="2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大幅提升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聚集区内企业满意度</w:t>
            </w:r>
          </w:p>
        </w:tc>
        <w:tc>
          <w:tcPr>
            <w:tcW w:w="2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易燃易爆有毒有害气体泄漏监测管控设备建设任务完成率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园区内企业重大安全风险数字化管控水平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大幅提升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公共区域监测监控设备覆盖率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聚集区化工企业平台接入化工园区平台率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</w:rPr>
              <w:t>聚集区化工企业安全风险智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能化管控平台建设率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聚集区安全风险智能化管控平台功能模块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≥6个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安全等保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2.0三级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网络延迟、响应时间和稳定性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达到指南要求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预警响应率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≥95%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基本功能建成率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建设周期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≤1年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  <w:sectPr>
          <w:head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01"/>
        <w:gridCol w:w="2113"/>
        <w:gridCol w:w="1133"/>
        <w:gridCol w:w="3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预算19表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</w:rPr>
              <w:t>部门（单位）整体绩效目标表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（2024年度）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部门名称：新乡经济开发区管理委员会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年度履职目标</w:t>
            </w:r>
          </w:p>
        </w:tc>
        <w:tc>
          <w:tcPr>
            <w:tcW w:w="42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1、组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织实施开发区总体规划和有关专项规划，统筹辖区产业布局，实施促进产业发展相关政策措施。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2、做好辖区内基础设施和公共服务设施的建设和管理，推进开发区内开发、建设、管理工作。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3、健全招商引资制度，整合招商引资资源，搭建招商引资平台，推进辖区内招商引资工作。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4、做</w:t>
            </w:r>
            <w:r>
              <w:rPr>
                <w:rFonts w:hint="eastAsia" w:ascii="宋体" w:hAnsi="宋体" w:eastAsia="宋体" w:cs="宋体"/>
                <w:spacing w:val="-17"/>
                <w:kern w:val="0"/>
                <w:sz w:val="18"/>
                <w:szCs w:val="18"/>
              </w:rPr>
              <w:t>好区内工业企业的应急管理、安全生产、节能减排、生态环境保护工作，确保不发生重大安全生产事件。</w:t>
            </w:r>
            <w:r>
              <w:rPr>
                <w:rFonts w:hint="eastAsia" w:ascii="宋体" w:hAnsi="宋体" w:eastAsia="宋体" w:cs="宋体"/>
                <w:spacing w:val="-17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5、做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好国有资产管理，组织收入，完成全年一般公共预算收入目标，建立完善开发区预决算制度。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1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年度主要任务</w:t>
            </w: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1、做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好全年各项经济运行指标分析统计工作。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完成地区生产总值、规上企业产值、固定资产投资等综合质效指标增长目标。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2、做好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18"/>
                <w:szCs w:val="18"/>
              </w:rPr>
              <w:t>开发区、化工园区总体发展规划、产业发展规划等专项规划的编制批复工作。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完成总体发展规划、产业规划、环评、风险评估等规划编制，确保批复实施。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3、围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</w:rPr>
              <w:t>绕主导产业进行招商引资，实现招商引资重大突破。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完成招商引资、项目引进等目标任务。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4、做好开发区重大安全风险防控项目建设。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强化项目资金管理，保障项目有序推进，提升危险化学品重大安全风险管控能力。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5、组织预算收入，完成全年收入任务。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完成一般公共预算收入4800万元。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1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预算情况  </w:t>
            </w:r>
          </w:p>
        </w:tc>
        <w:tc>
          <w:tcPr>
            <w:tcW w:w="19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部门预算总额（元）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28,090,000.00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1、资金来源：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（1）政府预算资金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28,090,000.00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（2）财政专户管理资金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（3）单位资金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2、资金结构：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（1）基本支出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8,456,200.00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（2）项目支出</w:t>
            </w:r>
          </w:p>
        </w:tc>
        <w:tc>
          <w:tcPr>
            <w:tcW w:w="23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19,633,800.00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投入管理指标  </w:t>
            </w:r>
          </w:p>
        </w:tc>
        <w:tc>
          <w:tcPr>
            <w:tcW w:w="7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工作目标管理  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年度履职目标相关性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工作任务科学性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绩效指标合理性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合理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预算和财务管理  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预算编制完整性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完整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专项资金细化率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预算调整率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≤30%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结转结余率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政府采购执行率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决算真实性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真实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合规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健全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预决算信息公开性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资产管理规范性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规范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绩效管理  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绩效目标编制完成率</w:t>
            </w:r>
          </w:p>
        </w:tc>
        <w:tc>
          <w:tcPr>
            <w:tcW w:w="6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绩效监控完成率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绩效自评完成率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部门绩效评价完成率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评价结果应用率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产出指标  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重点工作任务完成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做好全年各项经济运行指标分析统计工作。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完成综合质效指标增长目标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做好开发区、化工园区总体发展规划、产业发展规划等专项规划的编制批复工作。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完成规划批复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围绕主导产业进行招商引资，实现招商引资重大突破。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完成招商引资、项目引进等目标任务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做好开发区重大安全风险防控项目建设。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保障项目有序推进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组织预算收入，完成全年收入任务。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完成一般公共预算收入4800万元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履职目标实现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组织实施开发区总体规划和有关专项规划，统筹辖区产业布局，实施促进产业发展相关政策措施。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促进区内产业发展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做好辖区内基础设施和公共服务设施的建设和管理，推进开发区内开发、建设、管理工作。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保障项目建设要素供给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健全招商引资制度，整合招商引资资源，搭建招商引资平台，推进辖区内招商引资工作。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提升招商营商环境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做好区内工业企业的应急管理、安全生产、节能减排、生态环境保护工作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提升区内企业安全生产水平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做好国有资产管理，组织收入，完成全年一般公共预算收入目标，建立完善开发区预决算制度。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国有资产管理到位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效益指标  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履职效益</w:t>
            </w:r>
          </w:p>
        </w:tc>
        <w:tc>
          <w:tcPr>
            <w:tcW w:w="11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提升服务辖区企业能力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促进开发区经济发展水平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促进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辖区企业满意度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≥85%</w:t>
            </w:r>
          </w:p>
        </w:tc>
        <w:tc>
          <w:tcPr>
            <w:tcW w:w="1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594" w:tblpY="7970"/>
        <w:tblOverlap w:val="never"/>
        <w:tblW w:w="90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新乡经济开发区党政办公室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6" w:type="default"/>
      <w:pgSz w:w="11906" w:h="16838"/>
      <w:pgMar w:top="1984" w:right="1587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RjMDE4YTY2N2Q3N2M4OTI5NzM2ODIyMGViY2EifQ=="/>
  </w:docVars>
  <w:rsids>
    <w:rsidRoot w:val="1A584F91"/>
    <w:rsid w:val="0010254D"/>
    <w:rsid w:val="006E7A01"/>
    <w:rsid w:val="00751DEC"/>
    <w:rsid w:val="00865371"/>
    <w:rsid w:val="00961224"/>
    <w:rsid w:val="00AD1027"/>
    <w:rsid w:val="00C82A57"/>
    <w:rsid w:val="00EB35AB"/>
    <w:rsid w:val="00EE73BE"/>
    <w:rsid w:val="021111CB"/>
    <w:rsid w:val="02A45A1C"/>
    <w:rsid w:val="03706FF2"/>
    <w:rsid w:val="040D703F"/>
    <w:rsid w:val="065D710A"/>
    <w:rsid w:val="0A5371A2"/>
    <w:rsid w:val="0AB3379D"/>
    <w:rsid w:val="0D764D13"/>
    <w:rsid w:val="0E9D4E90"/>
    <w:rsid w:val="0F1A64E0"/>
    <w:rsid w:val="0F4C0664"/>
    <w:rsid w:val="0F87344A"/>
    <w:rsid w:val="11141BF4"/>
    <w:rsid w:val="14706BA3"/>
    <w:rsid w:val="15007F26"/>
    <w:rsid w:val="162E0780"/>
    <w:rsid w:val="17A0779F"/>
    <w:rsid w:val="1A584F91"/>
    <w:rsid w:val="1B57052A"/>
    <w:rsid w:val="1D17326E"/>
    <w:rsid w:val="1E9C1E05"/>
    <w:rsid w:val="1F112DF7"/>
    <w:rsid w:val="1F3F164B"/>
    <w:rsid w:val="210E5333"/>
    <w:rsid w:val="255E5326"/>
    <w:rsid w:val="261954EA"/>
    <w:rsid w:val="27A21D1D"/>
    <w:rsid w:val="27AF7EE5"/>
    <w:rsid w:val="2BFF463C"/>
    <w:rsid w:val="2E24482E"/>
    <w:rsid w:val="322B0A92"/>
    <w:rsid w:val="37753A04"/>
    <w:rsid w:val="38CC7F9C"/>
    <w:rsid w:val="39C11183"/>
    <w:rsid w:val="3B4402BD"/>
    <w:rsid w:val="3BB106FB"/>
    <w:rsid w:val="3C5D3FF4"/>
    <w:rsid w:val="3D734E8A"/>
    <w:rsid w:val="3DDD7661"/>
    <w:rsid w:val="3FB95E7B"/>
    <w:rsid w:val="42C121F4"/>
    <w:rsid w:val="42C615B8"/>
    <w:rsid w:val="43707776"/>
    <w:rsid w:val="4B4524E6"/>
    <w:rsid w:val="51134562"/>
    <w:rsid w:val="55766E6E"/>
    <w:rsid w:val="55F34962"/>
    <w:rsid w:val="568D26C1"/>
    <w:rsid w:val="5960230F"/>
    <w:rsid w:val="5A92474A"/>
    <w:rsid w:val="5C2F5FC8"/>
    <w:rsid w:val="5D2B606A"/>
    <w:rsid w:val="5F812FDF"/>
    <w:rsid w:val="605D3104"/>
    <w:rsid w:val="60E05AE3"/>
    <w:rsid w:val="672F1572"/>
    <w:rsid w:val="67C43A69"/>
    <w:rsid w:val="68F71C1C"/>
    <w:rsid w:val="694A4441"/>
    <w:rsid w:val="6FAC7C04"/>
    <w:rsid w:val="70313C65"/>
    <w:rsid w:val="76283D5C"/>
    <w:rsid w:val="768E0063"/>
    <w:rsid w:val="7762336C"/>
    <w:rsid w:val="78000AED"/>
    <w:rsid w:val="79356F12"/>
    <w:rsid w:val="79F0693F"/>
    <w:rsid w:val="7A1C7734"/>
    <w:rsid w:val="7C30396B"/>
    <w:rsid w:val="7D6A2801"/>
    <w:rsid w:val="7E4D1947"/>
    <w:rsid w:val="7EF5208C"/>
    <w:rsid w:val="7F271055"/>
    <w:rsid w:val="7F7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5">
    <w:name w:val="xl71"/>
    <w:basedOn w:val="1"/>
    <w:autoRedefine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8"/>
      <w:szCs w:val="38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1571</Words>
  <Characters>8955</Characters>
  <Lines>74</Lines>
  <Paragraphs>21</Paragraphs>
  <TotalTime>15</TotalTime>
  <ScaleCrop>false</ScaleCrop>
  <LinksUpToDate>false</LinksUpToDate>
  <CharactersWithSpaces>10505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2023-10-21T03:25:00Z</dcterms:created>
  <dc:creator>Administrator</dc:creator>
  <cp:lastModifiedBy>泥土有芬芳</cp:lastModifiedBy>
  <cp:lastPrinted>2024-01-04T08:46:00Z</cp:lastPrinted>
  <dcterms:modified xsi:type="dcterms:W3CDTF">2024-04-10T10:29:56Z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075EFF59BB9B4CB9AEEDBF1B7F3693A8_13</vt:lpwstr>
  </property>
</Properties>
</file>