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sz w:val="36"/>
          <w:szCs w:val="36"/>
          <w:lang w:eastAsia="zh-CN"/>
        </w:rPr>
      </w:pPr>
      <w:bookmarkStart w:id="21" w:name="_GoBack"/>
      <w:bookmarkEnd w:id="21"/>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outlineLvl w:val="0"/>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keepNext w:val="0"/>
        <w:keepLines w:val="0"/>
        <w:pageBreakBefore w:val="0"/>
        <w:kinsoku/>
        <w:wordWrap/>
        <w:overflowPunct/>
        <w:topLinePunct w:val="0"/>
        <w:autoSpaceDE/>
        <w:autoSpaceDN/>
        <w:bidi w:val="0"/>
        <w:adjustRightInd w:val="0"/>
        <w:snapToGrid w:val="0"/>
        <w:spacing w:line="360" w:lineRule="auto"/>
        <w:ind w:firstLine="960" w:firstLineChars="300"/>
        <w:jc w:val="both"/>
        <w:textAlignment w:val="auto"/>
        <w:rPr>
          <w:rFonts w:hint="default" w:ascii="Times New Roman" w:hAnsi="Times New Roman" w:eastAsia="宋体" w:cs="Times New Roman"/>
          <w:color w:val="000000"/>
          <w:kern w:val="0"/>
          <w:sz w:val="32"/>
          <w:szCs w:val="32"/>
          <w:u w:val="single"/>
          <w:lang w:val="en-US" w:eastAsia="zh-CN" w:bidi="ar"/>
        </w:rPr>
      </w:pPr>
      <w:r>
        <w:rPr>
          <w:rFonts w:hint="default" w:ascii="Times New Roman" w:hAnsi="Times New Roman" w:eastAsia="宋体" w:cs="Times New Roman"/>
          <w:sz w:val="32"/>
          <w:szCs w:val="32"/>
        </w:rPr>
        <w:t>项目名称</w:t>
      </w:r>
      <w:r>
        <w:rPr>
          <w:rFonts w:hint="eastAsia" w:cs="Times New Roman"/>
          <w:sz w:val="32"/>
          <w:szCs w:val="32"/>
          <w:lang w:val="en-US" w:eastAsia="zh-CN"/>
        </w:rPr>
        <w:t>：</w:t>
      </w:r>
      <w:r>
        <w:rPr>
          <w:rFonts w:hint="eastAsia" w:cs="Times New Roman"/>
          <w:color w:val="000000"/>
          <w:kern w:val="0"/>
          <w:sz w:val="32"/>
          <w:szCs w:val="32"/>
          <w:u w:val="single"/>
          <w:lang w:val="en-US" w:eastAsia="zh-CN" w:bidi="ar"/>
        </w:rPr>
        <w:t xml:space="preserve"> </w:t>
      </w:r>
      <w:r>
        <w:rPr>
          <w:rFonts w:hint="default" w:ascii="Times New Roman" w:hAnsi="Times New Roman" w:eastAsia="宋体" w:cs="Times New Roman"/>
          <w:color w:val="000000"/>
          <w:kern w:val="0"/>
          <w:sz w:val="32"/>
          <w:szCs w:val="32"/>
          <w:u w:val="single"/>
          <w:lang w:val="en-US" w:eastAsia="zh-CN" w:bidi="ar"/>
        </w:rPr>
        <w:t>河南省永丰模具有限公司年产13万只</w:t>
      </w:r>
      <w:r>
        <w:rPr>
          <w:rFonts w:hint="eastAsia" w:cs="Times New Roman"/>
          <w:color w:val="000000"/>
          <w:kern w:val="0"/>
          <w:sz w:val="32"/>
          <w:szCs w:val="32"/>
          <w:u w:val="single"/>
          <w:lang w:val="en-US" w:eastAsia="zh-CN" w:bidi="ar"/>
        </w:rPr>
        <w:t xml:space="preserve"> </w:t>
      </w:r>
    </w:p>
    <w:p>
      <w:pPr>
        <w:keepNext w:val="0"/>
        <w:keepLines w:val="0"/>
        <w:pageBreakBefore w:val="0"/>
        <w:kinsoku/>
        <w:wordWrap/>
        <w:overflowPunct/>
        <w:topLinePunct w:val="0"/>
        <w:autoSpaceDE/>
        <w:autoSpaceDN/>
        <w:bidi w:val="0"/>
        <w:adjustRightInd w:val="0"/>
        <w:snapToGrid w:val="0"/>
        <w:spacing w:line="360" w:lineRule="auto"/>
        <w:ind w:left="2354" w:leftChars="1121" w:firstLine="0" w:firstLineChars="0"/>
        <w:jc w:val="both"/>
        <w:textAlignment w:val="auto"/>
        <w:rPr>
          <w:rFonts w:hint="default" w:ascii="Times New Roman" w:hAnsi="Times New Roman" w:eastAsia="宋体" w:cs="Times New Roman"/>
          <w:color w:val="000000"/>
          <w:kern w:val="0"/>
          <w:sz w:val="32"/>
          <w:szCs w:val="32"/>
          <w:u w:val="single"/>
          <w:lang w:val="en-US" w:eastAsia="zh-CN" w:bidi="ar"/>
        </w:rPr>
      </w:pPr>
      <w:r>
        <w:rPr>
          <w:rFonts w:hint="default" w:ascii="Times New Roman" w:hAnsi="Times New Roman" w:eastAsia="宋体" w:cs="Times New Roman"/>
          <w:color w:val="000000"/>
          <w:kern w:val="0"/>
          <w:sz w:val="32"/>
          <w:szCs w:val="32"/>
          <w:u w:val="single"/>
          <w:lang w:val="en-US" w:eastAsia="zh-CN" w:bidi="ar"/>
        </w:rPr>
        <w:t>塑料包装容器项目及原三期工程改建项目</w:t>
      </w:r>
      <w:r>
        <w:rPr>
          <w:rFonts w:hint="eastAsia" w:cs="Times New Roman"/>
          <w:color w:val="000000"/>
          <w:kern w:val="0"/>
          <w:sz w:val="32"/>
          <w:szCs w:val="32"/>
          <w:u w:val="single"/>
          <w:lang w:val="en-US" w:eastAsia="zh-CN" w:bidi="ar"/>
        </w:rPr>
        <w:t xml:space="preserve"> </w:t>
      </w:r>
    </w:p>
    <w:p>
      <w:pPr>
        <w:keepNext w:val="0"/>
        <w:keepLines w:val="0"/>
        <w:pageBreakBefore w:val="0"/>
        <w:kinsoku/>
        <w:wordWrap/>
        <w:overflowPunct/>
        <w:topLinePunct w:val="0"/>
        <w:autoSpaceDE/>
        <w:autoSpaceDN/>
        <w:bidi w:val="0"/>
        <w:adjustRightInd w:val="0"/>
        <w:snapToGrid w:val="0"/>
        <w:spacing w:line="360" w:lineRule="auto"/>
        <w:ind w:firstLine="960" w:firstLineChars="300"/>
        <w:textAlignment w:val="auto"/>
        <w:rPr>
          <w:rFonts w:hint="default" w:ascii="Times New Roman" w:hAnsi="Times New Roman" w:eastAsia="宋体" w:cs="Times New Roman"/>
          <w:sz w:val="32"/>
          <w:szCs w:val="32"/>
          <w:u w:val="single"/>
          <w:lang w:val="en-US" w:eastAsia="zh-CN"/>
        </w:rPr>
      </w:pPr>
      <w:r>
        <w:rPr>
          <w:rFonts w:hint="default" w:ascii="Times New Roman" w:hAnsi="Times New Roman" w:eastAsia="宋体" w:cs="Times New Roman"/>
          <w:sz w:val="32"/>
          <w:szCs w:val="32"/>
        </w:rPr>
        <w:t>建设单位</w:t>
      </w:r>
      <w:r>
        <w:rPr>
          <w:rFonts w:hint="eastAsia" w:cs="Times New Roman"/>
          <w:sz w:val="32"/>
          <w:szCs w:val="32"/>
          <w:lang w:val="en-US" w:eastAsia="zh-CN"/>
        </w:rPr>
        <w:t>：</w:t>
      </w:r>
      <w:r>
        <w:rPr>
          <w:rFonts w:hint="default" w:ascii="Times New Roman" w:hAnsi="Times New Roman" w:eastAsia="宋体" w:cs="Times New Roman"/>
          <w:sz w:val="32"/>
          <w:szCs w:val="32"/>
          <w:u w:val="single"/>
          <w:lang w:val="en-US" w:eastAsia="zh-CN"/>
        </w:rPr>
        <w:t xml:space="preserve">      河南省永丰模具</w:t>
      </w:r>
      <w:r>
        <w:rPr>
          <w:rFonts w:hint="default" w:ascii="Times New Roman" w:hAnsi="Times New Roman" w:eastAsia="宋体" w:cs="Times New Roman"/>
          <w:sz w:val="32"/>
          <w:szCs w:val="32"/>
          <w:u w:val="single"/>
          <w:lang w:eastAsia="zh-CN"/>
        </w:rPr>
        <w:t>有限公司</w:t>
      </w:r>
      <w:r>
        <w:rPr>
          <w:rFonts w:hint="default" w:ascii="Times New Roman" w:hAnsi="Times New Roman" w:eastAsia="宋体" w:cs="Times New Roman"/>
          <w:sz w:val="32"/>
          <w:szCs w:val="32"/>
          <w:u w:val="single"/>
          <w:lang w:val="en-US" w:eastAsia="zh-CN"/>
        </w:rPr>
        <w:t xml:space="preserve">  </w:t>
      </w:r>
      <w:r>
        <w:rPr>
          <w:rFonts w:hint="eastAsia" w:ascii="Times New Roman" w:hAnsi="Times New Roman" w:eastAsia="宋体" w:cs="Times New Roman"/>
          <w:sz w:val="32"/>
          <w:szCs w:val="32"/>
          <w:u w:val="single"/>
          <w:lang w:val="en-US" w:eastAsia="zh-CN"/>
        </w:rPr>
        <w:t xml:space="preserve">  </w:t>
      </w:r>
      <w:r>
        <w:rPr>
          <w:rFonts w:hint="eastAsia" w:cs="Times New Roman"/>
          <w:sz w:val="32"/>
          <w:szCs w:val="32"/>
          <w:u w:val="single"/>
          <w:lang w:val="en-US" w:eastAsia="zh-CN"/>
        </w:rPr>
        <w:t xml:space="preserve">   </w:t>
      </w:r>
    </w:p>
    <w:p>
      <w:pPr>
        <w:keepNext w:val="0"/>
        <w:keepLines w:val="0"/>
        <w:pageBreakBefore w:val="0"/>
        <w:widowControl/>
        <w:suppressLineNumbers w:val="0"/>
        <w:tabs>
          <w:tab w:val="left" w:pos="1066"/>
        </w:tabs>
        <w:kinsoku/>
        <w:wordWrap/>
        <w:overflowPunct/>
        <w:topLinePunct w:val="0"/>
        <w:autoSpaceDE/>
        <w:autoSpaceDN/>
        <w:bidi w:val="0"/>
        <w:spacing w:line="360" w:lineRule="auto"/>
        <w:ind w:firstLine="960" w:firstLineChars="300"/>
        <w:jc w:val="left"/>
        <w:textAlignment w:val="auto"/>
        <w:rPr>
          <w:rFonts w:hint="default" w:ascii="Times New Roman" w:hAnsi="Times New Roman" w:eastAsia="宋体" w:cs="Times New Roman"/>
          <w:color w:val="000000"/>
          <w:kern w:val="0"/>
          <w:sz w:val="36"/>
          <w:szCs w:val="36"/>
          <w:u w:val="none"/>
          <w:lang w:val="en-US" w:eastAsia="zh-CN" w:bidi="ar"/>
        </w:rPr>
      </w:pPr>
      <w:r>
        <w:rPr>
          <w:rFonts w:hint="default" w:ascii="Times New Roman" w:hAnsi="Times New Roman" w:eastAsia="宋体" w:cs="Times New Roman"/>
          <w:sz w:val="32"/>
          <w:szCs w:val="32"/>
        </w:rPr>
        <w:t>编制日期</w:t>
      </w:r>
      <w:r>
        <w:rPr>
          <w:rFonts w:hint="eastAsia" w:cs="Times New Roman"/>
          <w:sz w:val="32"/>
          <w:szCs w:val="32"/>
          <w:lang w:val="en-US" w:eastAsia="zh-CN"/>
        </w:rPr>
        <w:t>：</w:t>
      </w:r>
      <w:r>
        <w:rPr>
          <w:rFonts w:hint="default" w:ascii="Times New Roman" w:hAnsi="Times New Roman" w:eastAsia="宋体" w:cs="Times New Roman"/>
          <w:sz w:val="32"/>
          <w:szCs w:val="32"/>
          <w:u w:val="single"/>
          <w:lang w:val="en-US" w:eastAsia="zh-CN"/>
        </w:rPr>
        <w:t xml:space="preserve">           2023年</w:t>
      </w:r>
      <w:r>
        <w:rPr>
          <w:rFonts w:hint="eastAsia" w:cs="Times New Roman"/>
          <w:sz w:val="32"/>
          <w:szCs w:val="32"/>
          <w:u w:val="single"/>
          <w:lang w:val="en-US" w:eastAsia="zh-CN"/>
        </w:rPr>
        <w:t>8</w:t>
      </w:r>
      <w:r>
        <w:rPr>
          <w:rFonts w:hint="default" w:ascii="Times New Roman" w:hAnsi="Times New Roman" w:eastAsia="宋体" w:cs="Times New Roman"/>
          <w:sz w:val="32"/>
          <w:szCs w:val="32"/>
          <w:u w:val="single"/>
          <w:lang w:val="en-US" w:eastAsia="zh-CN"/>
        </w:rPr>
        <w:t xml:space="preserve">月         </w:t>
      </w:r>
      <w:r>
        <w:rPr>
          <w:rFonts w:hint="eastAsia" w:ascii="Times New Roman" w:hAnsi="Times New Roman" w:eastAsia="宋体" w:cs="Times New Roman"/>
          <w:sz w:val="32"/>
          <w:szCs w:val="32"/>
          <w:u w:val="single"/>
          <w:lang w:val="en-US" w:eastAsia="zh-CN"/>
        </w:rPr>
        <w:t xml:space="preserve"> </w:t>
      </w:r>
      <w:r>
        <w:rPr>
          <w:rFonts w:hint="eastAsia" w:cs="Times New Roman"/>
          <w:sz w:val="32"/>
          <w:szCs w:val="32"/>
          <w:u w:val="single"/>
          <w:lang w:val="en-US" w:eastAsia="zh-CN"/>
        </w:rPr>
        <w:t xml:space="preserve">  </w:t>
      </w:r>
      <w:r>
        <w:rPr>
          <w:rFonts w:hint="eastAsia" w:cs="Times New Roman"/>
          <w:sz w:val="36"/>
          <w:szCs w:val="36"/>
          <w:u w:val="single"/>
          <w:lang w:val="en-US" w:eastAsia="zh-CN"/>
        </w:rPr>
        <w:t xml:space="preserve">  </w:t>
      </w:r>
    </w:p>
    <w:p>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仿宋_GB2312" w:eastAsia="宋体"/>
          <w:sz w:val="36"/>
          <w:szCs w:val="36"/>
          <w:lang w:val="en-US" w:eastAsia="zh-CN"/>
        </w:rPr>
      </w:pPr>
      <w:bookmarkStart w:id="0" w:name="_Hlk57884087"/>
      <w:r>
        <w:rPr>
          <w:rFonts w:hint="eastAsia" w:ascii="仿宋_GB2312"/>
          <w:sz w:val="36"/>
          <w:szCs w:val="36"/>
          <w:lang w:val="en-US" w:eastAsia="zh-CN"/>
        </w:rPr>
        <w:t xml:space="preserve"> </w:t>
      </w:r>
    </w:p>
    <w:p>
      <w:pPr>
        <w:adjustRightInd w:val="0"/>
        <w:snapToGrid w:val="0"/>
        <w:spacing w:line="288" w:lineRule="auto"/>
        <w:rPr>
          <w:rFonts w:hint="eastAsia" w:ascii="仿宋_GB2312" w:eastAsia="仿宋_GB2312"/>
          <w:sz w:val="36"/>
          <w:szCs w:val="36"/>
        </w:rPr>
      </w:pPr>
    </w:p>
    <w:p>
      <w:pPr>
        <w:adjustRightInd w:val="0"/>
        <w:snapToGrid w:val="0"/>
        <w:spacing w:line="288" w:lineRule="auto"/>
        <w:ind w:firstLine="1040"/>
        <w:rPr>
          <w:rFonts w:hint="eastAsia" w:ascii="仿宋_GB2312" w:eastAsia="仿宋_GB2312"/>
          <w:sz w:val="36"/>
          <w:szCs w:val="36"/>
        </w:rPr>
      </w:pPr>
    </w:p>
    <w:bookmarkEnd w:id="0"/>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jc w:val="center"/>
        <w:rPr>
          <w:rFonts w:hint="eastAsia" w:eastAsia="仿宋_GB2312"/>
          <w:lang w:eastAsia="zh-CN"/>
        </w:rPr>
      </w:pPr>
      <w:r>
        <w:rPr>
          <w:rFonts w:ascii="仿宋_GB2312" w:eastAsia="仿宋_GB2312"/>
          <w:sz w:val="36"/>
          <w:szCs w:val="36"/>
        </w:rPr>
        <w:br w:type="page"/>
      </w:r>
    </w:p>
    <w:p>
      <w:pPr>
        <w:jc w:val="center"/>
        <w:rPr>
          <w:rFonts w:hint="eastAsia" w:eastAsia="宋体"/>
          <w:sz w:val="21"/>
          <w:lang w:eastAsia="zh-CN"/>
        </w:rPr>
      </w:pPr>
      <w:r>
        <w:rPr>
          <w:sz w:val="21"/>
        </w:rPr>
        <w:drawing>
          <wp:inline distT="0" distB="0" distL="114300" distR="114300">
            <wp:extent cx="5608320" cy="7930515"/>
            <wp:effectExtent l="0" t="0" r="11430" b="13335"/>
            <wp:docPr id="59" name="图片 59" descr="b4511f53c13969d34e1b64fc3201a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4511f53c13969d34e1b64fc3201a8e"/>
                    <pic:cNvPicPr>
                      <a:picLocks noChangeAspect="1"/>
                    </pic:cNvPicPr>
                  </pic:nvPicPr>
                  <pic:blipFill>
                    <a:blip r:embed="rId11"/>
                    <a:stretch>
                      <a:fillRect/>
                    </a:stretch>
                  </pic:blipFill>
                  <pic:spPr>
                    <a:xfrm>
                      <a:off x="0" y="0"/>
                      <a:ext cx="5608320" cy="7930515"/>
                    </a:xfrm>
                    <a:prstGeom prst="rect">
                      <a:avLst/>
                    </a:prstGeom>
                  </pic:spPr>
                </pic:pic>
              </a:graphicData>
            </a:graphic>
          </wp:inline>
        </w:drawing>
      </w:r>
      <w:r>
        <w:rPr>
          <w:rFonts w:hint="eastAsia" w:eastAsia="宋体"/>
          <w:sz w:val="21"/>
          <w:lang w:eastAsia="zh-CN"/>
        </w:rPr>
        <w:drawing>
          <wp:inline distT="0" distB="0" distL="114300" distR="114300">
            <wp:extent cx="5608320" cy="7930515"/>
            <wp:effectExtent l="0" t="0" r="11430" b="13335"/>
            <wp:docPr id="74" name="图片 74" descr="cc549b9725bf67dc3652b3f3daf5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c549b9725bf67dc3652b3f3daf518b"/>
                    <pic:cNvPicPr>
                      <a:picLocks noChangeAspect="1"/>
                    </pic:cNvPicPr>
                  </pic:nvPicPr>
                  <pic:blipFill>
                    <a:blip r:embed="rId12"/>
                    <a:stretch>
                      <a:fillRect/>
                    </a:stretch>
                  </pic:blipFill>
                  <pic:spPr>
                    <a:xfrm>
                      <a:off x="0" y="0"/>
                      <a:ext cx="5608320" cy="7930515"/>
                    </a:xfrm>
                    <a:prstGeom prst="rect">
                      <a:avLst/>
                    </a:prstGeom>
                  </pic:spPr>
                </pic:pic>
              </a:graphicData>
            </a:graphic>
          </wp:inline>
        </w:drawing>
      </w:r>
    </w:p>
    <w:p>
      <w:pPr>
        <w:jc w:val="center"/>
        <w:rPr>
          <w:rFonts w:hint="eastAsia" w:eastAsia="宋体"/>
          <w:lang w:eastAsia="zh-CN"/>
        </w:rPr>
        <w:sectPr>
          <w:headerReference r:id="rId3" w:type="default"/>
          <w:footerReference r:id="rId4" w:type="default"/>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sz w:val="21"/>
        </w:rPr>
        <w:drawing>
          <wp:inline distT="0" distB="0" distL="114300" distR="114300">
            <wp:extent cx="5610860" cy="7338695"/>
            <wp:effectExtent l="0" t="0" r="8890" b="14605"/>
            <wp:docPr id="72" name="图片 72" descr="4ee0ec752b1c5749d561ed7da40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4ee0ec752b1c5749d561ed7da400512"/>
                    <pic:cNvPicPr>
                      <a:picLocks noChangeAspect="1"/>
                    </pic:cNvPicPr>
                  </pic:nvPicPr>
                  <pic:blipFill>
                    <a:blip r:embed="rId13"/>
                    <a:stretch>
                      <a:fillRect/>
                    </a:stretch>
                  </pic:blipFill>
                  <pic:spPr>
                    <a:xfrm>
                      <a:off x="0" y="0"/>
                      <a:ext cx="5610860" cy="7338695"/>
                    </a:xfrm>
                    <a:prstGeom prst="rect">
                      <a:avLst/>
                    </a:prstGeom>
                  </pic:spPr>
                </pic:pic>
              </a:graphicData>
            </a:graphic>
          </wp:inline>
        </w:drawing>
      </w:r>
      <w:r>
        <w:rPr>
          <w:sz w:val="21"/>
        </w:rPr>
        <mc:AlternateContent>
          <mc:Choice Requires="wps">
            <w:drawing>
              <wp:anchor distT="0" distB="0" distL="114300" distR="114300" simplePos="0" relativeHeight="251678720" behindDoc="0" locked="0" layoutInCell="1" allowOverlap="1">
                <wp:simplePos x="0" y="0"/>
                <wp:positionH relativeFrom="column">
                  <wp:posOffset>3151505</wp:posOffset>
                </wp:positionH>
                <wp:positionV relativeFrom="paragraph">
                  <wp:posOffset>3410585</wp:posOffset>
                </wp:positionV>
                <wp:extent cx="2670810" cy="1129665"/>
                <wp:effectExtent l="5080" t="5080" r="8255" b="10160"/>
                <wp:wrapNone/>
                <wp:docPr id="52" name="文本框 52"/>
                <wp:cNvGraphicFramePr/>
                <a:graphic xmlns:a="http://schemas.openxmlformats.org/drawingml/2006/main">
                  <a:graphicData uri="http://schemas.microsoft.com/office/word/2010/wordprocessingShape">
                    <wps:wsp>
                      <wps:cNvSpPr txBox="1"/>
                      <wps:spPr>
                        <a:xfrm rot="16200000">
                          <a:off x="1186815" y="4291965"/>
                          <a:ext cx="2670810" cy="1129665"/>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suppressLineNumbers w:val="0"/>
                              <w:jc w:val="left"/>
                              <w:rPr>
                                <w:rFonts w:hint="default" w:eastAsia="宋体"/>
                                <w:color w:val="FF0000"/>
                                <w:sz w:val="28"/>
                                <w:szCs w:val="28"/>
                                <w:highlight w:val="none"/>
                                <w:lang w:val="en-US" w:eastAsia="zh-CN"/>
                              </w:rPr>
                            </w:pPr>
                            <w:r>
                              <w:rPr>
                                <w:rFonts w:hint="eastAsia"/>
                                <w:color w:val="FF0000"/>
                                <w:sz w:val="28"/>
                                <w:szCs w:val="28"/>
                                <w:highlight w:val="none"/>
                                <w:lang w:val="en-US" w:eastAsia="zh-CN"/>
                              </w:rPr>
                              <w:t xml:space="preserve">仅限  </w:t>
                            </w:r>
                            <w:r>
                              <w:rPr>
                                <w:rFonts w:hint="eastAsia" w:ascii="宋体" w:hAnsi="宋体" w:eastAsia="宋体" w:cs="宋体"/>
                                <w:color w:val="FF0000"/>
                                <w:kern w:val="0"/>
                                <w:sz w:val="28"/>
                                <w:szCs w:val="28"/>
                                <w:lang w:val="en-US" w:eastAsia="zh-CN" w:bidi="ar"/>
                              </w:rPr>
                              <w:t>河南省永丰模具有限公司年产13万只塑料包装容器项目及原三期工程改建项目</w:t>
                            </w:r>
                            <w:r>
                              <w:rPr>
                                <w:rFonts w:hint="eastAsia" w:ascii="宋体" w:hAnsi="宋体" w:eastAsia="宋体" w:cs="宋体"/>
                                <w:color w:val="FF0000"/>
                                <w:kern w:val="0"/>
                                <w:sz w:val="24"/>
                                <w:szCs w:val="24"/>
                                <w:lang w:val="en-US" w:eastAsia="zh-CN" w:bidi="ar"/>
                              </w:rPr>
                              <w:t xml:space="preserve">  </w:t>
                            </w:r>
                            <w:r>
                              <w:rPr>
                                <w:rFonts w:hint="eastAsia"/>
                                <w:color w:val="FF0000"/>
                                <w:sz w:val="28"/>
                                <w:szCs w:val="28"/>
                                <w:highlight w:val="none"/>
                                <w:lang w:val="en-US" w:eastAsia="zh-CN"/>
                              </w:rPr>
                              <w:t>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15pt;margin-top:268.55pt;height:88.95pt;width:210.3pt;rotation:-5898240f;z-index:251678720;mso-width-relative:page;mso-height-relative:page;" filled="f" stroked="t" coordsize="21600,21600" o:gfxdata="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oWurh2gAAAAsBAAAPAAAAAAAAAAEAIAAAACIAAABkcnMvZG93bnJldi54bWxQ&#10;SwECFAAUAAAACACHTuJANjBZcGcCAACtBAAADgAAAAAAAAABACAAAAApAQAAZHJzL2Uyb0RvYy54&#10;bWxQSwUGAAAAAAYABgBZAQAAAgYAAAAA&#10;">
                <v:fill on="f" focussize="0,0"/>
                <v:stroke weight="0.5pt" color="#FF0000 [3204]" joinstyle="round"/>
                <v:imagedata o:title=""/>
                <o:lock v:ext="edit" aspectratio="f"/>
                <v:textbox>
                  <w:txbxContent>
                    <w:p>
                      <w:pPr>
                        <w:keepNext w:val="0"/>
                        <w:keepLines w:val="0"/>
                        <w:widowControl/>
                        <w:suppressLineNumbers w:val="0"/>
                        <w:jc w:val="left"/>
                        <w:rPr>
                          <w:rFonts w:hint="default" w:eastAsia="宋体"/>
                          <w:color w:val="FF0000"/>
                          <w:sz w:val="28"/>
                          <w:szCs w:val="28"/>
                          <w:highlight w:val="none"/>
                          <w:lang w:val="en-US" w:eastAsia="zh-CN"/>
                        </w:rPr>
                      </w:pPr>
                      <w:r>
                        <w:rPr>
                          <w:rFonts w:hint="eastAsia"/>
                          <w:color w:val="FF0000"/>
                          <w:sz w:val="28"/>
                          <w:szCs w:val="28"/>
                          <w:highlight w:val="none"/>
                          <w:lang w:val="en-US" w:eastAsia="zh-CN"/>
                        </w:rPr>
                        <w:t xml:space="preserve">仅限  </w:t>
                      </w:r>
                      <w:r>
                        <w:rPr>
                          <w:rFonts w:hint="eastAsia" w:ascii="宋体" w:hAnsi="宋体" w:eastAsia="宋体" w:cs="宋体"/>
                          <w:color w:val="FF0000"/>
                          <w:kern w:val="0"/>
                          <w:sz w:val="28"/>
                          <w:szCs w:val="28"/>
                          <w:lang w:val="en-US" w:eastAsia="zh-CN" w:bidi="ar"/>
                        </w:rPr>
                        <w:t>河南省永丰模具有限公司年产13万只塑料包装容器项目及原三期工程改建项目</w:t>
                      </w:r>
                      <w:r>
                        <w:rPr>
                          <w:rFonts w:hint="eastAsia" w:ascii="宋体" w:hAnsi="宋体" w:eastAsia="宋体" w:cs="宋体"/>
                          <w:color w:val="FF0000"/>
                          <w:kern w:val="0"/>
                          <w:sz w:val="24"/>
                          <w:szCs w:val="24"/>
                          <w:lang w:val="en-US" w:eastAsia="zh-CN" w:bidi="ar"/>
                        </w:rPr>
                        <w:t xml:space="preserve">  </w:t>
                      </w:r>
                      <w:r>
                        <w:rPr>
                          <w:rFonts w:hint="eastAsia"/>
                          <w:color w:val="FF0000"/>
                          <w:sz w:val="28"/>
                          <w:szCs w:val="28"/>
                          <w:highlight w:val="none"/>
                          <w:lang w:val="en-US" w:eastAsia="zh-CN"/>
                        </w:rPr>
                        <w:t>使用</w:t>
                      </w:r>
                    </w:p>
                  </w:txbxContent>
                </v:textbox>
              </v:shape>
            </w:pict>
          </mc:Fallback>
        </mc:AlternateContent>
      </w:r>
      <w:r>
        <w:rPr>
          <w:rFonts w:hint="eastAsia" w:eastAsia="宋体"/>
          <w:lang w:eastAsia="zh-CN"/>
        </w:rPr>
        <w:drawing>
          <wp:inline distT="0" distB="0" distL="114300" distR="114300">
            <wp:extent cx="5614035" cy="8406130"/>
            <wp:effectExtent l="0" t="0" r="5715" b="13970"/>
            <wp:docPr id="21" name="图片 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
                    <pic:cNvPicPr>
                      <a:picLocks noChangeAspect="1"/>
                    </pic:cNvPicPr>
                  </pic:nvPicPr>
                  <pic:blipFill>
                    <a:blip r:embed="rId14"/>
                    <a:stretch>
                      <a:fillRect/>
                    </a:stretch>
                  </pic:blipFill>
                  <pic:spPr>
                    <a:xfrm>
                      <a:off x="0" y="0"/>
                      <a:ext cx="5614035" cy="8406130"/>
                    </a:xfrm>
                    <a:prstGeom prst="rect">
                      <a:avLst/>
                    </a:prstGeom>
                  </pic:spPr>
                </pic:pic>
              </a:graphicData>
            </a:graphic>
          </wp:inline>
        </w:drawing>
      </w:r>
      <w:r>
        <w:rPr>
          <w:sz w:val="21"/>
        </w:rPr>
        <mc:AlternateContent>
          <mc:Choice Requires="wps">
            <w:drawing>
              <wp:anchor distT="0" distB="0" distL="114300" distR="114300" simplePos="0" relativeHeight="251684864" behindDoc="0" locked="0" layoutInCell="1" allowOverlap="1">
                <wp:simplePos x="0" y="0"/>
                <wp:positionH relativeFrom="column">
                  <wp:posOffset>4024630</wp:posOffset>
                </wp:positionH>
                <wp:positionV relativeFrom="paragraph">
                  <wp:posOffset>1138555</wp:posOffset>
                </wp:positionV>
                <wp:extent cx="1099185" cy="161290"/>
                <wp:effectExtent l="12700" t="12700" r="31115" b="16510"/>
                <wp:wrapNone/>
                <wp:docPr id="63" name="矩形 63"/>
                <wp:cNvGraphicFramePr/>
                <a:graphic xmlns:a="http://schemas.openxmlformats.org/drawingml/2006/main">
                  <a:graphicData uri="http://schemas.microsoft.com/office/word/2010/wordprocessingShape">
                    <wps:wsp>
                      <wps:cNvSpPr/>
                      <wps:spPr>
                        <a:xfrm>
                          <a:off x="4996815" y="2218690"/>
                          <a:ext cx="1099185" cy="16129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9pt;margin-top:89.65pt;height:12.7pt;width:86.55pt;z-index:251684864;v-text-anchor:middle;mso-width-relative:page;mso-height-relative:page;" fillcolor="#4F81BD [3204]" filled="t" stroked="t" coordsize="21600,21600" o:gfxdata="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O4ZUM9sAAAALAQAA&#10;DwAAAAAAAAABACAAAAAiAAAAZHJzL2Rvd25yZXYueG1sUEsBAhQAFAAAAAgAh07iQMSGs2CIAgAA&#10;DQUAAA4AAAAAAAAAAQAgAAAAKgEAAGRycy9lMm9Eb2MueG1sUEsFBgAAAAAGAAYAWQEAACQGAAAA&#10;AA==&#10;">
                <v:fill on="t" focussize="0,0"/>
                <v:stroke weight="2pt" color="#376092 [2404]" joinstyle="round"/>
                <v:imagedata o:title=""/>
                <o:lock v:ext="edit" aspectratio="f"/>
              </v:rect>
            </w:pict>
          </mc:Fallback>
        </mc:AlternateContent>
      </w:r>
      <w:r>
        <w:rPr>
          <w:rFonts w:hint="eastAsia" w:eastAsia="宋体"/>
          <w:lang w:eastAsia="zh-CN"/>
        </w:rPr>
        <w:drawing>
          <wp:inline distT="0" distB="0" distL="114300" distR="114300">
            <wp:extent cx="5609590" cy="6684010"/>
            <wp:effectExtent l="0" t="0" r="10160" b="2540"/>
            <wp:docPr id="70" name="图片 70" descr="4db0006299610e7148cc3838a7c02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4db0006299610e7148cc3838a7c024e"/>
                    <pic:cNvPicPr>
                      <a:picLocks noChangeAspect="1"/>
                    </pic:cNvPicPr>
                  </pic:nvPicPr>
                  <pic:blipFill>
                    <a:blip r:embed="rId15"/>
                    <a:stretch>
                      <a:fillRect/>
                    </a:stretch>
                  </pic:blipFill>
                  <pic:spPr>
                    <a:xfrm>
                      <a:off x="0" y="0"/>
                      <a:ext cx="5609590" cy="6684010"/>
                    </a:xfrm>
                    <a:prstGeom prst="rect">
                      <a:avLst/>
                    </a:prstGeom>
                  </pic:spPr>
                </pic:pic>
              </a:graphicData>
            </a:graphic>
          </wp:inline>
        </w:drawing>
      </w:r>
    </w:p>
    <w:p>
      <w:pPr>
        <w:jc w:val="center"/>
        <w:rPr>
          <w:rFonts w:hint="eastAsia" w:eastAsia="宋体"/>
          <w:lang w:eastAsia="zh-CN"/>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lang w:eastAsia="zh-CN"/>
        </w:rPr>
        <w:drawing>
          <wp:inline distT="0" distB="0" distL="114300" distR="114300">
            <wp:extent cx="5615305" cy="6929755"/>
            <wp:effectExtent l="0" t="0" r="4445" b="4445"/>
            <wp:docPr id="66" name="图片 66" descr="134f2382c64ed41cc986b028d818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34f2382c64ed41cc986b028d818d97"/>
                    <pic:cNvPicPr>
                      <a:picLocks noChangeAspect="1"/>
                    </pic:cNvPicPr>
                  </pic:nvPicPr>
                  <pic:blipFill>
                    <a:blip r:embed="rId16"/>
                    <a:stretch>
                      <a:fillRect/>
                    </a:stretch>
                  </pic:blipFill>
                  <pic:spPr>
                    <a:xfrm>
                      <a:off x="0" y="0"/>
                      <a:ext cx="5615305" cy="6929755"/>
                    </a:xfrm>
                    <a:prstGeom prst="rect">
                      <a:avLst/>
                    </a:prstGeom>
                  </pic:spPr>
                </pic:pic>
              </a:graphicData>
            </a:graphic>
          </wp:inline>
        </w:drawing>
      </w:r>
    </w:p>
    <w:tbl>
      <w:tblPr>
        <w:tblStyle w:val="22"/>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4"/>
        <w:gridCol w:w="85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55" w:type="pct"/>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宋体" w:hAnsi="宋体" w:cs="宋体"/>
                <w:kern w:val="0"/>
                <w:sz w:val="24"/>
                <w:szCs w:val="24"/>
              </w:rPr>
            </w:pPr>
            <w:r>
              <w:rPr>
                <w:rFonts w:hint="eastAsia" w:ascii="宋体" w:hAnsi="宋体" w:cs="宋体"/>
                <w:kern w:val="0"/>
                <w:sz w:val="24"/>
                <w:szCs w:val="24"/>
              </w:rPr>
              <w:t>其他符合性分析</w:t>
            </w:r>
          </w:p>
        </w:tc>
        <w:tc>
          <w:tcPr>
            <w:tcW w:w="4734"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lang w:eastAsia="zh-CN"/>
              </w:rPr>
              <w:t>（</w:t>
            </w:r>
            <w:r>
              <w:rPr>
                <w:rFonts w:hint="eastAsia"/>
                <w:sz w:val="24"/>
                <w:szCs w:val="24"/>
                <w:lang w:val="en-US" w:eastAsia="zh-CN"/>
              </w:rPr>
              <w:t>一）</w:t>
            </w:r>
            <w:r>
              <w:rPr>
                <w:rFonts w:hint="eastAsia"/>
                <w:sz w:val="24"/>
                <w:szCs w:val="24"/>
              </w:rPr>
              <w:t>“三线一单”符合性分析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根据《关于以改善环境质量为核心加强环境影响评价管理的通知》(环环评[2016]150号)，要求落实“生态保护红线、环境质量底线、资源利用上线和环境准入负面清单”（以下简称“三线一单”）约束，现分析如下：</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lang w:val="en-US" w:eastAsia="zh-CN"/>
              </w:rPr>
            </w:pPr>
            <w:r>
              <w:rPr>
                <w:rFonts w:hint="eastAsia"/>
                <w:sz w:val="24"/>
                <w:szCs w:val="24"/>
              </w:rPr>
              <w:t>（1）生态保护红线</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本项目位于</w:t>
            </w:r>
            <w:r>
              <w:rPr>
                <w:rFonts w:hint="eastAsia"/>
                <w:sz w:val="24"/>
                <w:szCs w:val="24"/>
                <w:lang w:eastAsia="zh-CN"/>
              </w:rPr>
              <w:t>新乡市新乡县合河乡贾桥工业区</w:t>
            </w:r>
            <w:r>
              <w:rPr>
                <w:rFonts w:hint="eastAsia"/>
                <w:sz w:val="24"/>
                <w:szCs w:val="24"/>
              </w:rPr>
              <w:t>，</w:t>
            </w:r>
            <w:r>
              <w:rPr>
                <w:rFonts w:hint="eastAsia"/>
                <w:sz w:val="24"/>
                <w:szCs w:val="24"/>
                <w:lang w:val="en-US" w:eastAsia="zh-CN"/>
              </w:rPr>
              <w:t>利用现有空厂房建设，</w:t>
            </w:r>
            <w:r>
              <w:rPr>
                <w:rFonts w:hint="eastAsia"/>
                <w:sz w:val="24"/>
                <w:szCs w:val="24"/>
              </w:rPr>
              <w:t>根据</w:t>
            </w:r>
            <w:r>
              <w:rPr>
                <w:rFonts w:hint="eastAsia"/>
                <w:sz w:val="24"/>
                <w:szCs w:val="24"/>
                <w:lang w:eastAsia="zh-CN"/>
              </w:rPr>
              <w:t>新乡县合河乡建设用地管制和基本农田保护图（2010-2020）</w:t>
            </w:r>
            <w:r>
              <w:rPr>
                <w:rFonts w:hint="eastAsia"/>
                <w:sz w:val="24"/>
                <w:szCs w:val="24"/>
                <w:lang w:val="en-US" w:eastAsia="zh-CN"/>
              </w:rPr>
              <w:t>可知（见附图）</w:t>
            </w:r>
            <w:r>
              <w:rPr>
                <w:rFonts w:hint="eastAsia"/>
                <w:sz w:val="24"/>
                <w:szCs w:val="24"/>
              </w:rPr>
              <w:t>，项目所在地块属于</w:t>
            </w:r>
            <w:r>
              <w:rPr>
                <w:rFonts w:hint="eastAsia"/>
                <w:sz w:val="24"/>
                <w:szCs w:val="24"/>
                <w:lang w:val="en-US" w:eastAsia="zh-CN"/>
              </w:rPr>
              <w:t>建设</w:t>
            </w:r>
            <w:r>
              <w:rPr>
                <w:rFonts w:hint="eastAsia"/>
                <w:sz w:val="24"/>
                <w:szCs w:val="24"/>
              </w:rPr>
              <w:t>用地，</w:t>
            </w:r>
            <w:r>
              <w:rPr>
                <w:rFonts w:hint="eastAsia"/>
                <w:sz w:val="24"/>
                <w:szCs w:val="24"/>
                <w:lang w:val="en-US" w:eastAsia="zh-CN"/>
              </w:rPr>
              <w:t>根据新乡市生态保护红线图可知，</w:t>
            </w:r>
            <w:r>
              <w:rPr>
                <w:rFonts w:hint="eastAsia"/>
                <w:sz w:val="24"/>
                <w:szCs w:val="24"/>
              </w:rPr>
              <w:t>本项目厂址未涉及生态保护红线。</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（2）环境质量底线</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rPr>
            </w:pPr>
            <w:r>
              <w:rPr>
                <w:rFonts w:hint="eastAsia"/>
              </w:rPr>
              <w:t>本项目</w:t>
            </w:r>
            <w:r>
              <w:rPr>
                <w:rFonts w:hint="eastAsia"/>
                <w:lang w:val="en-US" w:eastAsia="zh-CN"/>
              </w:rPr>
              <w:t>生产</w:t>
            </w:r>
            <w:r>
              <w:rPr>
                <w:rFonts w:hint="eastAsia"/>
              </w:rPr>
              <w:t>过程在密闭</w:t>
            </w:r>
            <w:r>
              <w:rPr>
                <w:rFonts w:hint="eastAsia"/>
                <w:lang w:val="en-US" w:eastAsia="zh-CN"/>
              </w:rPr>
              <w:t>车间</w:t>
            </w:r>
            <w:r>
              <w:rPr>
                <w:rFonts w:hint="eastAsia"/>
              </w:rPr>
              <w:t>中进行，</w:t>
            </w:r>
            <w:r>
              <w:rPr>
                <w:rFonts w:hint="eastAsia"/>
                <w:lang w:val="en-US" w:eastAsia="zh-CN"/>
              </w:rPr>
              <w:t>破碎工序产生的颗粒物经集气罩+袋式除尘器处理后由15m高排气筒达标排放，注塑、加热挤出、吹塑产生的非甲烷总烃</w:t>
            </w:r>
            <w:r>
              <w:rPr>
                <w:rFonts w:hint="eastAsia"/>
              </w:rPr>
              <w:t>经</w:t>
            </w:r>
            <w:r>
              <w:rPr>
                <w:rFonts w:hint="eastAsia"/>
                <w:lang w:val="en-US" w:eastAsia="zh-CN"/>
              </w:rPr>
              <w:t>集气罩</w:t>
            </w:r>
            <w:r>
              <w:rPr>
                <w:rFonts w:hint="eastAsia"/>
              </w:rPr>
              <w:t>+“</w:t>
            </w:r>
            <w:r>
              <w:rPr>
                <w:rFonts w:hint="eastAsia"/>
                <w:lang w:eastAsia="zh-CN"/>
              </w:rPr>
              <w:t>活性炭吸附-脱附+催化燃烧</w:t>
            </w:r>
            <w:r>
              <w:rPr>
                <w:rFonts w:hint="eastAsia"/>
              </w:rPr>
              <w:t>”装置处理，处理后由15m高排气筒</w:t>
            </w:r>
            <w:r>
              <w:rPr>
                <w:rFonts w:hint="eastAsia"/>
                <w:lang w:val="en-US" w:eastAsia="zh-CN"/>
              </w:rPr>
              <w:t>达标</w:t>
            </w:r>
            <w:r>
              <w:rPr>
                <w:rFonts w:hint="eastAsia"/>
              </w:rPr>
              <w:t>排放，</w:t>
            </w:r>
            <w:r>
              <w:rPr>
                <w:rFonts w:hint="eastAsia"/>
                <w:lang w:val="en-US" w:eastAsia="zh-CN"/>
              </w:rPr>
              <w:t>不会</w:t>
            </w:r>
            <w:r>
              <w:rPr>
                <w:rFonts w:hint="eastAsia"/>
              </w:rPr>
              <w:t>对区域环境空气质量</w:t>
            </w:r>
            <w:r>
              <w:rPr>
                <w:rFonts w:hint="eastAsia"/>
                <w:lang w:val="en-US" w:eastAsia="zh-CN"/>
              </w:rPr>
              <w:t>造成</w:t>
            </w:r>
            <w:r>
              <w:rPr>
                <w:rFonts w:hint="eastAsia"/>
              </w:rPr>
              <w:t>影响；本项目</w:t>
            </w:r>
            <w:r>
              <w:rPr>
                <w:rFonts w:hint="default"/>
                <w:lang w:val="en-US" w:eastAsia="zh-CN"/>
              </w:rPr>
              <w:t>注塑</w:t>
            </w:r>
            <w:r>
              <w:rPr>
                <w:rFonts w:hint="eastAsia"/>
                <w:lang w:val="en-US" w:eastAsia="zh-CN"/>
              </w:rPr>
              <w:t>、吹塑</w:t>
            </w:r>
            <w:r>
              <w:rPr>
                <w:rFonts w:hint="default"/>
                <w:lang w:val="en-US" w:eastAsia="zh-CN"/>
              </w:rPr>
              <w:t>过程冷却水循环使用，不外排，由于本项目员工</w:t>
            </w:r>
            <w:r>
              <w:rPr>
                <w:rFonts w:hint="eastAsia"/>
                <w:lang w:val="en-US" w:eastAsia="zh-CN"/>
              </w:rPr>
              <w:t>从现有项目员工调剂6人</w:t>
            </w:r>
            <w:r>
              <w:rPr>
                <w:rFonts w:hint="default"/>
                <w:lang w:val="en-US" w:eastAsia="zh-CN"/>
              </w:rPr>
              <w:t>，不新增员工</w:t>
            </w:r>
            <w:r>
              <w:rPr>
                <w:rFonts w:hint="default"/>
                <w:lang w:eastAsia="zh-CN"/>
              </w:rPr>
              <w:t>，</w:t>
            </w:r>
            <w:r>
              <w:rPr>
                <w:rFonts w:hint="default"/>
                <w:lang w:val="en-US" w:eastAsia="zh-CN"/>
              </w:rPr>
              <w:t>故无新增生活污水产生</w:t>
            </w:r>
            <w:r>
              <w:rPr>
                <w:rFonts w:hint="eastAsia"/>
              </w:rPr>
              <w:t>，</w:t>
            </w:r>
            <w:r>
              <w:rPr>
                <w:rFonts w:hint="eastAsia"/>
                <w:lang w:val="en-US" w:eastAsia="zh-CN"/>
              </w:rPr>
              <w:t>不会</w:t>
            </w:r>
            <w:r>
              <w:rPr>
                <w:rFonts w:hint="eastAsia"/>
              </w:rPr>
              <w:t>对周边地表水环境</w:t>
            </w:r>
            <w:r>
              <w:rPr>
                <w:rFonts w:hint="eastAsia"/>
                <w:lang w:val="en-US" w:eastAsia="zh-CN"/>
              </w:rPr>
              <w:t>造成</w:t>
            </w:r>
            <w:r>
              <w:rPr>
                <w:rFonts w:hint="eastAsia"/>
              </w:rPr>
              <w:t>影响；本项目采取噪声防治措施后，企业厂界噪声排放满足</w:t>
            </w:r>
            <w:r>
              <w:rPr>
                <w:rFonts w:hint="default"/>
                <w:lang w:val="en-US" w:eastAsia="zh-CN"/>
              </w:rPr>
              <w:t>《工业企业厂界环境噪声排放标准》（GB12348-2008）2类</w:t>
            </w:r>
            <w:r>
              <w:rPr>
                <w:rFonts w:hint="eastAsia"/>
                <w:lang w:val="en-US" w:eastAsia="zh-CN"/>
              </w:rPr>
              <w:t>标准要求</w:t>
            </w:r>
            <w:r>
              <w:rPr>
                <w:rFonts w:hint="eastAsia"/>
              </w:rPr>
              <w:t>；本项目固体废物全部得到资源化利用或无害化处置；本项目采取了有效的分区防渗措施，正常工况下不会对地下水、土壤</w:t>
            </w:r>
            <w:r>
              <w:rPr>
                <w:rFonts w:hint="eastAsia"/>
                <w:lang w:val="en-US" w:eastAsia="zh-CN"/>
              </w:rPr>
              <w:t>环境质量</w:t>
            </w:r>
            <w:r>
              <w:rPr>
                <w:rFonts w:hint="eastAsia"/>
              </w:rPr>
              <w:t>产生影响。因此，落实本环评提出的相关防治措施后，本项目排放的污染物不会对区域环境质量底线造成冲击，满足环境质量底线的要求。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（3）资源利用上线</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本项目运营期通过内部管理、设备选择、原辅材料的选用和管理、</w:t>
            </w:r>
            <w:r>
              <w:rPr>
                <w:rFonts w:hint="eastAsia"/>
                <w:sz w:val="24"/>
                <w:szCs w:val="24"/>
                <w:lang w:val="en-US" w:eastAsia="zh-CN"/>
              </w:rPr>
              <w:t>残次品</w:t>
            </w:r>
            <w:r>
              <w:rPr>
                <w:rFonts w:hint="eastAsia"/>
                <w:sz w:val="24"/>
                <w:szCs w:val="24"/>
              </w:rPr>
              <w:t>回收利用、污染治理等多方面采取合理可行的防治措施，以“节能、降耗、减污”为目标，有效地控制污染。项目的资源利用不会突破区域的资源利用上线。</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sz w:val="24"/>
                <w:szCs w:val="24"/>
              </w:rPr>
            </w:pPr>
            <w:r>
              <w:rPr>
                <w:rFonts w:hint="eastAsia"/>
                <w:sz w:val="24"/>
                <w:szCs w:val="24"/>
              </w:rPr>
              <w:t>（4）环境准入清单</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本项目与新乡市、县环境准入清单相符性分析见下表：</w:t>
            </w: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 w:val="21"/>
                <w:szCs w:val="21"/>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 w:val="21"/>
                <w:szCs w:val="21"/>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 w:val="21"/>
                <w:szCs w:val="21"/>
                <w:lang w:val="en-US" w:eastAsia="zh-CN"/>
              </w:rPr>
            </w:pPr>
          </w:p>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sz w:val="21"/>
                <w:szCs w:val="21"/>
                <w:lang w:val="en-US" w:eastAsia="zh-CN"/>
              </w:rPr>
            </w:pPr>
            <w:r>
              <w:rPr>
                <w:rFonts w:hint="default"/>
                <w:sz w:val="21"/>
                <w:szCs w:val="21"/>
                <w:lang w:val="en-US" w:eastAsia="zh-CN"/>
              </w:rPr>
              <w:t xml:space="preserve">表1 </w:t>
            </w:r>
            <w:r>
              <w:rPr>
                <w:rFonts w:hint="eastAsia"/>
                <w:sz w:val="21"/>
                <w:szCs w:val="21"/>
                <w:lang w:val="en-US" w:eastAsia="zh-CN"/>
              </w:rPr>
              <w:t xml:space="preserve">  </w:t>
            </w:r>
            <w:r>
              <w:rPr>
                <w:rFonts w:hint="default"/>
                <w:sz w:val="21"/>
                <w:szCs w:val="21"/>
                <w:lang w:val="en-US" w:eastAsia="zh-CN"/>
              </w:rPr>
              <w:t>本项目与环境准入清单相符性</w:t>
            </w:r>
          </w:p>
          <w:tbl>
            <w:tblPr>
              <w:tblStyle w:val="23"/>
              <w:tblpPr w:leftFromText="180" w:rightFromText="180" w:vertAnchor="text" w:horzAnchor="page" w:tblpXSpec="center" w:tblpY="272"/>
              <w:tblOverlap w:val="never"/>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
              <w:gridCol w:w="371"/>
              <w:gridCol w:w="45"/>
              <w:gridCol w:w="422"/>
              <w:gridCol w:w="372"/>
              <w:gridCol w:w="349"/>
              <w:gridCol w:w="550"/>
              <w:gridCol w:w="2610"/>
              <w:gridCol w:w="2757"/>
              <w:gridCol w:w="5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4" w:hRule="atLeast"/>
                <w:jc w:val="center"/>
              </w:trPr>
              <w:tc>
                <w:tcPr>
                  <w:tcW w:w="22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lang w:val="en-US" w:eastAsia="zh-CN"/>
                    </w:rPr>
                  </w:pPr>
                  <w:r>
                    <w:rPr>
                      <w:rFonts w:hint="eastAsia"/>
                      <w:lang w:val="en-US" w:eastAsia="zh-CN"/>
                    </w:rPr>
                    <w:t>环境管控单元名称</w:t>
                  </w:r>
                </w:p>
              </w:tc>
              <w:tc>
                <w:tcPr>
                  <w:tcW w:w="22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lang w:val="en-US" w:eastAsia="zh-CN"/>
                    </w:rPr>
                  </w:pPr>
                  <w:r>
                    <w:rPr>
                      <w:rFonts w:hint="eastAsia"/>
                      <w:lang w:val="en-US" w:eastAsia="zh-CN"/>
                    </w:rPr>
                    <w:t>行政区划分</w:t>
                  </w:r>
                </w:p>
              </w:tc>
              <w:tc>
                <w:tcPr>
                  <w:tcW w:w="279" w:type="pct"/>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lang w:val="en-US" w:eastAsia="zh-CN"/>
                    </w:rPr>
                  </w:pPr>
                  <w:r>
                    <w:rPr>
                      <w:rFonts w:hint="eastAsia"/>
                      <w:lang w:val="en-US" w:eastAsia="zh-CN"/>
                    </w:rPr>
                    <w:t>管控单元分类</w:t>
                  </w:r>
                </w:p>
              </w:tc>
              <w:tc>
                <w:tcPr>
                  <w:tcW w:w="22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rPr>
                  </w:pPr>
                  <w:r>
                    <w:rPr>
                      <w:rFonts w:hint="eastAsia"/>
                    </w:rPr>
                    <w:t>环境要素</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rPr>
                  </w:pPr>
                  <w:r>
                    <w:rPr>
                      <w:rFonts w:hint="eastAsia"/>
                    </w:rPr>
                    <w:t>类别</w:t>
                  </w:r>
                </w:p>
              </w:tc>
              <w:tc>
                <w:tcPr>
                  <w:tcW w:w="2100" w:type="pct"/>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rPr>
                  </w:pPr>
                  <w:r>
                    <w:rPr>
                      <w:rFonts w:hint="eastAsia"/>
                    </w:rPr>
                    <w:t>管控</w:t>
                  </w:r>
                  <w:r>
                    <w:rPr>
                      <w:rFonts w:hint="eastAsia"/>
                      <w:lang w:eastAsia="zh-CN"/>
                    </w:rPr>
                    <w:t>、</w:t>
                  </w:r>
                  <w:r>
                    <w:rPr>
                      <w:rFonts w:hint="eastAsia"/>
                    </w:rPr>
                    <w:t>要求</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rPr>
                  </w:pPr>
                  <w:r>
                    <w:rPr>
                      <w:rFonts w:hint="eastAsia"/>
                    </w:rPr>
                    <w:t>相符性分析</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lang w:val="en-US" w:eastAsia="zh-CN"/>
                    </w:rPr>
                  </w:pPr>
                  <w:r>
                    <w:rPr>
                      <w:rFonts w:hint="eastAsia"/>
                      <w:lang w:val="en-US" w:eastAsia="zh-CN"/>
                    </w:rPr>
                    <w:t>对比</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lang w:val="en-US" w:eastAsia="zh-CN"/>
                    </w:rPr>
                  </w:pPr>
                  <w:r>
                    <w:rPr>
                      <w:rFonts w:hint="eastAsia"/>
                      <w:lang w:val="en-US" w:eastAsia="zh-CN"/>
                    </w:rPr>
                    <w:t>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36" w:hRule="atLeast"/>
                <w:jc w:val="center"/>
              </w:trPr>
              <w:tc>
                <w:tcPr>
                  <w:tcW w:w="727" w:type="pct"/>
                  <w:gridSpan w:val="4"/>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新乡市</w:t>
                  </w:r>
                </w:p>
              </w:tc>
              <w:tc>
                <w:tcPr>
                  <w:tcW w:w="22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rPr>
                    <w:t>空间布局约束</w:t>
                  </w:r>
                </w:p>
              </w:tc>
              <w:tc>
                <w:tcPr>
                  <w:tcW w:w="2100" w:type="pct"/>
                  <w:gridSpan w:val="3"/>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rPr>
                  </w:pPr>
                  <w:r>
                    <w:rPr>
                      <w:rFonts w:hint="default"/>
                      <w:lang w:val="en-US" w:eastAsia="zh-CN"/>
                    </w:rPr>
                    <w:t>8.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VOCs的项目，应从源头加强控制，使用低（无）VOCs含量的原辅材料，配套安装高效收集、治理设施，其中新建涉VOCs排放的工业企业要入园区，实行区域内VOCs排放总量倍量消减替代。禁止生产、销售不符合标准的机动车船、非道路移动机械用燃料；禁止向汽车和摩托车销售普通柴油以及其他非机动车用燃料；禁止向非道路移动机械销售渣油、重油和不符合规定的燃用油。</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rPr>
                  </w:pPr>
                  <w:r>
                    <w:rPr>
                      <w:rFonts w:hint="eastAsia"/>
                      <w:lang w:eastAsia="zh-CN"/>
                    </w:rPr>
                    <w:t>本项目位于新乡市新乡县合河乡贾桥工业区，不在</w:t>
                  </w:r>
                  <w:r>
                    <w:rPr>
                      <w:rFonts w:hint="default"/>
                      <w:lang w:val="en-US" w:eastAsia="zh-CN"/>
                    </w:rPr>
                    <w:t>南太行旅游度假区规划区范围内</w:t>
                  </w:r>
                  <w:r>
                    <w:rPr>
                      <w:rFonts w:hint="eastAsia"/>
                      <w:lang w:val="en-US" w:eastAsia="zh-CN"/>
                    </w:rPr>
                    <w:t>，属塑料制品加工项目，不涉及</w:t>
                  </w:r>
                  <w:r>
                    <w:rPr>
                      <w:rFonts w:hint="default"/>
                      <w:lang w:val="en-US" w:eastAsia="zh-CN"/>
                    </w:rPr>
                    <w:t>使用高挥发性有机物含量的溶剂型涂料、油墨、胶粘剂等项目</w:t>
                  </w:r>
                  <w:r>
                    <w:rPr>
                      <w:rFonts w:hint="eastAsia"/>
                      <w:lang w:val="en-US" w:eastAsia="zh-CN"/>
                    </w:rPr>
                    <w:t>，本项目</w:t>
                  </w:r>
                  <w:r>
                    <w:rPr>
                      <w:rFonts w:hint="default"/>
                      <w:lang w:val="en-US" w:eastAsia="zh-CN"/>
                    </w:rPr>
                    <w:t>使用低（无）VOCs含量的原辅材料</w:t>
                  </w:r>
                  <w:r>
                    <w:rPr>
                      <w:rFonts w:hint="eastAsia"/>
                      <w:lang w:val="en-US" w:eastAsia="zh-CN"/>
                    </w:rPr>
                    <w:t>，本项目</w:t>
                  </w:r>
                  <w:r>
                    <w:rPr>
                      <w:rFonts w:hint="default"/>
                      <w:lang w:val="en-US" w:eastAsia="zh-CN"/>
                    </w:rPr>
                    <w:t>配套安装高效收集、治理设施</w:t>
                  </w:r>
                  <w:r>
                    <w:rPr>
                      <w:rFonts w:hint="eastAsia"/>
                      <w:lang w:val="en-US" w:eastAsia="zh-CN"/>
                    </w:rPr>
                    <w:t>（活性炭吸附-脱附+催化燃烧处理装置），本项目属于改建项目，VOC排放量从现有项目中自身升级改造削减量中替代，不新增VOC排放量指标，做到污染物减量排放，不属于新建涉VOC排放的工业企业，符合新乡市、县生态环境准入要求。本项目不涉及</w:t>
                  </w:r>
                  <w:r>
                    <w:rPr>
                      <w:rFonts w:hint="default"/>
                      <w:lang w:val="en-US" w:eastAsia="zh-CN"/>
                    </w:rPr>
                    <w:t>生产、销售不符合标准的机动车船、非道路移动机械用燃料</w:t>
                  </w:r>
                  <w:r>
                    <w:rPr>
                      <w:rFonts w:hint="eastAsia"/>
                      <w:lang w:val="en-US" w:eastAsia="zh-CN"/>
                    </w:rPr>
                    <w:t>。</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0" w:hRule="atLeast"/>
                <w:jc w:val="center"/>
              </w:trPr>
              <w:tc>
                <w:tcPr>
                  <w:tcW w:w="226"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r>
                    <w:rPr>
                      <w:rFonts w:hint="default"/>
                      <w:lang w:val="en-US" w:eastAsia="zh-CN"/>
                    </w:rPr>
                    <w:t>新乡县大气弱扩散区</w:t>
                  </w:r>
                </w:p>
              </w:tc>
              <w:tc>
                <w:tcPr>
                  <w:tcW w:w="248"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lang w:val="en-US" w:eastAsia="zh-CN"/>
                    </w:rPr>
                  </w:pPr>
                  <w:r>
                    <w:rPr>
                      <w:rFonts w:hint="default"/>
                      <w:lang w:val="en-US" w:eastAsia="zh-CN"/>
                    </w:rPr>
                    <w:t>新乡县合河乡</w:t>
                  </w:r>
                </w:p>
              </w:tc>
              <w:tc>
                <w:tcPr>
                  <w:tcW w:w="252"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r>
                    <w:rPr>
                      <w:rFonts w:hint="default"/>
                      <w:lang w:val="en-US" w:eastAsia="zh-CN"/>
                    </w:rPr>
                    <w:t>重点管控单元6</w:t>
                  </w:r>
                </w:p>
              </w:tc>
              <w:tc>
                <w:tcPr>
                  <w:tcW w:w="431"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r>
                    <w:rPr>
                      <w:rFonts w:hint="default"/>
                    </w:rPr>
                    <w:t>大气弱扩散区</w:t>
                  </w:r>
                </w:p>
              </w:tc>
              <w:tc>
                <w:tcPr>
                  <w:tcW w:w="3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lang w:val="en-US" w:eastAsia="zh-CN"/>
                    </w:rPr>
                  </w:pPr>
                  <w:r>
                    <w:rPr>
                      <w:rFonts w:hint="default"/>
                      <w:lang w:val="en-US" w:eastAsia="zh-CN"/>
                    </w:rPr>
                    <w:t>空间约束布局</w:t>
                  </w:r>
                </w:p>
              </w:tc>
              <w:tc>
                <w:tcPr>
                  <w:tcW w:w="1562" w:type="pct"/>
                  <w:tcBorders>
                    <w:tl2br w:val="nil"/>
                    <w:tr2bl w:val="nil"/>
                  </w:tcBorders>
                  <w:noWrap w:val="0"/>
                  <w:vAlign w:val="center"/>
                </w:tcPr>
                <w:p>
                  <w:pPr>
                    <w:keepNext w:val="0"/>
                    <w:keepLines w:val="0"/>
                    <w:widowControl/>
                    <w:numPr>
                      <w:ilvl w:val="0"/>
                      <w:numId w:val="0"/>
                    </w:numPr>
                    <w:suppressLineNumbers w:val="0"/>
                    <w:ind w:leftChars="0"/>
                    <w:jc w:val="center"/>
                    <w:textAlignment w:val="center"/>
                    <w:rPr>
                      <w:rFonts w:hint="default"/>
                      <w:lang w:val="en-US" w:eastAsia="zh-CN"/>
                    </w:rPr>
                  </w:pPr>
                  <w:r>
                    <w:rPr>
                      <w:rFonts w:hint="default"/>
                      <w:lang w:val="en-US" w:eastAsia="zh-CN"/>
                    </w:rPr>
                    <w:t>1、禁止新建、改建及扩建高排放、高污染项目，包括钢铁、有色、水泥、平板玻璃、建筑陶瓷等行业及其他排放重金属、持久性有机污染物的工业项目等。</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r>
                    <w:rPr>
                      <w:rFonts w:hint="default"/>
                      <w:lang w:val="en-US" w:eastAsia="zh-CN"/>
                    </w:rPr>
                    <w:t>2、严格控制新、改、扩建</w:t>
                  </w:r>
                  <w:r>
                    <w:rPr>
                      <w:rFonts w:hint="eastAsia"/>
                      <w:lang w:val="en-US" w:eastAsia="zh-CN"/>
                    </w:rPr>
                    <w:t>“</w:t>
                  </w:r>
                  <w:r>
                    <w:rPr>
                      <w:rFonts w:hint="default"/>
                      <w:lang w:val="en-US" w:eastAsia="zh-CN"/>
                    </w:rPr>
                    <w:t>两高</w:t>
                  </w:r>
                  <w:r>
                    <w:rPr>
                      <w:rFonts w:hint="eastAsia"/>
                      <w:lang w:val="en-US" w:eastAsia="zh-CN"/>
                    </w:rPr>
                    <w:t>”</w:t>
                  </w:r>
                  <w:r>
                    <w:rPr>
                      <w:rFonts w:hint="default"/>
                      <w:lang w:val="en-US" w:eastAsia="zh-CN"/>
                    </w:rPr>
                    <w:t>项目。</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rPr>
                  </w:pPr>
                  <w:r>
                    <w:rPr>
                      <w:rFonts w:hint="eastAsia"/>
                      <w:lang w:eastAsia="zh-CN"/>
                    </w:rPr>
                    <w:t>项目为塑料制品项目，不属于</w:t>
                  </w:r>
                  <w:r>
                    <w:rPr>
                      <w:rFonts w:hint="default"/>
                      <w:lang w:val="en-US" w:eastAsia="zh-CN"/>
                    </w:rPr>
                    <w:t>高排放、高污染项目</w:t>
                  </w:r>
                  <w:r>
                    <w:rPr>
                      <w:rFonts w:hint="eastAsia"/>
                      <w:lang w:val="en-US" w:eastAsia="zh-CN"/>
                    </w:rPr>
                    <w:t>，不涉及</w:t>
                  </w:r>
                  <w:r>
                    <w:rPr>
                      <w:rFonts w:hint="default"/>
                      <w:lang w:val="en-US" w:eastAsia="zh-CN"/>
                    </w:rPr>
                    <w:t>排放重金属、持久性有机污染物的工业项目。</w:t>
                  </w:r>
                  <w:r>
                    <w:rPr>
                      <w:rFonts w:hint="eastAsia"/>
                      <w:lang w:val="en-US" w:eastAsia="zh-CN"/>
                    </w:rPr>
                    <w:t>本项目不属于“</w:t>
                  </w:r>
                  <w:r>
                    <w:rPr>
                      <w:rFonts w:hint="default"/>
                      <w:lang w:val="en-US" w:eastAsia="zh-CN"/>
                    </w:rPr>
                    <w:t>两高</w:t>
                  </w:r>
                  <w:r>
                    <w:rPr>
                      <w:rFonts w:hint="eastAsia"/>
                      <w:lang w:val="en-US" w:eastAsia="zh-CN"/>
                    </w:rPr>
                    <w:t>”</w:t>
                  </w:r>
                  <w:r>
                    <w:rPr>
                      <w:rFonts w:hint="default"/>
                      <w:lang w:val="en-US" w:eastAsia="zh-CN"/>
                    </w:rPr>
                    <w:t>项目。</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5" w:hRule="atLeast"/>
                <w:jc w:val="center"/>
              </w:trPr>
              <w:tc>
                <w:tcPr>
                  <w:tcW w:w="2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4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5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43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329" w:type="pct"/>
                  <w:tcBorders>
                    <w:tl2br w:val="nil"/>
                    <w:tr2bl w:val="nil"/>
                  </w:tcBorders>
                  <w:noWrap w:val="0"/>
                  <w:vAlign w:val="center"/>
                </w:tcPr>
                <w:p>
                  <w:pPr>
                    <w:keepNext w:val="0"/>
                    <w:keepLines w:val="0"/>
                    <w:widowControl/>
                    <w:suppressLineNumbers w:val="0"/>
                    <w:jc w:val="center"/>
                    <w:textAlignment w:val="center"/>
                    <w:rPr>
                      <w:rFonts w:hint="default"/>
                      <w:lang w:val="en-US" w:eastAsia="zh-CN"/>
                    </w:rPr>
                  </w:pPr>
                  <w:r>
                    <w:rPr>
                      <w:rFonts w:hint="default"/>
                      <w:lang w:val="en-US" w:eastAsia="zh-CN"/>
                    </w:rPr>
                    <w:t>污染物排放管控</w:t>
                  </w:r>
                </w:p>
              </w:tc>
              <w:tc>
                <w:tcPr>
                  <w:tcW w:w="1562" w:type="pct"/>
                  <w:tcBorders>
                    <w:tl2br w:val="nil"/>
                    <w:tr2bl w:val="nil"/>
                  </w:tcBorders>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ind w:left="0" w:leftChars="0" w:firstLine="0" w:firstLineChars="0"/>
                    <w:jc w:val="center"/>
                    <w:textAlignment w:val="center"/>
                    <w:rPr>
                      <w:rFonts w:hint="default"/>
                      <w:lang w:val="en-US" w:eastAsia="zh-CN"/>
                    </w:rPr>
                  </w:pPr>
                  <w:r>
                    <w:rPr>
                      <w:rFonts w:hint="default"/>
                      <w:lang w:val="en-US" w:eastAsia="zh-CN"/>
                    </w:rPr>
                    <w:t>二氧化硫、氮氧化物、颗粒物、VOCs全面执行大气污染物特别排放限值。</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rPr>
                  </w:pPr>
                  <w:r>
                    <w:rPr>
                      <w:rFonts w:hint="eastAsia"/>
                      <w:lang w:eastAsia="zh-CN"/>
                    </w:rPr>
                    <w:t>本项目不涉及</w:t>
                  </w:r>
                  <w:r>
                    <w:rPr>
                      <w:rFonts w:hint="default"/>
                      <w:lang w:val="en-US" w:eastAsia="zh-CN"/>
                    </w:rPr>
                    <w:t>二氧化硫、氮氧化物</w:t>
                  </w:r>
                  <w:r>
                    <w:rPr>
                      <w:rFonts w:hint="eastAsia"/>
                      <w:lang w:val="en-US" w:eastAsia="zh-CN"/>
                    </w:rPr>
                    <w:t>污染物，本项目产生的</w:t>
                  </w:r>
                  <w:r>
                    <w:rPr>
                      <w:rFonts w:hint="default"/>
                      <w:lang w:val="en-US" w:eastAsia="zh-CN"/>
                    </w:rPr>
                    <w:t>颗粒物、VOCs全面执行大气污染物特别排放限值。</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3" w:hRule="atLeast"/>
                <w:jc w:val="center"/>
              </w:trPr>
              <w:tc>
                <w:tcPr>
                  <w:tcW w:w="2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4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5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43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329" w:type="pct"/>
                  <w:tcBorders>
                    <w:tl2br w:val="nil"/>
                    <w:tr2bl w:val="nil"/>
                  </w:tcBorders>
                  <w:noWrap w:val="0"/>
                  <w:vAlign w:val="center"/>
                </w:tcPr>
                <w:p>
                  <w:pPr>
                    <w:keepNext w:val="0"/>
                    <w:keepLines w:val="0"/>
                    <w:widowControl/>
                    <w:suppressLineNumbers w:val="0"/>
                    <w:jc w:val="center"/>
                    <w:textAlignment w:val="center"/>
                    <w:rPr>
                      <w:rFonts w:hint="default"/>
                      <w:lang w:val="en-US" w:eastAsia="zh-CN"/>
                    </w:rPr>
                  </w:pPr>
                  <w:r>
                    <w:rPr>
                      <w:rFonts w:hint="default"/>
                      <w:lang w:val="en-US" w:eastAsia="zh-CN"/>
                    </w:rPr>
                    <w:t>环境风险防控</w:t>
                  </w:r>
                </w:p>
              </w:tc>
              <w:tc>
                <w:tcPr>
                  <w:tcW w:w="1562" w:type="pct"/>
                  <w:tcBorders>
                    <w:tl2br w:val="nil"/>
                    <w:tr2bl w:val="nil"/>
                  </w:tcBorders>
                  <w:noWrap w:val="0"/>
                  <w:vAlign w:val="center"/>
                </w:tcPr>
                <w:p>
                  <w:pPr>
                    <w:keepNext w:val="0"/>
                    <w:keepLines w:val="0"/>
                    <w:widowControl/>
                    <w:suppressLineNumbers w:val="0"/>
                    <w:jc w:val="center"/>
                    <w:textAlignment w:val="center"/>
                    <w:rPr>
                      <w:rFonts w:hint="default"/>
                      <w:lang w:val="en-US" w:eastAsia="zh-CN"/>
                    </w:rPr>
                  </w:pPr>
                  <w:r>
                    <w:rPr>
                      <w:rFonts w:hint="default"/>
                      <w:lang w:val="en-US" w:eastAsia="zh-CN"/>
                    </w:rPr>
                    <w:t>高关注地块划分污染风险等级，纳入优先管控名录。</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lang w:val="en-US" w:eastAsia="zh-CN"/>
                    </w:rPr>
                  </w:pPr>
                  <w:r>
                    <w:rPr>
                      <w:rFonts w:hint="eastAsia"/>
                      <w:lang w:val="en-US" w:eastAsia="zh-CN"/>
                    </w:rPr>
                    <w:t>本项目利用现有空厂房，不新增土地，不属于高关注地块。</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4" w:hRule="atLeast"/>
                <w:jc w:val="center"/>
              </w:trPr>
              <w:tc>
                <w:tcPr>
                  <w:tcW w:w="226"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48"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252"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431"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rPr>
                  </w:pPr>
                </w:p>
              </w:tc>
              <w:tc>
                <w:tcPr>
                  <w:tcW w:w="329" w:type="pct"/>
                  <w:tcBorders>
                    <w:tl2br w:val="nil"/>
                    <w:tr2bl w:val="nil"/>
                  </w:tcBorders>
                  <w:noWrap w:val="0"/>
                  <w:vAlign w:val="center"/>
                </w:tcPr>
                <w:p>
                  <w:pPr>
                    <w:keepNext w:val="0"/>
                    <w:keepLines w:val="0"/>
                    <w:widowControl/>
                    <w:suppressLineNumbers w:val="0"/>
                    <w:jc w:val="center"/>
                    <w:textAlignment w:val="center"/>
                    <w:rPr>
                      <w:rFonts w:hint="default"/>
                      <w:lang w:val="en-US" w:eastAsia="zh-CN"/>
                    </w:rPr>
                  </w:pPr>
                  <w:r>
                    <w:rPr>
                      <w:rFonts w:hint="default"/>
                      <w:lang w:val="en-US" w:eastAsia="zh-CN"/>
                    </w:rPr>
                    <w:t>资源利用效率要求</w:t>
                  </w:r>
                </w:p>
              </w:tc>
              <w:tc>
                <w:tcPr>
                  <w:tcW w:w="1562" w:type="pct"/>
                  <w:tcBorders>
                    <w:tl2br w:val="nil"/>
                    <w:tr2bl w:val="nil"/>
                  </w:tcBorders>
                  <w:noWrap w:val="0"/>
                  <w:vAlign w:val="center"/>
                </w:tcPr>
                <w:p>
                  <w:pPr>
                    <w:keepNext w:val="0"/>
                    <w:keepLines w:val="0"/>
                    <w:widowControl/>
                    <w:suppressLineNumbers w:val="0"/>
                    <w:jc w:val="center"/>
                    <w:textAlignment w:val="center"/>
                    <w:rPr>
                      <w:rFonts w:hint="default"/>
                      <w:lang w:val="en-US" w:eastAsia="zh-CN"/>
                    </w:rPr>
                  </w:pPr>
                  <w:r>
                    <w:rPr>
                      <w:rFonts w:hint="default"/>
                      <w:lang w:val="en-US" w:eastAsia="zh-CN"/>
                    </w:rPr>
                    <w:t>进一步优化能源结构，加快集中供热、供水及配套管网建设。</w:t>
                  </w:r>
                </w:p>
              </w:tc>
              <w:tc>
                <w:tcPr>
                  <w:tcW w:w="164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lang w:val="en-US" w:eastAsia="zh-CN"/>
                    </w:rPr>
                  </w:pPr>
                  <w:r>
                    <w:rPr>
                      <w:rFonts w:hint="eastAsia"/>
                      <w:lang w:val="en-US" w:eastAsia="zh-CN"/>
                    </w:rPr>
                    <w:t>本项目无废水排放。</w:t>
                  </w:r>
                </w:p>
              </w:tc>
              <w:tc>
                <w:tcPr>
                  <w:tcW w:w="30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eastAsia"/>
                      <w:lang w:val="en-US" w:eastAsia="zh-CN"/>
                    </w:rPr>
                  </w:pPr>
                  <w:r>
                    <w:rPr>
                      <w:rFonts w:hint="eastAsia"/>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both"/>
              <w:textAlignment w:val="auto"/>
              <w:outlineLvl w:val="9"/>
              <w:rPr>
                <w:rFonts w:hint="eastAsia"/>
                <w:sz w:val="24"/>
                <w:szCs w:val="24"/>
              </w:rPr>
            </w:pPr>
            <w:r>
              <w:rPr>
                <w:rFonts w:hint="eastAsia"/>
                <w:sz w:val="24"/>
                <w:szCs w:val="24"/>
              </w:rPr>
              <w:t>本项目规划选址及环境保护措施等均满足环境准入基本条件。</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sz w:val="24"/>
                <w:szCs w:val="24"/>
              </w:rPr>
            </w:pPr>
            <w:r>
              <w:rPr>
                <w:rFonts w:hint="eastAsia"/>
                <w:sz w:val="24"/>
                <w:szCs w:val="24"/>
              </w:rPr>
              <w:t>综上所述，本项目总体上能够符合“三线一单”的管理要求。</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sz w:val="24"/>
                <w:szCs w:val="24"/>
                <w:lang w:val="en-US" w:eastAsia="zh-CN"/>
              </w:rPr>
            </w:pPr>
            <w:r>
              <w:rPr>
                <w:rFonts w:hint="default"/>
                <w:sz w:val="24"/>
                <w:szCs w:val="24"/>
                <w:lang w:val="en-US" w:eastAsia="zh-CN"/>
              </w:rPr>
              <w:t>（</w:t>
            </w:r>
            <w:r>
              <w:rPr>
                <w:rFonts w:hint="eastAsia"/>
                <w:sz w:val="24"/>
                <w:szCs w:val="24"/>
                <w:lang w:val="en-US" w:eastAsia="zh-CN"/>
              </w:rPr>
              <w:t>二</w:t>
            </w:r>
            <w:r>
              <w:rPr>
                <w:rFonts w:hint="default"/>
                <w:sz w:val="24"/>
                <w:szCs w:val="24"/>
                <w:lang w:val="en-US" w:eastAsia="zh-CN"/>
              </w:rPr>
              <w:t>）产业政策、规划相符性</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outlineLvl w:val="9"/>
              <w:rPr>
                <w:sz w:val="24"/>
                <w:szCs w:val="24"/>
              </w:rPr>
            </w:pPr>
            <w:r>
              <w:rPr>
                <w:rFonts w:hint="default"/>
                <w:sz w:val="24"/>
                <w:szCs w:val="24"/>
                <w:lang w:val="en-US" w:eastAsia="zh-CN"/>
              </w:rPr>
              <w:t>本项目为塑料包装箱及容器制造（行业代码：C2926），根据《产业结构调整指导目录（2019年本）》，本项目不属于鼓励类、限制类或淘汰类，属于允许类建设项目，符合国家产业政策。本项目已在</w:t>
            </w:r>
            <w:r>
              <w:rPr>
                <w:rFonts w:hint="default"/>
                <w:sz w:val="24"/>
                <w:szCs w:val="24"/>
                <w:lang w:eastAsia="zh-CN"/>
              </w:rPr>
              <w:t>新乡县发展和改革委员会</w:t>
            </w:r>
            <w:r>
              <w:rPr>
                <w:rFonts w:hint="default"/>
                <w:sz w:val="24"/>
                <w:szCs w:val="24"/>
              </w:rPr>
              <w:t>予以备案</w:t>
            </w:r>
            <w:r>
              <w:rPr>
                <w:rFonts w:hint="default"/>
                <w:sz w:val="24"/>
                <w:szCs w:val="24"/>
                <w:lang w:eastAsia="zh-CN"/>
              </w:rPr>
              <w:t>，项目代码为：</w:t>
            </w:r>
            <w:r>
              <w:rPr>
                <w:rFonts w:hint="default"/>
                <w:sz w:val="24"/>
                <w:szCs w:val="24"/>
                <w:lang w:val="en-US" w:eastAsia="zh-CN"/>
              </w:rPr>
              <w:t>2304-410721-04-01-166017</w:t>
            </w:r>
            <w:r>
              <w:rPr>
                <w:rFonts w:hint="eastAsia"/>
                <w:sz w:val="24"/>
                <w:szCs w:val="24"/>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outlineLvl w:val="9"/>
              <w:rPr>
                <w:sz w:val="24"/>
                <w:szCs w:val="24"/>
              </w:rPr>
            </w:pPr>
            <w:r>
              <w:rPr>
                <w:rFonts w:hint="default"/>
                <w:sz w:val="24"/>
                <w:szCs w:val="24"/>
                <w:lang w:val="en-US" w:eastAsia="zh-CN"/>
              </w:rPr>
              <w:t>本</w:t>
            </w:r>
            <w:r>
              <w:rPr>
                <w:rFonts w:hint="default"/>
                <w:sz w:val="24"/>
                <w:szCs w:val="24"/>
                <w:lang w:eastAsia="zh-CN"/>
              </w:rPr>
              <w:t>项目位于</w:t>
            </w:r>
            <w:r>
              <w:rPr>
                <w:rFonts w:hint="eastAsia"/>
                <w:sz w:val="24"/>
                <w:szCs w:val="24"/>
                <w:lang w:val="en-US" w:eastAsia="zh-CN"/>
              </w:rPr>
              <w:t>河南省新乡市新乡县合河乡贾桥村工业区</w:t>
            </w:r>
            <w:r>
              <w:rPr>
                <w:rFonts w:hint="default"/>
                <w:sz w:val="24"/>
                <w:szCs w:val="24"/>
                <w:lang w:val="en-US" w:eastAsia="zh-CN"/>
              </w:rPr>
              <w:t>经现场勘查，本建设项目周围无学校、大型医院、文物保护、风景名胜等环境敏感目标。根据</w:t>
            </w:r>
            <w:r>
              <w:rPr>
                <w:rFonts w:hint="eastAsia"/>
                <w:sz w:val="24"/>
                <w:szCs w:val="24"/>
                <w:lang w:eastAsia="zh-CN"/>
              </w:rPr>
              <w:t>新乡县土地利用总体规划图及</w:t>
            </w:r>
            <w:r>
              <w:rPr>
                <w:rFonts w:hint="eastAsia"/>
                <w:sz w:val="24"/>
                <w:szCs w:val="24"/>
                <w:lang w:val="en-US" w:eastAsia="zh-CN"/>
              </w:rPr>
              <w:t>新乡县合河乡建设用地管制和基本农田保护图（2010-2020）</w:t>
            </w:r>
            <w:r>
              <w:rPr>
                <w:rFonts w:hint="default"/>
                <w:sz w:val="24"/>
                <w:szCs w:val="24"/>
                <w:lang w:val="en-US" w:eastAsia="zh-CN"/>
              </w:rPr>
              <w:t>可知</w:t>
            </w:r>
            <w:r>
              <w:rPr>
                <w:rFonts w:hint="default"/>
                <w:sz w:val="24"/>
                <w:szCs w:val="24"/>
                <w:lang w:eastAsia="zh-CN"/>
              </w:rPr>
              <w:t>，</w:t>
            </w:r>
            <w:r>
              <w:rPr>
                <w:rFonts w:hint="eastAsia"/>
                <w:sz w:val="24"/>
                <w:szCs w:val="24"/>
                <w:lang w:eastAsia="zh-CN"/>
              </w:rPr>
              <w:t>项目建设利用现有空厂房，不新增用地，用地性质属建设用地，符合新乡县及合河乡土地利用总体规划</w:t>
            </w:r>
            <w:r>
              <w:rPr>
                <w:rFonts w:hint="eastAsia"/>
                <w:lang w:eastAsia="zh-CN"/>
              </w:rPr>
              <w:t>。</w:t>
            </w:r>
          </w:p>
          <w:p>
            <w:pPr>
              <w:keepNext w:val="0"/>
              <w:keepLines w:val="0"/>
              <w:pageBreakBefore w:val="0"/>
              <w:numPr>
                <w:ilvl w:val="0"/>
                <w:numId w:val="1"/>
              </w:numPr>
              <w:kinsoku/>
              <w:wordWrap/>
              <w:overflowPunct/>
              <w:topLinePunct w:val="0"/>
              <w:autoSpaceDE/>
              <w:autoSpaceDN/>
              <w:bidi w:val="0"/>
              <w:adjustRightInd/>
              <w:snapToGrid/>
              <w:spacing w:line="360" w:lineRule="auto"/>
              <w:ind w:firstLine="480" w:firstLineChars="200"/>
              <w:textAlignment w:val="auto"/>
              <w:outlineLvl w:val="9"/>
              <w:rPr>
                <w:rFonts w:hint="default"/>
                <w:sz w:val="24"/>
                <w:szCs w:val="24"/>
                <w:lang w:val="en-US" w:eastAsia="zh-CN"/>
              </w:rPr>
            </w:pPr>
            <w:r>
              <w:rPr>
                <w:rFonts w:hint="default"/>
                <w:sz w:val="24"/>
                <w:szCs w:val="24"/>
                <w:lang w:val="en-US" w:eastAsia="zh-CN"/>
              </w:rPr>
              <w:t>与发改委备案相符性分析</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default"/>
                <w:sz w:val="24"/>
                <w:szCs w:val="24"/>
                <w:lang w:val="en-US" w:eastAsia="zh-CN"/>
              </w:rPr>
            </w:pPr>
            <w:r>
              <w:rPr>
                <w:sz w:val="24"/>
                <w:szCs w:val="24"/>
              </w:rPr>
              <w:t>本项目与备案一致性分析见</w:t>
            </w:r>
            <w:r>
              <w:rPr>
                <w:rFonts w:hint="eastAsia"/>
                <w:sz w:val="24"/>
                <w:szCs w:val="24"/>
              </w:rPr>
              <w:t>下表</w:t>
            </w:r>
            <w:r>
              <w:rPr>
                <w:sz w:val="24"/>
                <w:szCs w:val="24"/>
              </w:rPr>
              <w:t>。</w:t>
            </w:r>
          </w:p>
          <w:p>
            <w:pPr>
              <w:numPr>
                <w:ilvl w:val="0"/>
                <w:numId w:val="0"/>
              </w:numPr>
              <w:spacing w:line="460" w:lineRule="exact"/>
              <w:jc w:val="center"/>
              <w:rPr>
                <w:rFonts w:hint="eastAsia"/>
                <w:lang w:val="pt-BR"/>
              </w:rPr>
            </w:pPr>
            <w:r>
              <w:rPr>
                <w:rFonts w:hint="eastAsia"/>
                <w:lang w:val="en-US" w:eastAsia="zh-CN"/>
              </w:rPr>
              <w:t>表</w:t>
            </w:r>
            <w:r>
              <w:rPr>
                <w:rFonts w:hint="default"/>
                <w:lang w:val="en-US" w:eastAsia="zh-CN"/>
              </w:rPr>
              <w:t>2</w:t>
            </w:r>
            <w:r>
              <w:rPr>
                <w:rFonts w:hint="eastAsia"/>
                <w:lang w:val="en-US" w:eastAsia="zh-CN"/>
              </w:rPr>
              <w:t xml:space="preserve">       </w:t>
            </w:r>
            <w:r>
              <w:rPr>
                <w:rFonts w:hint="eastAsia"/>
              </w:rPr>
              <w:t>本项目与备案一致性分析一览表</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49"/>
              <w:gridCol w:w="891"/>
              <w:gridCol w:w="2365"/>
              <w:gridCol w:w="900"/>
              <w:gridCol w:w="2382"/>
              <w:gridCol w:w="116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3209"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备案内容</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本项目情况</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建设项目</w:t>
                  </w:r>
                </w:p>
              </w:tc>
              <w:tc>
                <w:tcPr>
                  <w:tcW w:w="3209" w:type="dxa"/>
                  <w:gridSpan w:val="2"/>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河南省永丰模具有限公司年产13万只塑料包装容器项目及原三期工程改建项目</w:t>
                  </w:r>
                </w:p>
              </w:tc>
              <w:tc>
                <w:tcPr>
                  <w:tcW w:w="3235" w:type="dxa"/>
                  <w:gridSpan w:val="2"/>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河南省永丰模具有限公司年产13万只塑料包装容器项目及原三期工程改建项目</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建设地点</w:t>
                  </w:r>
                </w:p>
              </w:tc>
              <w:tc>
                <w:tcPr>
                  <w:tcW w:w="3209"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新乡市新乡县河南新乡县合河乡贾桥村工业区</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新乡市新乡县河南新乡县合河乡贾桥村工业区</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建设性质</w:t>
                  </w:r>
                </w:p>
              </w:tc>
              <w:tc>
                <w:tcPr>
                  <w:tcW w:w="3209"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改建</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改</w:t>
                  </w:r>
                  <w:r>
                    <w:rPr>
                      <w:rFonts w:hint="default" w:ascii="Times New Roman" w:hAnsi="Times New Roman" w:eastAsia="宋体" w:cs="Times New Roman"/>
                      <w:sz w:val="21"/>
                      <w:szCs w:val="21"/>
                    </w:rPr>
                    <w:t>建</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产品及规模</w:t>
                  </w:r>
                </w:p>
              </w:tc>
              <w:tc>
                <w:tcPr>
                  <w:tcW w:w="3209" w:type="dxa"/>
                  <w:gridSpan w:val="2"/>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年加工13万只塑料包装容器</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年加工13万只塑料包装容器</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原料</w:t>
                  </w:r>
                </w:p>
              </w:tc>
              <w:tc>
                <w:tcPr>
                  <w:tcW w:w="3209"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塑料颗粒</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塑料颗粒</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90"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生产工艺</w:t>
                  </w:r>
                </w:p>
              </w:tc>
              <w:tc>
                <w:tcPr>
                  <w:tcW w:w="878"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塑料</w:t>
                  </w:r>
                  <w:r>
                    <w:rPr>
                      <w:rFonts w:hint="default" w:ascii="Times New Roman" w:hAnsi="Times New Roman" w:eastAsia="宋体" w:cs="Times New Roman"/>
                      <w:sz w:val="21"/>
                      <w:szCs w:val="21"/>
                      <w:lang w:val="en-US" w:eastAsia="zh-CN"/>
                    </w:rPr>
                    <w:t>包装容器</w:t>
                  </w:r>
                  <w:r>
                    <w:rPr>
                      <w:rFonts w:hint="default" w:ascii="Times New Roman" w:hAnsi="Times New Roman" w:eastAsia="宋体" w:cs="Times New Roman"/>
                      <w:sz w:val="21"/>
                      <w:szCs w:val="21"/>
                    </w:rPr>
                    <w:t>生产工艺</w:t>
                  </w:r>
                </w:p>
              </w:tc>
              <w:tc>
                <w:tcPr>
                  <w:tcW w:w="23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外购原料(塑料颗粒)—搅拌—上料—注塑/加热挤出—吹塑、冷却—</w:t>
                  </w:r>
                  <w:r>
                    <w:rPr>
                      <w:rFonts w:hint="eastAsia" w:cs="Times New Roman"/>
                      <w:sz w:val="21"/>
                      <w:szCs w:val="21"/>
                      <w:lang w:val="en-US" w:eastAsia="zh-CN"/>
                    </w:rPr>
                    <w:t>修边—</w:t>
                  </w:r>
                  <w:r>
                    <w:rPr>
                      <w:rFonts w:hint="default" w:ascii="Times New Roman" w:hAnsi="Times New Roman" w:eastAsia="宋体" w:cs="Times New Roman"/>
                      <w:sz w:val="21"/>
                      <w:szCs w:val="21"/>
                      <w:lang w:val="en-US" w:eastAsia="zh-CN"/>
                    </w:rPr>
                    <w:t>成品</w:t>
                  </w:r>
                </w:p>
              </w:tc>
              <w:tc>
                <w:tcPr>
                  <w:tcW w:w="887"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塑料包装容器（桶）生</w:t>
                  </w:r>
                  <w:r>
                    <w:rPr>
                      <w:rFonts w:hint="default" w:ascii="Times New Roman" w:hAnsi="Times New Roman" w:eastAsia="宋体" w:cs="Times New Roman"/>
                      <w:sz w:val="21"/>
                      <w:szCs w:val="21"/>
                    </w:rPr>
                    <w:t>产工艺</w:t>
                  </w:r>
                </w:p>
              </w:tc>
              <w:tc>
                <w:tcPr>
                  <w:tcW w:w="2348"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外购原料(塑料颗粒)—搅拌—上料—注塑/加热挤出—吹塑、冷却—修边—成品—入库。</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4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w:t>
                  </w:r>
                </w:p>
              </w:tc>
              <w:tc>
                <w:tcPr>
                  <w:tcW w:w="3209" w:type="dxa"/>
                  <w:gridSpan w:val="2"/>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全自动中控吹塑机、注塑机、挤出机，辅助设备搅拌机、破碎机、空压机、废气治理设备等</w:t>
                  </w:r>
                </w:p>
              </w:tc>
              <w:tc>
                <w:tcPr>
                  <w:tcW w:w="3235"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eastAsia"/>
                      <w:lang w:val="en-US" w:eastAsia="zh-CN"/>
                    </w:rPr>
                    <w:t>全自动中</w:t>
                  </w:r>
                  <w:r>
                    <w:rPr>
                      <w:rFonts w:hint="default" w:ascii="Times New Roman" w:hAnsi="Times New Roman" w:eastAsia="宋体" w:cs="Times New Roman"/>
                      <w:color w:val="000000"/>
                      <w:kern w:val="0"/>
                      <w:sz w:val="21"/>
                      <w:szCs w:val="21"/>
                      <w:lang w:val="en-US" w:eastAsia="zh-CN" w:bidi="ar"/>
                    </w:rPr>
                    <w:t>控</w:t>
                  </w:r>
                  <w:r>
                    <w:rPr>
                      <w:rFonts w:hint="default" w:ascii="Times New Roman" w:hAnsi="Times New Roman" w:eastAsia="宋体" w:cs="Times New Roman"/>
                      <w:sz w:val="21"/>
                      <w:szCs w:val="21"/>
                      <w:lang w:val="en-US" w:eastAsia="zh-CN"/>
                    </w:rPr>
                    <w:t>吹塑机、注塑机、挤出机、搅拌机、破碎机、撕装机、空压机、模具、自动循环冷却机、废气治理设备等</w:t>
                  </w:r>
                </w:p>
              </w:tc>
              <w:tc>
                <w:tcPr>
                  <w:tcW w:w="11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一致</w:t>
                  </w:r>
                </w:p>
              </w:tc>
            </w:tr>
          </w:tbl>
          <w:p>
            <w:pPr>
              <w:pStyle w:val="7"/>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outlineLvl w:val="9"/>
              <w:rPr>
                <w:rFonts w:hint="default" w:ascii="Times New Roman" w:hAnsi="Times New Roman" w:cs="Times New Roman"/>
                <w:lang w:val="en-US" w:eastAsia="zh-CN"/>
              </w:rPr>
            </w:pPr>
            <w:r>
              <w:rPr>
                <w:rFonts w:hint="eastAsia" w:cs="Times New Roman"/>
                <w:lang w:val="en-US" w:eastAsia="zh-CN"/>
              </w:rPr>
              <w:t>综上分析，本项目与备案相符。</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四）</w:t>
            </w:r>
            <w:r>
              <w:rPr>
                <w:rFonts w:hint="default" w:ascii="Times New Roman" w:hAnsi="Times New Roman" w:cs="Times New Roman"/>
              </w:rPr>
              <w:t>与其他相关政策文件相符性分析</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outlineLvl w:val="9"/>
              <w:rPr>
                <w:rFonts w:hint="default"/>
              </w:rPr>
            </w:pPr>
            <w:r>
              <w:rPr>
                <w:rFonts w:hint="default" w:ascii="Times New Roman" w:hAnsi="Times New Roman" w:cs="Times New Roman"/>
                <w:lang w:val="en-US"/>
              </w:rPr>
              <w:t>（1）本项目与《</w:t>
            </w:r>
            <w:r>
              <w:rPr>
                <w:rFonts w:hint="default" w:ascii="Times New Roman" w:hAnsi="Times New Roman" w:cs="Times New Roman"/>
              </w:rPr>
              <w:t>河南省生态环境保护委员会办公室关于印发河南省2022年大气、水、土壤污染防治攻坚战及农业农村污染治理攻坚战实施方案的通知</w:t>
            </w:r>
            <w:r>
              <w:rPr>
                <w:rFonts w:hint="default" w:ascii="Times New Roman" w:hAnsi="Times New Roman" w:cs="Times New Roman"/>
                <w:lang w:val="en-US"/>
              </w:rPr>
              <w:t>》（</w:t>
            </w:r>
            <w:r>
              <w:rPr>
                <w:rFonts w:hint="default" w:ascii="Times New Roman" w:hAnsi="Times New Roman" w:cs="Times New Roman"/>
              </w:rPr>
              <w:t>豫环委办</w:t>
            </w:r>
            <w:r>
              <w:rPr>
                <w:rFonts w:hint="default" w:ascii="Times New Roman" w:hAnsi="Times New Roman" w:cs="Times New Roman"/>
                <w:lang w:val="en-US"/>
              </w:rPr>
              <w:t>〔2022〕</w:t>
            </w:r>
            <w:r>
              <w:rPr>
                <w:rFonts w:hint="default" w:ascii="Times New Roman" w:hAnsi="Times New Roman" w:cs="Times New Roman"/>
              </w:rPr>
              <w:t>9号</w:t>
            </w:r>
            <w:r>
              <w:rPr>
                <w:rFonts w:hint="default" w:ascii="Times New Roman" w:hAnsi="Times New Roman" w:cs="Times New Roman"/>
                <w:lang w:val="en-US"/>
              </w:rPr>
              <w:t>）（以下简称《攻坚战实施方案》）对比分析</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outlineLvl w:val="9"/>
              <w:rPr>
                <w:rFonts w:hint="default"/>
              </w:rPr>
            </w:pPr>
            <w:r>
              <w:rPr>
                <w:rFonts w:hint="default"/>
              </w:rPr>
              <w:t>表</w:t>
            </w:r>
            <w:r>
              <w:rPr>
                <w:rFonts w:hint="eastAsia"/>
                <w:lang w:val="en-US" w:eastAsia="zh-CN"/>
              </w:rPr>
              <w:t xml:space="preserve">3  </w:t>
            </w:r>
            <w:r>
              <w:rPr>
                <w:rFonts w:hint="default"/>
              </w:rPr>
              <w:t xml:space="preserve"> 与《攻坚战实施方案》对比表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6"/>
              <w:gridCol w:w="4982"/>
              <w:gridCol w:w="2595"/>
              <w:gridCol w:w="38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3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与本项目相关条文</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本项目情况</w:t>
                  </w:r>
                </w:p>
              </w:tc>
              <w:tc>
                <w:tcPr>
                  <w:tcW w:w="360"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25" w:type="dxa"/>
                  <w:gridSpan w:val="4"/>
                  <w:noWrap w:val="0"/>
                  <w:vAlign w:val="center"/>
                </w:tcPr>
                <w:p>
                  <w:pPr>
                    <w:adjustRightInd w:val="0"/>
                    <w:snapToGrid w:val="0"/>
                    <w:jc w:val="center"/>
                    <w:textAlignment w:val="baseline"/>
                    <w:outlineLvl w:val="0"/>
                  </w:pPr>
                  <w:r>
                    <w:rPr>
                      <w:rFonts w:hint="eastAsia"/>
                    </w:rPr>
                    <w:t>《河南省</w:t>
                  </w:r>
                  <w:r>
                    <w:t>2022</w:t>
                  </w:r>
                  <w:r>
                    <w:rPr>
                      <w:rFonts w:hint="eastAsia"/>
                    </w:rPr>
                    <w:t>年大气污染防治攻坚战实施方案》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dxa"/>
                  <w:noWrap w:val="0"/>
                  <w:vAlign w:val="center"/>
                </w:tcPr>
                <w:p>
                  <w:pPr>
                    <w:adjustRightInd w:val="0"/>
                    <w:snapToGrid w:val="0"/>
                    <w:jc w:val="center"/>
                    <w:textAlignment w:val="baseline"/>
                    <w:outlineLvl w:val="0"/>
                  </w:pPr>
                  <w:r>
                    <w:t>3.推进绿色低碳产业发展</w:t>
                  </w:r>
                </w:p>
              </w:tc>
              <w:tc>
                <w:tcPr>
                  <w:tcW w:w="46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落实国家产业规划、产业政策、</w:t>
                  </w:r>
                  <w:r>
                    <w:rPr>
                      <w:rFonts w:hint="eastAsia"/>
                    </w:rPr>
                    <w:t>“</w:t>
                  </w:r>
                  <w:r>
                    <w:t>三线一单</w:t>
                  </w:r>
                  <w:r>
                    <w:rPr>
                      <w:rFonts w:hint="eastAsia"/>
                    </w:rPr>
                    <w:t>”</w:t>
                  </w:r>
                  <w:r>
                    <w:t>、规划环评</w:t>
                  </w:r>
                  <w:r>
                    <w:rPr>
                      <w:rFonts w:hint="eastAsia"/>
                    </w:rPr>
                    <w:t>，</w:t>
                  </w:r>
                  <w:r>
                    <w:t>以及产能置换、煤炭消费减量替代、区域污染物削减等相关要求</w:t>
                  </w:r>
                  <w:r>
                    <w:rPr>
                      <w:rFonts w:hint="eastAsia"/>
                    </w:rPr>
                    <w:t>，</w:t>
                  </w:r>
                  <w:r>
                    <w:t>积极支持节能环保、新能源等战略性新兴产业发展</w:t>
                  </w:r>
                  <w:r>
                    <w:rPr>
                      <w:rFonts w:hint="eastAsia"/>
                    </w:rPr>
                    <w:t>，</w:t>
                  </w:r>
                  <w:r>
                    <w:t>坚决遏制高耗能、高排放项目盲目建设。落实</w:t>
                  </w:r>
                  <w:r>
                    <w:rPr>
                      <w:rFonts w:hint="eastAsia"/>
                    </w:rPr>
                    <w:t>“</w:t>
                  </w:r>
                  <w:r>
                    <w:t>两高</w:t>
                  </w:r>
                  <w:r>
                    <w:rPr>
                      <w:rFonts w:hint="eastAsia"/>
                    </w:rPr>
                    <w:t>”</w:t>
                  </w:r>
                  <w:r>
                    <w:t>项目会商联审机制</w:t>
                  </w:r>
                  <w:r>
                    <w:rPr>
                      <w:rFonts w:hint="eastAsia"/>
                    </w:rPr>
                    <w:t>，</w:t>
                  </w:r>
                  <w:r>
                    <w:t>强化项目环评及</w:t>
                  </w:r>
                  <w:r>
                    <w:rPr>
                      <w:rFonts w:hint="eastAsia"/>
                    </w:rPr>
                    <w:t>“</w:t>
                  </w:r>
                  <w:r>
                    <w:t>三同时</w:t>
                  </w:r>
                  <w:r>
                    <w:rPr>
                      <w:rFonts w:hint="eastAsia"/>
                    </w:rPr>
                    <w:t>”</w:t>
                  </w:r>
                  <w:r>
                    <w:t>管理</w:t>
                  </w:r>
                  <w:r>
                    <w:rPr>
                      <w:rFonts w:hint="eastAsia"/>
                    </w:rPr>
                    <w:t>，</w:t>
                  </w:r>
                  <w:r>
                    <w:t>重点行业企业新建、扩建项目达到A级绩效水平</w:t>
                  </w:r>
                  <w:r>
                    <w:rPr>
                      <w:rFonts w:hint="eastAsia"/>
                    </w:rPr>
                    <w:t>，</w:t>
                  </w:r>
                  <w:r>
                    <w:t>改建项目达到B级以上绩效水平。严禁新增钢铁、电解铝、水泥熟料、平板玻璃、煤化工(甲醇、合成氨)、氧化铝、焦化、铸造、铝用碳素、烧结砖瓦、铁合金等行业产能。禁止耐火材料、铅锌冶炼(含再生铅)行业单纯新增产能。水泥行业产能置换项目应实现矿石皮带廊密闭运输</w:t>
                  </w:r>
                  <w:r>
                    <w:rPr>
                      <w:rFonts w:hint="eastAsia"/>
                    </w:rPr>
                    <w:t>，</w:t>
                  </w:r>
                  <w:r>
                    <w:t>大宗物料产品清洁运输。</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rPr>
                      <w:rFonts w:hint="eastAsia"/>
                      <w:lang w:val="en-US" w:eastAsia="zh-CN"/>
                    </w:rPr>
                    <w:t>本</w:t>
                  </w:r>
                  <w:r>
                    <w:rPr>
                      <w:rFonts w:hint="eastAsia"/>
                    </w:rPr>
                    <w:t>项目为</w:t>
                  </w:r>
                  <w:r>
                    <w:rPr>
                      <w:rFonts w:hint="eastAsia"/>
                      <w:lang w:val="en-US" w:eastAsia="zh-CN"/>
                    </w:rPr>
                    <w:t>改建</w:t>
                  </w:r>
                  <w:r>
                    <w:rPr>
                      <w:rFonts w:hint="eastAsia"/>
                    </w:rPr>
                    <w:t>项目，属于塑料制品业，位于新乡市</w:t>
                  </w:r>
                  <w:r>
                    <w:rPr>
                      <w:rFonts w:hint="eastAsia"/>
                      <w:lang w:val="en-US" w:eastAsia="zh-CN"/>
                    </w:rPr>
                    <w:t>新乡县合河乡贾桥工业区</w:t>
                  </w:r>
                  <w:r>
                    <w:rPr>
                      <w:rFonts w:hint="eastAsia"/>
                    </w:rPr>
                    <w:t>。项目满足“三线一单”生态环境分区管控要求，不属于高耗能、高排放项目，项目将严格按照要求进行环评及“三同时”建设，项目将按照《河南省重污染天气重点行业应急减排措施制定技术指南（2021年修订版）》中塑料制品行业</w:t>
                  </w:r>
                  <w:r>
                    <w:rPr>
                      <w:rFonts w:hint="eastAsia"/>
                      <w:lang w:val="en-US" w:eastAsia="zh-CN"/>
                    </w:rPr>
                    <w:t>B</w:t>
                  </w:r>
                  <w:r>
                    <w:rPr>
                      <w:rFonts w:hint="eastAsia"/>
                    </w:rPr>
                    <w:t>级要求进行建设。</w:t>
                  </w:r>
                </w:p>
              </w:tc>
              <w:tc>
                <w:tcPr>
                  <w:tcW w:w="360" w:type="dxa"/>
                  <w:noWrap w:val="0"/>
                  <w:vAlign w:val="center"/>
                </w:tcPr>
                <w:p>
                  <w:pPr>
                    <w:adjustRightInd w:val="0"/>
                    <w:snapToGrid w:val="0"/>
                    <w:jc w:val="center"/>
                    <w:textAlignment w:val="baseline"/>
                    <w:outlineLvl w:val="0"/>
                  </w:pPr>
                  <w: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dxa"/>
                  <w:noWrap w:val="0"/>
                  <w:vAlign w:val="center"/>
                </w:tcPr>
                <w:p>
                  <w:pPr>
                    <w:adjustRightInd w:val="0"/>
                    <w:snapToGrid w:val="0"/>
                    <w:jc w:val="center"/>
                    <w:textAlignment w:val="baseline"/>
                    <w:outlineLvl w:val="0"/>
                  </w:pPr>
                  <w:r>
                    <w:t>27.强化VOCs日常监管</w:t>
                  </w:r>
                </w:p>
              </w:tc>
              <w:tc>
                <w:tcPr>
                  <w:tcW w:w="46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加强臭氧污染天气下的挥发性有机物排放管理</w:t>
                  </w:r>
                  <w:r>
                    <w:rPr>
                      <w:rFonts w:hint="eastAsia"/>
                    </w:rPr>
                    <w:t>，</w:t>
                  </w:r>
                  <w:r>
                    <w:t>指导涉VOCs污染物排放企业妥善安排生产计划</w:t>
                  </w:r>
                  <w:r>
                    <w:rPr>
                      <w:rFonts w:hint="eastAsia"/>
                    </w:rPr>
                    <w:t>，</w:t>
                  </w:r>
                  <w:r>
                    <w:t>在夏季减少开停车、放空、开釜等操作。涉VOCs防腐、防水、防锈等涂装作业及大中型装修、外立面改造、道路划线、沥青铺设等施工作业</w:t>
                  </w:r>
                  <w:r>
                    <w:rPr>
                      <w:rFonts w:hint="eastAsia"/>
                    </w:rPr>
                    <w:t>，</w:t>
                  </w:r>
                  <w:r>
                    <w:t>应当避开臭氧污染易发的高温时段。加强非正常工况废气排放管理</w:t>
                  </w:r>
                  <w:r>
                    <w:rPr>
                      <w:rFonts w:hint="eastAsia"/>
                    </w:rPr>
                    <w:t>，</w:t>
                  </w:r>
                  <w:r>
                    <w:t>钢铁、焦化、医药、石化、化工等重点行业企业应提前向当地生态环境部门报告开停车、检维修计划</w:t>
                  </w:r>
                  <w:r>
                    <w:rPr>
                      <w:rFonts w:hint="eastAsia"/>
                    </w:rPr>
                    <w:t>，</w:t>
                  </w:r>
                  <w:r>
                    <w:t>火炬、煤气放散管应安装引燃设施</w:t>
                  </w:r>
                  <w:r>
                    <w:rPr>
                      <w:rFonts w:hint="eastAsia"/>
                    </w:rPr>
                    <w:t>，</w:t>
                  </w:r>
                  <w:r>
                    <w:t>配套建设燃烧温度监控、废气流量计、助燃气体流量计等</w:t>
                  </w:r>
                  <w:r>
                    <w:rPr>
                      <w:rFonts w:hint="eastAsia"/>
                    </w:rPr>
                    <w:t>，</w:t>
                  </w:r>
                  <w:r>
                    <w:t>排放废气热值达不到要求时应及时补充燃气体。</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rPr>
                      <w:rFonts w:hint="eastAsia"/>
                    </w:rPr>
                    <w:t>本项目属于塑料制品业，生产过程中会产生废气污染物V</w:t>
                  </w:r>
                  <w:r>
                    <w:t>OCs</w:t>
                  </w:r>
                  <w:r>
                    <w:rPr>
                      <w:rFonts w:hint="eastAsia"/>
                    </w:rPr>
                    <w:t>，本项目将严格按照重点行业绩效分级</w:t>
                  </w:r>
                  <w:r>
                    <w:rPr>
                      <w:rFonts w:hint="eastAsia"/>
                      <w:lang w:val="en-US" w:eastAsia="zh-CN"/>
                    </w:rPr>
                    <w:t>B</w:t>
                  </w:r>
                  <w:r>
                    <w:rPr>
                      <w:rFonts w:hint="eastAsia"/>
                    </w:rPr>
                    <w:t>级的要求进行建设。</w:t>
                  </w:r>
                  <w:r>
                    <w:rPr>
                      <w:rFonts w:hint="eastAsia"/>
                      <w:lang w:eastAsia="zh-CN"/>
                    </w:rPr>
                    <w:t>落实</w:t>
                  </w:r>
                  <w:r>
                    <w:t>臭氧污染天气下</w:t>
                  </w:r>
                  <w:r>
                    <w:rPr>
                      <w:rFonts w:hint="eastAsia"/>
                      <w:lang w:eastAsia="zh-CN"/>
                    </w:rPr>
                    <w:t>管控措施。</w:t>
                  </w:r>
                </w:p>
              </w:tc>
              <w:tc>
                <w:tcPr>
                  <w:tcW w:w="360" w:type="dxa"/>
                  <w:noWrap w:val="0"/>
                  <w:vAlign w:val="center"/>
                </w:tcPr>
                <w:p>
                  <w:pPr>
                    <w:adjustRightInd w:val="0"/>
                    <w:snapToGrid w:val="0"/>
                    <w:jc w:val="center"/>
                    <w:textAlignment w:val="baseline"/>
                    <w:outlineLvl w:val="0"/>
                  </w:pPr>
                  <w:r>
                    <w:rPr>
                      <w:rFonts w:hint="eastAsia"/>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1" w:hRule="atLeast"/>
                <w:jc w:val="center"/>
              </w:trPr>
              <w:tc>
                <w:tcPr>
                  <w:tcW w:w="7825"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outlineLvl w:val="9"/>
                  </w:pPr>
                  <w:r>
                    <w:rPr>
                      <w:rFonts w:hint="eastAsia"/>
                    </w:rPr>
                    <w:t>《河南省</w:t>
                  </w:r>
                  <w:r>
                    <w:t>2022</w:t>
                  </w:r>
                  <w:r>
                    <w:rPr>
                      <w:rFonts w:hint="eastAsia"/>
                    </w:rPr>
                    <w:t>年水污染防治攻坚战实施方案》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7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14.</w:t>
                  </w:r>
                  <w:r>
                    <w:rPr>
                      <w:rFonts w:hint="eastAsia"/>
                    </w:rPr>
                    <w:t>调整优化产业结构</w:t>
                  </w:r>
                </w:p>
              </w:tc>
              <w:tc>
                <w:tcPr>
                  <w:tcW w:w="466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落实</w:t>
                  </w:r>
                  <w:r>
                    <w:rPr>
                      <w:rFonts w:hint="eastAsia"/>
                    </w:rPr>
                    <w:t>“</w:t>
                  </w:r>
                  <w:r>
                    <w:t>三线一单</w:t>
                  </w:r>
                  <w:r>
                    <w:rPr>
                      <w:rFonts w:hint="eastAsia"/>
                    </w:rPr>
                    <w:t>”</w:t>
                  </w:r>
                  <w:r>
                    <w:t>生态环境分区管控体系</w:t>
                  </w:r>
                  <w:r>
                    <w:rPr>
                      <w:rFonts w:hint="eastAsia"/>
                    </w:rPr>
                    <w:t>，</w:t>
                  </w:r>
                  <w:r>
                    <w:t>加强重点区域、重点流域、重点行业和产业布局规划环评。持续推进钢铁、有色、石化、化工、电镀、皮革、造纸、印染、农副食品加工等行业改造转型升级</w:t>
                  </w:r>
                  <w:r>
                    <w:rPr>
                      <w:rFonts w:hint="eastAsia"/>
                    </w:rPr>
                    <w:t>，</w:t>
                  </w:r>
                  <w:r>
                    <w:t>推动化工、印染、电镀等产业集群提升改造。推动重点行业、重点区域产业布局调整</w:t>
                  </w:r>
                  <w:r>
                    <w:rPr>
                      <w:rFonts w:hint="eastAsia"/>
                    </w:rPr>
                    <w:t>，</w:t>
                  </w:r>
                  <w:r>
                    <w:t>实施传统产业兼并重组、城市建成区高污染企业退城入园和敏感区域、水污染严重地区高污染企业布局优化</w:t>
                  </w:r>
                  <w:r>
                    <w:rPr>
                      <w:rFonts w:hint="eastAsia"/>
                    </w:rPr>
                    <w:t>，</w:t>
                  </w:r>
                  <w:r>
                    <w:t>制定实施落后产能淘汰方案。严禁在黄河干流及主要支流临岸一定范围内新建</w:t>
                  </w:r>
                  <w:r>
                    <w:rPr>
                      <w:rFonts w:hint="eastAsia"/>
                    </w:rPr>
                    <w:t>“</w:t>
                  </w:r>
                  <w:r>
                    <w:t>两高一资</w:t>
                  </w:r>
                  <w:r>
                    <w:rPr>
                      <w:rFonts w:hint="eastAsia"/>
                    </w:rPr>
                    <w:t>”</w:t>
                  </w:r>
                  <w:r>
                    <w:t>项目及相关产业园区。</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rPr>
                      <w:rFonts w:hint="eastAsia"/>
                    </w:rPr>
                    <w:t>本项目属于塑料制品业，位于新乡市新乡县</w:t>
                  </w:r>
                  <w:r>
                    <w:rPr>
                      <w:rFonts w:hint="eastAsia"/>
                      <w:lang w:val="en-US" w:eastAsia="zh-CN"/>
                    </w:rPr>
                    <w:t>合河乡贾桥工业区</w:t>
                  </w:r>
                  <w:r>
                    <w:rPr>
                      <w:rFonts w:hint="eastAsia"/>
                    </w:rPr>
                    <w:t>。</w:t>
                  </w:r>
                  <w:r>
                    <w:rPr>
                      <w:rFonts w:hint="eastAsia"/>
                      <w:lang w:val="en-US" w:eastAsia="zh-CN"/>
                    </w:rPr>
                    <w:t>项目不产生生产废水。</w:t>
                  </w:r>
                  <w:r>
                    <w:rPr>
                      <w:rFonts w:hint="eastAsia"/>
                    </w:rPr>
                    <w:t>项目满足“三线一单”生态环境分区管控要求，不属于高耗水、高排放工业项目。</w:t>
                  </w:r>
                </w:p>
              </w:tc>
              <w:tc>
                <w:tcPr>
                  <w:tcW w:w="36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符合</w:t>
                  </w:r>
                </w:p>
              </w:tc>
            </w:tr>
          </w:tbl>
          <w:p>
            <w:pPr>
              <w:pStyle w:val="18"/>
              <w:keepNext w:val="0"/>
              <w:keepLines w:val="0"/>
              <w:pageBreakBefore w:val="0"/>
              <w:widowControl/>
              <w:kinsoku/>
              <w:wordWrap/>
              <w:overflowPunct/>
              <w:topLinePunct w:val="0"/>
              <w:autoSpaceDE/>
              <w:autoSpaceDN/>
              <w:bidi w:val="0"/>
              <w:adjustRightInd/>
              <w:snapToGrid w:val="0"/>
              <w:spacing w:before="157" w:beforeLines="50" w:beforeAutospacing="0" w:after="0" w:afterAutospacing="0" w:line="360" w:lineRule="auto"/>
              <w:ind w:firstLine="480" w:firstLineChars="200"/>
              <w:jc w:val="both"/>
              <w:textAlignment w:val="auto"/>
              <w:outlineLvl w:val="9"/>
              <w:rPr>
                <w:rFonts w:hint="default" w:ascii="Times New Roman" w:hAnsi="Times New Roman" w:cs="Times New Roman"/>
                <w:lang w:val="en-US"/>
              </w:rPr>
            </w:pPr>
            <w:r>
              <w:rPr>
                <w:rFonts w:hint="default" w:ascii="Times New Roman" w:hAnsi="Times New Roman" w:cs="Times New Roman"/>
                <w:lang w:val="en-US" w:eastAsia="zh-CN"/>
              </w:rPr>
              <w:t>综上比对分析可知，</w:t>
            </w:r>
            <w:r>
              <w:rPr>
                <w:rFonts w:hint="default" w:ascii="Times New Roman" w:hAnsi="Times New Roman" w:cs="Times New Roman"/>
                <w:lang w:val="en-US"/>
              </w:rPr>
              <w:t>本项目符合《</w:t>
            </w:r>
            <w:r>
              <w:rPr>
                <w:rFonts w:hint="default" w:ascii="Times New Roman" w:hAnsi="Times New Roman" w:cs="Times New Roman"/>
              </w:rPr>
              <w:t>河南省生态环境保护委员会办公室关于印发河南省2022年大气、水、土壤污染防治攻坚战及农业农村污染治理攻坚战实施方案的通知</w:t>
            </w:r>
            <w:r>
              <w:rPr>
                <w:rFonts w:hint="default" w:ascii="Times New Roman" w:hAnsi="Times New Roman" w:cs="Times New Roman"/>
                <w:lang w:val="en-US"/>
              </w:rPr>
              <w:t>》（</w:t>
            </w:r>
            <w:r>
              <w:rPr>
                <w:rFonts w:hint="default" w:ascii="Times New Roman" w:hAnsi="Times New Roman" w:cs="Times New Roman"/>
              </w:rPr>
              <w:t>豫环委办</w:t>
            </w:r>
            <w:r>
              <w:rPr>
                <w:rFonts w:hint="default" w:ascii="Times New Roman" w:hAnsi="Times New Roman" w:cs="Times New Roman"/>
                <w:lang w:val="en-US"/>
              </w:rPr>
              <w:t>〔2022〕</w:t>
            </w:r>
            <w:r>
              <w:rPr>
                <w:rFonts w:hint="default" w:ascii="Times New Roman" w:hAnsi="Times New Roman" w:cs="Times New Roman"/>
              </w:rPr>
              <w:t>9号</w:t>
            </w:r>
            <w:r>
              <w:rPr>
                <w:rFonts w:hint="default" w:ascii="Times New Roman" w:hAnsi="Times New Roman" w:cs="Times New Roman"/>
                <w:lang w:val="en-US"/>
              </w:rPr>
              <w:t>）相关要求。</w:t>
            </w:r>
          </w:p>
          <w:p>
            <w:pPr>
              <w:pStyle w:val="18"/>
              <w:keepNext w:val="0"/>
              <w:keepLines w:val="0"/>
              <w:pageBreakBefore w:val="0"/>
              <w:widowControl/>
              <w:numPr>
                <w:ilvl w:val="0"/>
                <w:numId w:val="2"/>
              </w:numPr>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outlineLvl w:val="9"/>
              <w:rPr>
                <w:rFonts w:hint="default" w:ascii="Times New Roman" w:hAnsi="Times New Roman" w:cs="Times New Roman"/>
                <w:sz w:val="21"/>
                <w:szCs w:val="21"/>
              </w:rPr>
            </w:pPr>
            <w:r>
              <w:rPr>
                <w:rFonts w:hint="default" w:ascii="Times New Roman" w:hAnsi="Times New Roman" w:cs="Times New Roman"/>
                <w:lang w:val="en-US"/>
              </w:rPr>
              <w:t>本项目与</w:t>
            </w:r>
            <w:r>
              <w:rPr>
                <w:rFonts w:hint="default" w:ascii="Times New Roman" w:hAnsi="Times New Roman" w:cs="Times New Roman"/>
              </w:rPr>
              <w:t>《新乡市环境污染防治攻坚指挥部办公室关于印发新乡市2022年大气、水、土壤污染防治攻坚战及农业农村污染治理攻坚战实施方案的通知》（新环攻坚办〔2022〕60号）</w:t>
            </w:r>
            <w:r>
              <w:rPr>
                <w:rFonts w:hint="default" w:ascii="Times New Roman" w:hAnsi="Times New Roman" w:cs="Times New Roman"/>
                <w:lang w:val="en-US"/>
              </w:rPr>
              <w:t>（以下简称《攻坚战实施方案》）对比分析</w:t>
            </w:r>
          </w:p>
          <w:p>
            <w:pPr>
              <w:pStyle w:val="18"/>
              <w:keepNext w:val="0"/>
              <w:keepLines w:val="0"/>
              <w:pageBreakBefore w:val="0"/>
              <w:widowControl/>
              <w:numPr>
                <w:ilvl w:val="0"/>
                <w:numId w:val="0"/>
              </w:numPr>
              <w:kinsoku/>
              <w:wordWrap/>
              <w:overflowPunct/>
              <w:topLinePunct w:val="0"/>
              <w:autoSpaceDE/>
              <w:autoSpaceDN/>
              <w:bidi w:val="0"/>
              <w:adjustRightInd w:val="0"/>
              <w:snapToGrid w:val="0"/>
              <w:spacing w:before="157" w:beforeLines="50" w:beforeAutospacing="0" w:after="0" w:afterAutospacing="0" w:line="240" w:lineRule="auto"/>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表</w:t>
            </w:r>
            <w:r>
              <w:rPr>
                <w:rFonts w:hint="default" w:ascii="Times New Roman" w:hAnsi="Times New Roman" w:cs="Times New Roman"/>
                <w:sz w:val="21"/>
                <w:szCs w:val="21"/>
                <w:lang w:val="en-US" w:eastAsia="zh-CN"/>
              </w:rPr>
              <w:t>4</w:t>
            </w:r>
            <w:r>
              <w:rPr>
                <w:rFonts w:hint="default" w:ascii="Times New Roman" w:hAnsi="Times New Roman" w:cs="Times New Roman"/>
                <w:sz w:val="21"/>
                <w:szCs w:val="21"/>
              </w:rPr>
              <w:t xml:space="preserve">     与《攻坚战实施方案》对比表</w:t>
            </w:r>
          </w:p>
          <w:tbl>
            <w:tblPr>
              <w:tblStyle w:val="22"/>
              <w:tblW w:w="4981"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14"/>
              <w:gridCol w:w="5020"/>
              <w:gridCol w:w="2408"/>
              <w:gridCol w:w="38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05" w:hRule="atLeast"/>
                <w:jc w:val="center"/>
              </w:trPr>
              <w:tc>
                <w:tcPr>
                  <w:tcW w:w="5455"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与本项目相关条文</w:t>
                  </w:r>
                </w:p>
              </w:tc>
              <w:tc>
                <w:tcPr>
                  <w:tcW w:w="2373"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本项目情况</w:t>
                  </w:r>
                </w:p>
              </w:tc>
              <w:tc>
                <w:tcPr>
                  <w:tcW w:w="377"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outlineLvl w:val="9"/>
                  </w:pPr>
                  <w: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8205" w:type="dxa"/>
                  <w:gridSpan w:val="4"/>
                  <w:noWrap w:val="0"/>
                  <w:vAlign w:val="center"/>
                </w:tcPr>
                <w:p>
                  <w:pPr>
                    <w:adjustRightInd w:val="0"/>
                    <w:snapToGrid w:val="0"/>
                    <w:jc w:val="center"/>
                    <w:textAlignment w:val="baseline"/>
                    <w:outlineLvl w:val="0"/>
                  </w:pPr>
                  <w:r>
                    <w:rPr>
                      <w:rFonts w:hint="eastAsia"/>
                    </w:rPr>
                    <w:t>《新乡市</w:t>
                  </w:r>
                  <w:r>
                    <w:t>2022</w:t>
                  </w:r>
                  <w:r>
                    <w:rPr>
                      <w:rFonts w:hint="eastAsia"/>
                    </w:rPr>
                    <w:t>年大气污染防治攻坚战实施方案》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175" w:hRule="atLeast"/>
                <w:jc w:val="center"/>
              </w:trPr>
              <w:tc>
                <w:tcPr>
                  <w:tcW w:w="5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3.</w:t>
                  </w:r>
                  <w:r>
                    <w:rPr>
                      <w:rFonts w:hint="eastAsia"/>
                    </w:rPr>
                    <w:t>严格项目准入，</w:t>
                  </w:r>
                  <w:r>
                    <w:t>推进绿色低碳产业发展</w:t>
                  </w:r>
                </w:p>
              </w:tc>
              <w:tc>
                <w:tcPr>
                  <w:tcW w:w="494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rPr>
                      <w:rFonts w:hint="eastAsia"/>
                    </w:rPr>
                    <w:t>项目准入严格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三同时”管理，国家、省绩效分级重点行业企业新建、扩建项目达到A级绩效水平，改建项目达到B级以上绩效水平。</w:t>
                  </w:r>
                </w:p>
              </w:tc>
              <w:tc>
                <w:tcPr>
                  <w:tcW w:w="2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baseline"/>
                    <w:outlineLvl w:val="9"/>
                  </w:pPr>
                  <w:r>
                    <w:t>本</w:t>
                  </w:r>
                  <w:r>
                    <w:rPr>
                      <w:rFonts w:hint="eastAsia"/>
                    </w:rPr>
                    <w:t>项目为</w:t>
                  </w:r>
                  <w:r>
                    <w:rPr>
                      <w:rFonts w:hint="eastAsia"/>
                      <w:lang w:val="en-US" w:eastAsia="zh-CN"/>
                    </w:rPr>
                    <w:t>改建</w:t>
                  </w:r>
                  <w:r>
                    <w:rPr>
                      <w:rFonts w:hint="eastAsia"/>
                    </w:rPr>
                    <w:t>项目，属于塑料制品业</w:t>
                  </w:r>
                  <w:r>
                    <w:t>，位于</w:t>
                  </w:r>
                  <w:r>
                    <w:rPr>
                      <w:rFonts w:hint="eastAsia"/>
                    </w:rPr>
                    <w:t>新乡市新乡县</w:t>
                  </w:r>
                  <w:r>
                    <w:rPr>
                      <w:rFonts w:hint="eastAsia"/>
                      <w:lang w:val="en-US" w:eastAsia="zh-CN"/>
                    </w:rPr>
                    <w:t>合河乡贾桥工业区</w:t>
                  </w:r>
                  <w:r>
                    <w:t>。项目满足</w:t>
                  </w:r>
                  <w:r>
                    <w:rPr>
                      <w:rFonts w:hint="eastAsia"/>
                    </w:rPr>
                    <w:t>国家产业规划、产业政策、“三线一单”、</w:t>
                  </w:r>
                  <w:r>
                    <w:t>不属于</w:t>
                  </w:r>
                  <w:r>
                    <w:rPr>
                      <w:rFonts w:hint="eastAsia"/>
                    </w:rPr>
                    <w:t>“两高”</w:t>
                  </w:r>
                  <w:r>
                    <w:t>项目，本项目</w:t>
                  </w:r>
                  <w:r>
                    <w:rPr>
                      <w:rFonts w:hint="eastAsia"/>
                    </w:rPr>
                    <w:t>将严格按照要求进行环评及“</w:t>
                  </w:r>
                  <w:r>
                    <w:t>三同时</w:t>
                  </w:r>
                  <w:r>
                    <w:rPr>
                      <w:rFonts w:hint="eastAsia"/>
                    </w:rPr>
                    <w:t>”建设，项目将按照《河南省重污染天气重点行业应急减排措施制定技术指南（2021年修订版）》中塑料制品行业</w:t>
                  </w:r>
                  <w:r>
                    <w:rPr>
                      <w:rFonts w:hint="eastAsia"/>
                      <w:lang w:val="en-US" w:eastAsia="zh-CN"/>
                    </w:rPr>
                    <w:t>B</w:t>
                  </w:r>
                  <w:r>
                    <w:rPr>
                      <w:rFonts w:hint="eastAsia"/>
                    </w:rPr>
                    <w:t>级要求进行建设。</w:t>
                  </w:r>
                </w:p>
              </w:tc>
              <w:tc>
                <w:tcPr>
                  <w:tcW w:w="377" w:type="dxa"/>
                  <w:noWrap w:val="0"/>
                  <w:vAlign w:val="center"/>
                </w:tcPr>
                <w:p>
                  <w:pPr>
                    <w:adjustRightInd w:val="0"/>
                    <w:snapToGrid w:val="0"/>
                    <w:jc w:val="center"/>
                    <w:textAlignment w:val="baseline"/>
                    <w:outlineLvl w:val="0"/>
                  </w:pPr>
                  <w: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93" w:hRule="atLeast"/>
                <w:jc w:val="center"/>
              </w:trPr>
              <w:tc>
                <w:tcPr>
                  <w:tcW w:w="5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27.强化VOCs日常监管</w:t>
                  </w:r>
                </w:p>
              </w:tc>
              <w:tc>
                <w:tcPr>
                  <w:tcW w:w="494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加强挥发性有机物排放管理</w:t>
                  </w:r>
                  <w:r>
                    <w:rPr>
                      <w:rFonts w:hint="eastAsia"/>
                    </w:rPr>
                    <w:t>，引导</w:t>
                  </w:r>
                  <w:r>
                    <w:t>涉VOCs污染物排放企业妥善安排生产计划</w:t>
                  </w:r>
                  <w:r>
                    <w:rPr>
                      <w:rFonts w:hint="eastAsia"/>
                    </w:rPr>
                    <w:t>，</w:t>
                  </w:r>
                  <w:r>
                    <w:t>在夏季</w:t>
                  </w:r>
                  <w:r>
                    <w:rPr>
                      <w:rFonts w:hint="eastAsia"/>
                    </w:rPr>
                    <w:t>（5</w:t>
                  </w:r>
                  <w:r>
                    <w:t>-9</w:t>
                  </w:r>
                  <w:r>
                    <w:rPr>
                      <w:rFonts w:hint="eastAsia"/>
                    </w:rPr>
                    <w:t>月份）</w:t>
                  </w:r>
                  <w:r>
                    <w:t>减少开停车、放空、开釜等操作。涉VOCs防腐、防水、防锈等涂装作业及大中型装修、外立面改造、道路划线、沥青铺设等施工作业</w:t>
                  </w:r>
                  <w:r>
                    <w:rPr>
                      <w:rFonts w:hint="eastAsia"/>
                    </w:rPr>
                    <w:t>，</w:t>
                  </w:r>
                  <w:r>
                    <w:t>应当避开臭氧污染易发的高温时段。加强非正常工况废气排放管理</w:t>
                  </w:r>
                  <w:r>
                    <w:rPr>
                      <w:rFonts w:hint="eastAsia"/>
                    </w:rPr>
                    <w:t>，</w:t>
                  </w:r>
                  <w:r>
                    <w:t>医药、化工等重点行业企业应提前向当地生态环境部门报告开停车、检维修计划</w:t>
                  </w:r>
                  <w:r>
                    <w:rPr>
                      <w:rFonts w:hint="eastAsia"/>
                    </w:rPr>
                    <w:t>，</w:t>
                  </w:r>
                  <w:r>
                    <w:t>火炬、煤气放散管应安装引燃设施</w:t>
                  </w:r>
                  <w:r>
                    <w:rPr>
                      <w:rFonts w:hint="eastAsia"/>
                    </w:rPr>
                    <w:t>，</w:t>
                  </w:r>
                  <w:r>
                    <w:t>配套建设燃烧温度监控、废气流量计、助燃气体流量计等</w:t>
                  </w:r>
                  <w:r>
                    <w:rPr>
                      <w:rFonts w:hint="eastAsia"/>
                    </w:rPr>
                    <w:t>，</w:t>
                  </w:r>
                  <w:r>
                    <w:t>排放废气热值达不到要求时应及时补充燃气体。</w:t>
                  </w:r>
                </w:p>
              </w:tc>
              <w:tc>
                <w:tcPr>
                  <w:tcW w:w="2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rPr>
                      <w:rFonts w:hint="default"/>
                      <w:lang w:val="en-US" w:eastAsia="zh-CN"/>
                    </w:rPr>
                  </w:pPr>
                  <w:r>
                    <w:rPr>
                      <w:rFonts w:hint="eastAsia"/>
                    </w:rPr>
                    <w:t>本项目属于塑料制品业，生产过程中会产生废气污染物V</w:t>
                  </w:r>
                  <w:r>
                    <w:t>OCs</w:t>
                  </w:r>
                  <w:r>
                    <w:rPr>
                      <w:rFonts w:hint="eastAsia"/>
                    </w:rPr>
                    <w:t>，本项目将严格按照重点行业绩效分级</w:t>
                  </w:r>
                  <w:r>
                    <w:rPr>
                      <w:rFonts w:hint="eastAsia"/>
                      <w:lang w:val="en-US" w:eastAsia="zh-CN"/>
                    </w:rPr>
                    <w:t>B</w:t>
                  </w:r>
                  <w:r>
                    <w:rPr>
                      <w:rFonts w:hint="eastAsia"/>
                    </w:rPr>
                    <w:t>级的要求进行建设</w:t>
                  </w:r>
                  <w:r>
                    <w:rPr>
                      <w:rFonts w:hint="eastAsia"/>
                      <w:lang w:eastAsia="zh-CN"/>
                    </w:rPr>
                    <w:t>，</w:t>
                  </w:r>
                  <w:r>
                    <w:rPr>
                      <w:rFonts w:hint="eastAsia"/>
                      <w:lang w:val="en-US" w:eastAsia="zh-CN"/>
                    </w:rPr>
                    <w:t>并认真落实夏季管控措施。</w:t>
                  </w:r>
                </w:p>
              </w:tc>
              <w:tc>
                <w:tcPr>
                  <w:tcW w:w="377" w:type="dxa"/>
                  <w:noWrap w:val="0"/>
                  <w:vAlign w:val="center"/>
                </w:tcPr>
                <w:p>
                  <w:pPr>
                    <w:adjustRightInd w:val="0"/>
                    <w:snapToGrid w:val="0"/>
                    <w:jc w:val="center"/>
                    <w:textAlignment w:val="baseline"/>
                    <w:outlineLvl w:val="0"/>
                  </w:pPr>
                  <w:r>
                    <w:rPr>
                      <w:rFonts w:hint="eastAsia"/>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8205" w:type="dxa"/>
                  <w:gridSpan w:val="4"/>
                  <w:noWrap w:val="0"/>
                  <w:vAlign w:val="center"/>
                </w:tcPr>
                <w:p>
                  <w:pPr>
                    <w:adjustRightInd w:val="0"/>
                    <w:snapToGrid w:val="0"/>
                    <w:jc w:val="center"/>
                    <w:textAlignment w:val="baseline"/>
                    <w:outlineLvl w:val="0"/>
                  </w:pPr>
                  <w:r>
                    <w:rPr>
                      <w:rFonts w:hint="eastAsia"/>
                    </w:rPr>
                    <w:t>《新乡市</w:t>
                  </w:r>
                  <w:r>
                    <w:t>2022</w:t>
                  </w:r>
                  <w:r>
                    <w:rPr>
                      <w:rFonts w:hint="eastAsia"/>
                    </w:rPr>
                    <w:t>年水污染防治攻坚战实施方案》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42" w:hRule="atLeast"/>
                <w:jc w:val="center"/>
              </w:trPr>
              <w:tc>
                <w:tcPr>
                  <w:tcW w:w="5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t>14.</w:t>
                  </w:r>
                  <w:r>
                    <w:rPr>
                      <w:rFonts w:hint="eastAsia"/>
                    </w:rPr>
                    <w:t>调整优化产业结构</w:t>
                  </w:r>
                </w:p>
              </w:tc>
              <w:tc>
                <w:tcPr>
                  <w:tcW w:w="494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pPr>
                  <w:r>
                    <w:rPr>
                      <w:rFonts w:hint="eastAsia"/>
                    </w:rPr>
                    <w:t>严格执行“三线一单”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岸一定范围内新建“两高一资”项目及相关产业园区。</w:t>
                  </w:r>
                </w:p>
              </w:tc>
              <w:tc>
                <w:tcPr>
                  <w:tcW w:w="2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outlineLvl w:val="9"/>
                    <w:rPr>
                      <w:rFonts w:hint="default"/>
                      <w:lang w:val="en-US" w:eastAsia="zh-CN"/>
                    </w:rPr>
                  </w:pPr>
                  <w:r>
                    <w:t>本</w:t>
                  </w:r>
                  <w:r>
                    <w:rPr>
                      <w:rFonts w:hint="eastAsia"/>
                    </w:rPr>
                    <w:t>项目为</w:t>
                  </w:r>
                  <w:r>
                    <w:rPr>
                      <w:rFonts w:hint="eastAsia"/>
                      <w:lang w:val="en-US" w:eastAsia="zh-CN"/>
                    </w:rPr>
                    <w:t>改</w:t>
                  </w:r>
                  <w:r>
                    <w:rPr>
                      <w:rFonts w:hint="eastAsia"/>
                      <w:lang w:eastAsia="zh-CN"/>
                    </w:rPr>
                    <w:t>建</w:t>
                  </w:r>
                  <w:r>
                    <w:rPr>
                      <w:rFonts w:hint="eastAsia"/>
                    </w:rPr>
                    <w:t>项目，属于塑料制品业，将严格执行“</w:t>
                  </w:r>
                  <w:r>
                    <w:t>三线一单</w:t>
                  </w:r>
                  <w:r>
                    <w:rPr>
                      <w:rFonts w:hint="eastAsia"/>
                    </w:rPr>
                    <w:t>”</w:t>
                  </w:r>
                  <w:r>
                    <w:t>生态环境分区管控要求</w:t>
                  </w:r>
                  <w:r>
                    <w:rPr>
                      <w:rFonts w:hint="eastAsia"/>
                    </w:rPr>
                    <w:t>，本项目</w:t>
                  </w:r>
                  <w:r>
                    <w:t>位于</w:t>
                  </w:r>
                  <w:r>
                    <w:rPr>
                      <w:rFonts w:hint="eastAsia"/>
                    </w:rPr>
                    <w:t>新乡市新乡县</w:t>
                  </w:r>
                  <w:r>
                    <w:rPr>
                      <w:rFonts w:hint="eastAsia"/>
                      <w:lang w:val="en-US" w:eastAsia="zh-CN"/>
                    </w:rPr>
                    <w:t>合河乡贾桥工业区</w:t>
                  </w:r>
                  <w:r>
                    <w:rPr>
                      <w:rFonts w:hint="eastAsia"/>
                    </w:rPr>
                    <w:t>，</w:t>
                  </w:r>
                  <w:r>
                    <w:t>不属于</w:t>
                  </w:r>
                  <w:r>
                    <w:rPr>
                      <w:rFonts w:hint="eastAsia"/>
                    </w:rPr>
                    <w:t>“两高一资”项目</w:t>
                  </w:r>
                  <w:r>
                    <w:t>。</w:t>
                  </w:r>
                  <w:r>
                    <w:rPr>
                      <w:rFonts w:hint="eastAsia"/>
                      <w:lang w:val="en-US" w:eastAsia="zh-CN"/>
                    </w:rPr>
                    <w:t>本项目无生产废水产生。</w:t>
                  </w:r>
                </w:p>
              </w:tc>
              <w:tc>
                <w:tcPr>
                  <w:tcW w:w="377" w:type="dxa"/>
                  <w:noWrap w:val="0"/>
                  <w:vAlign w:val="center"/>
                </w:tcPr>
                <w:p>
                  <w:pPr>
                    <w:adjustRightInd w:val="0"/>
                    <w:snapToGrid w:val="0"/>
                    <w:jc w:val="center"/>
                    <w:textAlignment w:val="baseline"/>
                    <w:outlineLvl w:val="0"/>
                  </w:pPr>
                  <w:r>
                    <w:t>符合</w:t>
                  </w:r>
                </w:p>
              </w:tc>
            </w:tr>
          </w:tbl>
          <w:p>
            <w:pPr>
              <w:pStyle w:val="8"/>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80" w:firstLineChars="200"/>
              <w:textAlignment w:val="auto"/>
              <w:outlineLvl w:val="9"/>
              <w:rPr>
                <w:rFonts w:hint="default"/>
                <w:sz w:val="24"/>
                <w:szCs w:val="24"/>
              </w:rPr>
            </w:pPr>
            <w:r>
              <w:rPr>
                <w:rFonts w:hint="eastAsia"/>
                <w:sz w:val="24"/>
                <w:szCs w:val="24"/>
                <w:lang w:val="en-US" w:eastAsia="zh-CN"/>
              </w:rPr>
              <w:t>综上对比分析</w:t>
            </w:r>
            <w:r>
              <w:rPr>
                <w:rFonts w:hint="default"/>
                <w:sz w:val="24"/>
                <w:szCs w:val="24"/>
                <w:lang w:val="en-US"/>
              </w:rPr>
              <w:t>可知，本项目符合《</w:t>
            </w:r>
            <w:r>
              <w:rPr>
                <w:sz w:val="24"/>
                <w:szCs w:val="24"/>
              </w:rPr>
              <w:t>新乡市环境污染防治攻坚指挥部办公室关于印发新乡市2022年大气、水、土壤污染防治攻坚战及农业农村污染治理攻坚战实施方案的通知》（新环攻坚办〔2022〕60号）</w:t>
            </w:r>
            <w:r>
              <w:rPr>
                <w:rFonts w:hint="default"/>
                <w:sz w:val="24"/>
                <w:szCs w:val="24"/>
                <w:lang w:val="en-US"/>
              </w:rPr>
              <w:t>相关要求。</w:t>
            </w:r>
          </w:p>
          <w:p>
            <w:pPr>
              <w:keepNext/>
              <w:keepLines w:val="0"/>
              <w:pageBreakBefore w:val="0"/>
              <w:widowControl w:val="0"/>
              <w:kinsoku/>
              <w:wordWrap/>
              <w:overflowPunct w:val="0"/>
              <w:topLinePunct w:val="0"/>
              <w:autoSpaceDE/>
              <w:autoSpaceDN/>
              <w:bidi w:val="0"/>
              <w:adjustRightInd/>
              <w:snapToGrid w:val="0"/>
              <w:spacing w:before="0" w:after="0" w:line="360" w:lineRule="auto"/>
              <w:ind w:firstLine="480" w:firstLineChars="200"/>
              <w:textAlignment w:val="auto"/>
              <w:outlineLvl w:val="9"/>
              <w:rPr>
                <w:rFonts w:hint="default"/>
                <w:lang w:val="en-US" w:eastAsia="zh-CN"/>
              </w:rPr>
            </w:pPr>
            <w:r>
              <w:rPr>
                <w:rFonts w:hint="eastAsia"/>
                <w:sz w:val="24"/>
                <w:szCs w:val="24"/>
                <w:lang w:val="en-US" w:eastAsia="zh-CN"/>
              </w:rPr>
              <w:t>（3）本项目与《新乡市2023年蓝天保卫战实施方案》（新环攻坚办[2023]77号）相关要求对比分析</w:t>
            </w:r>
          </w:p>
          <w:p>
            <w:pPr>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outlineLvl w:val="9"/>
              <w:rPr>
                <w:rFonts w:hint="default"/>
                <w:lang w:val="en-US" w:eastAsia="zh-CN"/>
              </w:rPr>
            </w:pPr>
            <w:r>
              <w:rPr>
                <w:rFonts w:hint="default"/>
                <w:lang w:val="en-US" w:eastAsia="zh-CN"/>
              </w:rPr>
              <w:t>表</w:t>
            </w:r>
            <w:r>
              <w:rPr>
                <w:rFonts w:hint="eastAsia"/>
                <w:lang w:val="en-US" w:eastAsia="zh-CN"/>
              </w:rPr>
              <w:t>5</w:t>
            </w:r>
            <w:r>
              <w:rPr>
                <w:rFonts w:hint="default"/>
                <w:lang w:val="en-US" w:eastAsia="zh-CN"/>
              </w:rPr>
              <w:t xml:space="preserve">   《新乡市2023年蓝天保卫战实施方案》对比分析</w:t>
            </w:r>
          </w:p>
          <w:tbl>
            <w:tblPr>
              <w:tblStyle w:val="23"/>
              <w:tblW w:w="822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4964"/>
              <w:gridCol w:w="2195"/>
              <w:gridCol w:w="3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6" w:type="dxa"/>
                  <w:gridSpan w:val="2"/>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outlineLvl w:val="9"/>
                    <w:rPr>
                      <w:rFonts w:hint="default"/>
                      <w:sz w:val="21"/>
                      <w:szCs w:val="21"/>
                      <w:lang w:val="en-US" w:eastAsia="zh-CN"/>
                    </w:rPr>
                  </w:pPr>
                  <w:r>
                    <w:rPr>
                      <w:rFonts w:hint="eastAsia"/>
                      <w:sz w:val="21"/>
                      <w:szCs w:val="21"/>
                      <w:lang w:val="en-US" w:eastAsia="zh-CN"/>
                    </w:rPr>
                    <w:t>与本项目相关条文</w:t>
                  </w:r>
                </w:p>
              </w:tc>
              <w:tc>
                <w:tcPr>
                  <w:tcW w:w="219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outlineLvl w:val="9"/>
                    <w:rPr>
                      <w:rFonts w:hint="default"/>
                      <w:sz w:val="21"/>
                      <w:szCs w:val="21"/>
                      <w:lang w:val="en-US" w:eastAsia="zh-CN"/>
                    </w:rPr>
                  </w:pPr>
                  <w:r>
                    <w:rPr>
                      <w:rFonts w:hint="eastAsia"/>
                      <w:sz w:val="21"/>
                      <w:szCs w:val="21"/>
                      <w:lang w:val="en-US" w:eastAsia="zh-CN"/>
                    </w:rPr>
                    <w:t>本项目情况</w:t>
                  </w:r>
                </w:p>
              </w:tc>
              <w:tc>
                <w:tcPr>
                  <w:tcW w:w="38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outlineLvl w:val="9"/>
                    <w:rPr>
                      <w:rFonts w:hint="default"/>
                      <w:lang w:val="en-US" w:eastAsia="zh-CN"/>
                    </w:rPr>
                  </w:pPr>
                  <w:r>
                    <w:rPr>
                      <w:rFonts w:hint="eastAsia"/>
                      <w:lang w:val="en-US" w:eastAsia="zh-CN"/>
                    </w:rPr>
                    <w:t>对比分析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2"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default"/>
                      <w:lang w:val="en-US" w:eastAsia="zh-CN"/>
                    </w:rPr>
                    <w:t>18.实施工业污染排放深度治理</w:t>
                  </w:r>
                </w:p>
              </w:tc>
              <w:tc>
                <w:tcPr>
                  <w:tcW w:w="4964"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default"/>
                      <w:lang w:val="en-US" w:eastAsia="zh-CN"/>
                    </w:rPr>
                    <w:t>以水泥</w:t>
                  </w:r>
                  <w:r>
                    <w:rPr>
                      <w:rFonts w:hint="eastAsia"/>
                      <w:lang w:val="en-US" w:eastAsia="zh-CN"/>
                    </w:rPr>
                    <w:t>、</w:t>
                  </w:r>
                  <w:r>
                    <w:rPr>
                      <w:rFonts w:hint="default"/>
                      <w:lang w:val="en-US" w:eastAsia="zh-CN"/>
                    </w:rPr>
                    <w:t>氧化铝</w:t>
                  </w:r>
                  <w:r>
                    <w:rPr>
                      <w:rFonts w:hint="eastAsia"/>
                      <w:lang w:val="en-US" w:eastAsia="zh-CN"/>
                    </w:rPr>
                    <w:t>、</w:t>
                  </w:r>
                  <w:r>
                    <w:rPr>
                      <w:rFonts w:hint="default"/>
                      <w:lang w:val="en-US" w:eastAsia="zh-CN"/>
                    </w:rPr>
                    <w:t>砖瓦窑</w:t>
                  </w:r>
                  <w:r>
                    <w:rPr>
                      <w:rFonts w:hint="eastAsia"/>
                      <w:lang w:val="en-US" w:eastAsia="zh-CN"/>
                    </w:rPr>
                    <w:t>、</w:t>
                  </w:r>
                  <w:r>
                    <w:rPr>
                      <w:rFonts w:hint="default"/>
                      <w:lang w:val="en-US" w:eastAsia="zh-CN"/>
                    </w:rPr>
                    <w:t>玻璃</w:t>
                  </w:r>
                  <w:r>
                    <w:rPr>
                      <w:rFonts w:hint="eastAsia"/>
                      <w:lang w:val="en-US" w:eastAsia="zh-CN"/>
                    </w:rPr>
                    <w:t>、</w:t>
                  </w:r>
                  <w:r>
                    <w:rPr>
                      <w:rFonts w:hint="default"/>
                      <w:lang w:val="en-US" w:eastAsia="zh-CN"/>
                    </w:rPr>
                    <w:t>陶瓷、炭素、耐火材料</w:t>
                  </w:r>
                  <w:r>
                    <w:rPr>
                      <w:rFonts w:hint="eastAsia"/>
                      <w:lang w:val="en-US" w:eastAsia="zh-CN"/>
                    </w:rPr>
                    <w:t>、</w:t>
                  </w:r>
                  <w:r>
                    <w:rPr>
                      <w:rFonts w:hint="default"/>
                      <w:lang w:val="en-US" w:eastAsia="zh-CN"/>
                    </w:rPr>
                    <w:t>石灰器等行业工业客炉为重点全面提升污染物治理设施，无组织排放管控和在线监控设施运行管理水平，加强物料运输、装卸储存及生产过程中的无组织排放控制，推进实施清洁生产改造，确保污染物稳定达标排放。2023 年5月底前，全面排查除尘脱硫一体化</w:t>
                  </w:r>
                  <w:r>
                    <w:rPr>
                      <w:rFonts w:hint="eastAsia"/>
                      <w:lang w:val="en-US" w:eastAsia="zh-CN"/>
                    </w:rPr>
                    <w:t>、</w:t>
                  </w:r>
                  <w:r>
                    <w:rPr>
                      <w:rFonts w:hint="default"/>
                      <w:lang w:val="en-US" w:eastAsia="zh-CN"/>
                    </w:rPr>
                    <w:t>简易碱法脱硫</w:t>
                  </w:r>
                  <w:r>
                    <w:rPr>
                      <w:rFonts w:hint="eastAsia"/>
                      <w:lang w:val="en-US" w:eastAsia="zh-CN"/>
                    </w:rPr>
                    <w:t>、</w:t>
                  </w:r>
                  <w:r>
                    <w:rPr>
                      <w:rFonts w:hint="default"/>
                      <w:lang w:val="en-US" w:eastAsia="zh-CN"/>
                    </w:rPr>
                    <w:t>简易氨法脱硫脱硝</w:t>
                  </w:r>
                  <w:r>
                    <w:rPr>
                      <w:rFonts w:hint="eastAsia"/>
                      <w:lang w:val="en-US" w:eastAsia="zh-CN"/>
                    </w:rPr>
                    <w:t>、</w:t>
                  </w:r>
                  <w:r>
                    <w:rPr>
                      <w:rFonts w:hint="default"/>
                      <w:lang w:val="en-US" w:eastAsia="zh-CN"/>
                    </w:rPr>
                    <w:t>湿法脱硝</w:t>
                  </w:r>
                  <w:r>
                    <w:rPr>
                      <w:rFonts w:hint="eastAsia"/>
                      <w:lang w:val="en-US" w:eastAsia="zh-CN"/>
                    </w:rPr>
                    <w:t>、</w:t>
                  </w:r>
                  <w:r>
                    <w:rPr>
                      <w:rFonts w:hint="default"/>
                      <w:lang w:val="en-US" w:eastAsia="zh-CN"/>
                    </w:rPr>
                    <w:t>氧化法脱硝等低效治理设施以及低温等 离子、光催化</w:t>
                  </w:r>
                  <w:r>
                    <w:rPr>
                      <w:rFonts w:hint="eastAsia"/>
                      <w:lang w:val="en-US" w:eastAsia="zh-CN"/>
                    </w:rPr>
                    <w:t>、</w:t>
                  </w:r>
                  <w:r>
                    <w:rPr>
                      <w:rFonts w:hint="default"/>
                      <w:lang w:val="en-US" w:eastAsia="zh-CN"/>
                    </w:rPr>
                    <w:t>光氧化</w:t>
                  </w:r>
                  <w:r>
                    <w:rPr>
                      <w:rFonts w:hint="eastAsia"/>
                      <w:lang w:val="en-US" w:eastAsia="zh-CN"/>
                    </w:rPr>
                    <w:t>等</w:t>
                  </w:r>
                  <w:r>
                    <w:rPr>
                      <w:rFonts w:hint="default"/>
                      <w:lang w:val="en-US" w:eastAsia="zh-CN"/>
                    </w:rPr>
                    <w:t>VOCs简易低效治理设施</w:t>
                  </w:r>
                  <w:r>
                    <w:rPr>
                      <w:rFonts w:hint="eastAsia"/>
                      <w:lang w:val="en-US" w:eastAsia="zh-CN"/>
                    </w:rPr>
                    <w:t>；</w:t>
                  </w:r>
                  <w:r>
                    <w:rPr>
                      <w:rFonts w:hint="default"/>
                      <w:lang w:val="en-US" w:eastAsia="zh-CN"/>
                    </w:rPr>
                    <w:t>取缔直接向烟道内喷酒脱硫脱确剂等敷衍式治理工艺。10月底前，对无法稳定达标排放的通过更换适宜高效治理工艺、提升现有治污设施处理能力，清洁能源替代等方式完成分类整治，对人工投加脱</w:t>
                  </w:r>
                  <w:r>
                    <w:rPr>
                      <w:rFonts w:hint="eastAsia"/>
                      <w:lang w:val="en-US" w:eastAsia="zh-CN"/>
                    </w:rPr>
                    <w:t>硫脱硝剂</w:t>
                  </w:r>
                  <w:r>
                    <w:rPr>
                      <w:rFonts w:hint="default"/>
                      <w:lang w:val="en-US" w:eastAsia="zh-CN"/>
                    </w:rPr>
                    <w:t>的简易设施实施自动化改造</w:t>
                  </w:r>
                  <w:r>
                    <w:rPr>
                      <w:rFonts w:hint="eastAsia"/>
                      <w:lang w:val="en-US" w:eastAsia="zh-CN"/>
                    </w:rPr>
                    <w:t>。</w:t>
                  </w:r>
                </w:p>
              </w:tc>
              <w:tc>
                <w:tcPr>
                  <w:tcW w:w="219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eastAsia"/>
                      <w:lang w:val="en-US" w:eastAsia="zh-CN"/>
                    </w:rPr>
                  </w:pPr>
                  <w:r>
                    <w:rPr>
                      <w:rFonts w:hint="eastAsia"/>
                      <w:lang w:val="en-US" w:eastAsia="zh-CN"/>
                    </w:rPr>
                    <w:t>本项目属于塑料制品业，原料为颗粒状，不会在物料运输、装卸储存产生粉尘，生产过程产生的废气经过袋式除尘器处理达到达标排放；</w:t>
                  </w:r>
                  <w:r>
                    <w:t>VOCs</w:t>
                  </w:r>
                  <w:r>
                    <w:rPr>
                      <w:rFonts w:hint="eastAsia"/>
                    </w:rPr>
                    <w:t>治理采用活性炭吸附/脱附</w:t>
                  </w:r>
                  <w:r>
                    <w:t>-</w:t>
                  </w:r>
                  <w:r>
                    <w:rPr>
                      <w:rFonts w:hint="eastAsia"/>
                    </w:rPr>
                    <w:t>催化燃烧工艺处理</w:t>
                  </w:r>
                  <w:r>
                    <w:rPr>
                      <w:rFonts w:hint="eastAsia"/>
                      <w:lang w:eastAsia="zh-CN"/>
                    </w:rPr>
                    <w:t>；</w:t>
                  </w:r>
                </w:p>
              </w:tc>
              <w:tc>
                <w:tcPr>
                  <w:tcW w:w="38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2"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default"/>
                      <w:lang w:val="en-US" w:eastAsia="zh-CN"/>
                    </w:rPr>
                    <w:t>26.持续加大无组织排放整治力度</w:t>
                  </w:r>
                </w:p>
              </w:tc>
              <w:tc>
                <w:tcPr>
                  <w:tcW w:w="4964"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default"/>
                      <w:lang w:val="en-US" w:eastAsia="zh-CN"/>
                    </w:rPr>
                    <w:t>2023年5月底前，排查含VOCs物料储存、转移和输送</w:t>
                  </w:r>
                  <w:r>
                    <w:rPr>
                      <w:rFonts w:hint="eastAsia"/>
                      <w:lang w:val="en-US" w:eastAsia="zh-CN"/>
                    </w:rPr>
                    <w:t>、</w:t>
                  </w:r>
                  <w:r>
                    <w:rPr>
                      <w:rFonts w:hint="default"/>
                      <w:lang w:val="en-US" w:eastAsia="zh-CN"/>
                    </w:rPr>
                    <w:t>设备与管线组件泄漏、敞开</w:t>
                  </w:r>
                  <w:r>
                    <w:rPr>
                      <w:rFonts w:hint="eastAsia"/>
                      <w:lang w:val="en-US" w:eastAsia="zh-CN"/>
                    </w:rPr>
                    <w:t>液面逸散</w:t>
                  </w:r>
                  <w:r>
                    <w:rPr>
                      <w:rFonts w:hint="default"/>
                      <w:lang w:val="en-US" w:eastAsia="zh-CN"/>
                    </w:rPr>
                    <w:t>以及工艺过程等五类排发源，在保证</w:t>
                  </w:r>
                  <w:r>
                    <w:rPr>
                      <w:rFonts w:hint="eastAsia"/>
                      <w:lang w:val="en-US" w:eastAsia="zh-CN"/>
                    </w:rPr>
                    <w:t>安全</w:t>
                  </w:r>
                  <w:r>
                    <w:rPr>
                      <w:rFonts w:hint="default"/>
                      <w:lang w:val="en-US" w:eastAsia="zh-CN"/>
                    </w:rPr>
                    <w:t>生产前提下，</w:t>
                  </w:r>
                  <w:r>
                    <w:rPr>
                      <w:rFonts w:hint="eastAsia"/>
                      <w:lang w:val="en-US" w:eastAsia="zh-CN"/>
                    </w:rPr>
                    <w:t>督</w:t>
                  </w:r>
                  <w:r>
                    <w:rPr>
                      <w:rFonts w:hint="default"/>
                      <w:lang w:val="en-US" w:eastAsia="zh-CN"/>
                    </w:rPr>
                    <w:t>促企业通过采取设备与场所密</w:t>
                  </w:r>
                  <w:r>
                    <w:rPr>
                      <w:rFonts w:hint="eastAsia"/>
                      <w:lang w:val="en-US" w:eastAsia="zh-CN"/>
                    </w:rPr>
                    <w:t>闭、</w:t>
                  </w:r>
                  <w:r>
                    <w:rPr>
                      <w:rFonts w:hint="default"/>
                      <w:lang w:val="en-US" w:eastAsia="zh-CN"/>
                    </w:rPr>
                    <w:t>工艺改进</w:t>
                  </w:r>
                  <w:r>
                    <w:rPr>
                      <w:rFonts w:hint="eastAsia"/>
                      <w:lang w:val="en-US" w:eastAsia="zh-CN"/>
                    </w:rPr>
                    <w:t>、</w:t>
                  </w:r>
                  <w:r>
                    <w:rPr>
                      <w:rFonts w:hint="default"/>
                      <w:lang w:val="en-US" w:eastAsia="zh-CN"/>
                    </w:rPr>
                    <w:t>废气有效收集等</w:t>
                  </w:r>
                  <w:r>
                    <w:rPr>
                      <w:rFonts w:hint="eastAsia"/>
                      <w:lang w:val="en-US" w:eastAsia="zh-CN"/>
                    </w:rPr>
                    <w:t>措</w:t>
                  </w:r>
                  <w:r>
                    <w:rPr>
                      <w:rFonts w:hint="default"/>
                      <w:lang w:val="en-US" w:eastAsia="zh-CN"/>
                    </w:rPr>
                    <w:t>施，对V</w:t>
                  </w:r>
                  <w:r>
                    <w:rPr>
                      <w:rFonts w:hint="eastAsia"/>
                      <w:lang w:val="en-US" w:eastAsia="zh-CN"/>
                    </w:rPr>
                    <w:t>O</w:t>
                  </w:r>
                  <w:r>
                    <w:rPr>
                      <w:rFonts w:hint="default"/>
                      <w:lang w:val="en-US" w:eastAsia="zh-CN"/>
                    </w:rPr>
                    <w:t>Cs无组织排成废气进行综合治理，将需要集气罩收集无组织排放的集气</w:t>
                  </w:r>
                  <w:r>
                    <w:rPr>
                      <w:rFonts w:hint="eastAsia"/>
                      <w:lang w:val="en-US" w:eastAsia="zh-CN"/>
                    </w:rPr>
                    <w:t>流速</w:t>
                  </w:r>
                  <w:r>
                    <w:rPr>
                      <w:rFonts w:hint="default"/>
                      <w:lang w:val="en-US" w:eastAsia="zh-CN"/>
                    </w:rPr>
                    <w:t>测</w:t>
                  </w:r>
                  <w:r>
                    <w:rPr>
                      <w:rFonts w:hint="eastAsia"/>
                      <w:lang w:val="en-US" w:eastAsia="zh-CN"/>
                    </w:rPr>
                    <w:t>量</w:t>
                  </w:r>
                  <w:r>
                    <w:rPr>
                      <w:rFonts w:hint="default"/>
                      <w:lang w:val="en-US" w:eastAsia="zh-CN"/>
                    </w:rPr>
                    <w:t>监控，</w:t>
                  </w:r>
                  <w:r>
                    <w:rPr>
                      <w:rFonts w:hint="eastAsia"/>
                      <w:lang w:val="en-US" w:eastAsia="zh-CN"/>
                    </w:rPr>
                    <w:t>纳入</w:t>
                  </w:r>
                  <w:r>
                    <w:rPr>
                      <w:rFonts w:hint="default"/>
                      <w:lang w:val="en-US" w:eastAsia="zh-CN"/>
                    </w:rPr>
                    <w:t>日常管理工作中监</w:t>
                  </w:r>
                  <w:r>
                    <w:rPr>
                      <w:rFonts w:hint="eastAsia"/>
                      <w:lang w:val="en-US" w:eastAsia="zh-CN"/>
                    </w:rPr>
                    <w:t>督</w:t>
                  </w:r>
                  <w:r>
                    <w:rPr>
                      <w:rFonts w:hint="default"/>
                      <w:lang w:val="en-US" w:eastAsia="zh-CN"/>
                    </w:rPr>
                    <w:t>落实</w:t>
                  </w:r>
                  <w:r>
                    <w:rPr>
                      <w:rFonts w:hint="eastAsia"/>
                      <w:lang w:val="en-US" w:eastAsia="zh-CN"/>
                    </w:rPr>
                    <w:t>；</w:t>
                  </w:r>
                  <w:r>
                    <w:rPr>
                      <w:rFonts w:hint="default"/>
                      <w:lang w:val="en-US" w:eastAsia="zh-CN"/>
                    </w:rPr>
                    <w:t>按要求对气态</w:t>
                  </w:r>
                  <w:r>
                    <w:rPr>
                      <w:rFonts w:hint="eastAsia"/>
                      <w:lang w:val="en-US" w:eastAsia="zh-CN"/>
                    </w:rPr>
                    <w:t>、</w:t>
                  </w:r>
                  <w:r>
                    <w:rPr>
                      <w:rFonts w:hint="default"/>
                      <w:lang w:val="en-US" w:eastAsia="zh-CN"/>
                    </w:rPr>
                    <w:t>液态VOCs物料的设备与管线组件密封点大 于等于1000个的企业开展泄漏检测与修复工作</w:t>
                  </w:r>
                  <w:r>
                    <w:rPr>
                      <w:rFonts w:hint="eastAsia"/>
                      <w:lang w:val="en-US" w:eastAsia="zh-CN"/>
                    </w:rPr>
                    <w:t>；</w:t>
                  </w:r>
                  <w:r>
                    <w:rPr>
                      <w:rFonts w:hint="default"/>
                      <w:lang w:val="en-US" w:eastAsia="zh-CN"/>
                    </w:rPr>
                    <w:t>产生</w:t>
                  </w:r>
                  <w:r>
                    <w:rPr>
                      <w:rFonts w:hint="eastAsia"/>
                      <w:lang w:val="en-US" w:eastAsia="zh-CN"/>
                    </w:rPr>
                    <w:t>含</w:t>
                  </w:r>
                  <w:r>
                    <w:rPr>
                      <w:rFonts w:hint="default"/>
                      <w:lang w:val="en-US" w:eastAsia="zh-CN"/>
                    </w:rPr>
                    <w:t>挥发性有机物</w:t>
                  </w:r>
                  <w:r>
                    <w:rPr>
                      <w:rFonts w:hint="eastAsia"/>
                      <w:lang w:val="en-US" w:eastAsia="zh-CN"/>
                    </w:rPr>
                    <w:t>废</w:t>
                  </w:r>
                  <w:r>
                    <w:rPr>
                      <w:rFonts w:hint="default"/>
                      <w:lang w:val="en-US" w:eastAsia="zh-CN"/>
                    </w:rPr>
                    <w:t>水的企业，采取密</w:t>
                  </w:r>
                  <w:r>
                    <w:rPr>
                      <w:rFonts w:hint="eastAsia"/>
                      <w:lang w:val="en-US" w:eastAsia="zh-CN"/>
                    </w:rPr>
                    <w:t>闭</w:t>
                  </w:r>
                  <w:r>
                    <w:rPr>
                      <w:rFonts w:hint="default"/>
                      <w:lang w:val="en-US" w:eastAsia="zh-CN"/>
                    </w:rPr>
                    <w:t>管道等措施</w:t>
                  </w:r>
                  <w:r>
                    <w:rPr>
                      <w:rFonts w:hint="eastAsia"/>
                      <w:lang w:val="en-US" w:eastAsia="zh-CN"/>
                    </w:rPr>
                    <w:t>逐步</w:t>
                  </w:r>
                  <w:r>
                    <w:rPr>
                      <w:rFonts w:hint="default"/>
                      <w:lang w:val="en-US" w:eastAsia="zh-CN"/>
                    </w:rPr>
                    <w:t>替代地漏、沟、渠、井等敞开式集输方式，减少</w:t>
                  </w:r>
                  <w:r>
                    <w:rPr>
                      <w:rFonts w:hint="eastAsia"/>
                      <w:lang w:val="en-US" w:eastAsia="zh-CN"/>
                    </w:rPr>
                    <w:t>挥</w:t>
                  </w:r>
                  <w:r>
                    <w:rPr>
                      <w:rFonts w:hint="default"/>
                      <w:lang w:val="en-US" w:eastAsia="zh-CN"/>
                    </w:rPr>
                    <w:t>发性有机物无组织排放。</w:t>
                  </w:r>
                </w:p>
              </w:tc>
              <w:tc>
                <w:tcPr>
                  <w:tcW w:w="219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eastAsia"/>
                      <w:lang w:val="en-US" w:eastAsia="zh-CN"/>
                    </w:rPr>
                    <w:t>本项目属于塑料制品业，在注塑、加热挤出、吹塑工序会产生VOCs，要求企业采取集气罩及密闭管道负压引风收集VOCs。</w:t>
                  </w:r>
                </w:p>
              </w:tc>
              <w:tc>
                <w:tcPr>
                  <w:tcW w:w="385" w:type="dxa"/>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0"/>
                    <w:jc w:val="center"/>
                    <w:textAlignment w:val="auto"/>
                    <w:outlineLvl w:val="9"/>
                    <w:rPr>
                      <w:rFonts w:hint="default"/>
                      <w:lang w:val="en-US" w:eastAsia="zh-CN"/>
                    </w:rPr>
                  </w:pPr>
                  <w:r>
                    <w:rPr>
                      <w:rFonts w:hint="eastAsia"/>
                      <w:lang w:val="en-US" w:eastAsia="zh-CN"/>
                    </w:rPr>
                    <w:t>符合</w:t>
                  </w:r>
                </w:p>
              </w:tc>
            </w:tr>
          </w:tbl>
          <w:p>
            <w:pPr>
              <w:keepNext/>
              <w:keepLines w:val="0"/>
              <w:pageBreakBefore w:val="0"/>
              <w:widowControl w:val="0"/>
              <w:kinsoku/>
              <w:wordWrap/>
              <w:overflowPunct w:val="0"/>
              <w:topLinePunct w:val="0"/>
              <w:autoSpaceDE/>
              <w:autoSpaceDN/>
              <w:bidi w:val="0"/>
              <w:adjustRightInd/>
              <w:snapToGrid w:val="0"/>
              <w:spacing w:before="157" w:beforeLines="50" w:after="0" w:line="360" w:lineRule="auto"/>
              <w:ind w:firstLine="480" w:firstLineChars="200"/>
              <w:textAlignment w:val="auto"/>
              <w:outlineLvl w:val="9"/>
              <w:rPr>
                <w:rFonts w:hint="default"/>
                <w:sz w:val="24"/>
                <w:szCs w:val="24"/>
                <w:lang w:val="en-US" w:eastAsia="zh-CN"/>
              </w:rPr>
            </w:pPr>
            <w:r>
              <w:rPr>
                <w:rFonts w:hint="eastAsia"/>
                <w:sz w:val="24"/>
                <w:szCs w:val="24"/>
                <w:lang w:val="en-US" w:eastAsia="zh-CN"/>
              </w:rPr>
              <w:t>综上对比分析，本项目符合《新乡市2023年蓝天保卫战实施方案》（新环攻坚办[2023]77号）相关要求。</w:t>
            </w:r>
          </w:p>
          <w:p>
            <w:pPr>
              <w:keepNext/>
              <w:keepLines w:val="0"/>
              <w:pageBreakBefore w:val="0"/>
              <w:widowControl w:val="0"/>
              <w:kinsoku/>
              <w:wordWrap/>
              <w:overflowPunct w:val="0"/>
              <w:topLinePunct w:val="0"/>
              <w:autoSpaceDE/>
              <w:autoSpaceDN/>
              <w:bidi w:val="0"/>
              <w:adjustRightInd/>
              <w:snapToGrid w:val="0"/>
              <w:spacing w:before="0" w:after="0" w:line="360" w:lineRule="auto"/>
              <w:ind w:firstLine="480" w:firstLineChars="200"/>
              <w:textAlignment w:val="auto"/>
              <w:outlineLvl w:val="9"/>
              <w:rPr>
                <w:rFonts w:hint="default"/>
                <w:sz w:val="24"/>
                <w:szCs w:val="24"/>
                <w:lang w:val="en-US" w:eastAsia="zh-CN"/>
              </w:rPr>
            </w:pPr>
            <w:r>
              <w:rPr>
                <w:rFonts w:hint="eastAsia"/>
                <w:sz w:val="24"/>
                <w:szCs w:val="24"/>
                <w:lang w:val="en-US" w:eastAsia="zh-CN"/>
              </w:rPr>
              <w:t>（4）本项目与《新乡市深入打好秋冬季重污染天气消除、夏季臭氧污染物防治和柴油货车污染治理攻坚战实施方案》（新环攻坚办[2023]73号）相关要求对比分析，以下简称《攻坚战实施方案》</w:t>
            </w:r>
          </w:p>
          <w:p>
            <w:pPr>
              <w:keepNext/>
              <w:keepLines w:val="0"/>
              <w:pageBreakBefore w:val="0"/>
              <w:widowControl w:val="0"/>
              <w:kinsoku/>
              <w:wordWrap/>
              <w:overflowPunct w:val="0"/>
              <w:topLinePunct w:val="0"/>
              <w:autoSpaceDE/>
              <w:autoSpaceDN/>
              <w:bidi w:val="0"/>
              <w:adjustRightInd/>
              <w:snapToGrid w:val="0"/>
              <w:spacing w:before="157" w:beforeLines="50" w:after="0" w:line="240" w:lineRule="auto"/>
              <w:ind w:left="0" w:firstLine="0"/>
              <w:jc w:val="center"/>
              <w:textAlignment w:val="auto"/>
              <w:outlineLvl w:val="9"/>
              <w:rPr>
                <w:rFonts w:hint="default"/>
                <w:lang w:val="en-US" w:eastAsia="zh-CN"/>
              </w:rPr>
            </w:pPr>
          </w:p>
          <w:p>
            <w:pPr>
              <w:keepNext/>
              <w:keepLines w:val="0"/>
              <w:pageBreakBefore w:val="0"/>
              <w:widowControl w:val="0"/>
              <w:kinsoku/>
              <w:wordWrap/>
              <w:overflowPunct w:val="0"/>
              <w:topLinePunct w:val="0"/>
              <w:autoSpaceDE/>
              <w:autoSpaceDN/>
              <w:bidi w:val="0"/>
              <w:adjustRightInd/>
              <w:snapToGrid w:val="0"/>
              <w:spacing w:before="157" w:beforeLines="50" w:after="0" w:line="240" w:lineRule="auto"/>
              <w:ind w:left="0" w:firstLine="0"/>
              <w:jc w:val="center"/>
              <w:textAlignment w:val="auto"/>
              <w:outlineLvl w:val="9"/>
              <w:rPr>
                <w:rFonts w:hint="default"/>
                <w:lang w:val="en-US" w:eastAsia="zh-CN"/>
              </w:rPr>
            </w:pPr>
          </w:p>
          <w:p>
            <w:pPr>
              <w:keepNext/>
              <w:keepLines w:val="0"/>
              <w:pageBreakBefore w:val="0"/>
              <w:widowControl w:val="0"/>
              <w:kinsoku/>
              <w:wordWrap/>
              <w:overflowPunct w:val="0"/>
              <w:topLinePunct w:val="0"/>
              <w:autoSpaceDE/>
              <w:autoSpaceDN/>
              <w:bidi w:val="0"/>
              <w:adjustRightInd/>
              <w:snapToGrid w:val="0"/>
              <w:spacing w:before="157" w:beforeLines="50" w:after="0" w:line="240" w:lineRule="auto"/>
              <w:ind w:left="0" w:firstLine="0"/>
              <w:jc w:val="center"/>
              <w:textAlignment w:val="auto"/>
              <w:outlineLvl w:val="9"/>
              <w:rPr>
                <w:rFonts w:hint="default"/>
                <w:lang w:val="en-US" w:eastAsia="zh-CN"/>
              </w:rPr>
            </w:pPr>
          </w:p>
          <w:p>
            <w:pPr>
              <w:keepNext/>
              <w:keepLines w:val="0"/>
              <w:pageBreakBefore w:val="0"/>
              <w:widowControl w:val="0"/>
              <w:kinsoku/>
              <w:wordWrap/>
              <w:overflowPunct w:val="0"/>
              <w:topLinePunct w:val="0"/>
              <w:autoSpaceDE/>
              <w:autoSpaceDN/>
              <w:bidi w:val="0"/>
              <w:adjustRightInd/>
              <w:snapToGrid w:val="0"/>
              <w:spacing w:before="157" w:beforeLines="50" w:after="0" w:line="240" w:lineRule="auto"/>
              <w:ind w:left="0" w:firstLine="0"/>
              <w:jc w:val="center"/>
              <w:textAlignment w:val="auto"/>
              <w:outlineLvl w:val="9"/>
              <w:rPr>
                <w:rFonts w:hint="default"/>
                <w:lang w:val="en-US" w:eastAsia="zh-CN"/>
              </w:rPr>
            </w:pPr>
            <w:r>
              <w:rPr>
                <w:rFonts w:hint="default"/>
                <w:lang w:val="en-US" w:eastAsia="zh-CN"/>
              </w:rPr>
              <w:t>表</w:t>
            </w:r>
            <w:r>
              <w:rPr>
                <w:rFonts w:hint="eastAsia"/>
                <w:lang w:val="en-US" w:eastAsia="zh-CN"/>
              </w:rPr>
              <w:t>6</w:t>
            </w:r>
            <w:r>
              <w:rPr>
                <w:rFonts w:hint="default"/>
                <w:lang w:val="en-US" w:eastAsia="zh-CN"/>
              </w:rPr>
              <w:t xml:space="preserve"> </w:t>
            </w:r>
            <w:r>
              <w:rPr>
                <w:rFonts w:hint="eastAsia"/>
                <w:lang w:val="en-US" w:eastAsia="zh-CN"/>
              </w:rPr>
              <w:t xml:space="preserve">         </w:t>
            </w:r>
            <w:r>
              <w:rPr>
                <w:rFonts w:hint="default"/>
              </w:rPr>
              <w:t>本项目与《</w:t>
            </w:r>
            <w:r>
              <w:rPr>
                <w:rFonts w:hint="default"/>
                <w:lang w:val="en-US" w:eastAsia="zh-CN"/>
              </w:rPr>
              <w:t>攻坚战实施方案</w:t>
            </w:r>
            <w:r>
              <w:rPr>
                <w:rFonts w:hint="default"/>
              </w:rPr>
              <w:t>》对比分析</w:t>
            </w:r>
          </w:p>
          <w:tbl>
            <w:tblPr>
              <w:tblStyle w:val="23"/>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9"/>
              <w:gridCol w:w="4690"/>
              <w:gridCol w:w="2276"/>
              <w:gridCol w:w="4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5000" w:type="pct"/>
                  <w:gridSpan w:val="4"/>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《秋冬季重污染天气消除攻坚战实施方案》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86" w:type="pct"/>
                  <w:gridSpan w:val="2"/>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outlineLvl w:val="9"/>
                    <w:rPr>
                      <w:rFonts w:hint="default"/>
                      <w:lang w:val="en-US" w:eastAsia="zh-CN"/>
                    </w:rPr>
                  </w:pPr>
                  <w:r>
                    <w:rPr>
                      <w:rFonts w:hint="eastAsia"/>
                      <w:lang w:val="en-US" w:eastAsia="zh-CN"/>
                    </w:rPr>
                    <w:t>与本项目相关条文</w:t>
                  </w:r>
                </w:p>
              </w:tc>
              <w:tc>
                <w:tcPr>
                  <w:tcW w:w="1362"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outlineLvl w:val="9"/>
                    <w:rPr>
                      <w:rFonts w:hint="default"/>
                      <w:lang w:val="en-US" w:eastAsia="zh-CN"/>
                    </w:rPr>
                  </w:pPr>
                  <w:r>
                    <w:rPr>
                      <w:rFonts w:hint="eastAsia"/>
                      <w:lang w:val="en-US" w:eastAsia="zh-CN"/>
                    </w:rPr>
                    <w:t>本项目情况</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outlineLvl w:val="9"/>
                    <w:rPr>
                      <w:rFonts w:hint="default"/>
                      <w:lang w:val="en-US" w:eastAsia="zh-CN"/>
                    </w:rPr>
                  </w:pPr>
                  <w:r>
                    <w:rPr>
                      <w:rFonts w:hint="eastAsia"/>
                      <w:lang w:val="en-US" w:eastAsia="zh-CN"/>
                    </w:rPr>
                    <w:t>对比分析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遏制“两高”项目盲目发展</w:t>
                  </w:r>
                </w:p>
              </w:tc>
              <w:tc>
                <w:tcPr>
                  <w:tcW w:w="2805"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严格落实国家、省产业规划、产业政策、</w:t>
                  </w:r>
                  <w:r>
                    <w:rPr>
                      <w:rFonts w:hint="eastAsia"/>
                      <w:lang w:val="en-US" w:eastAsia="zh-CN"/>
                    </w:rPr>
                    <w:t>“</w:t>
                  </w:r>
                  <w:r>
                    <w:rPr>
                      <w:rFonts w:hint="default"/>
                      <w:lang w:val="en-US" w:eastAsia="zh-CN"/>
                    </w:rPr>
                    <w:t>三线一单</w:t>
                  </w:r>
                  <w:r>
                    <w:rPr>
                      <w:rFonts w:hint="eastAsia"/>
                      <w:lang w:val="en-US" w:eastAsia="zh-CN"/>
                    </w:rPr>
                    <w:t>”</w:t>
                  </w:r>
                  <w:r>
                    <w:rPr>
                      <w:rFonts w:hint="default"/>
                      <w:lang w:val="en-US" w:eastAsia="zh-CN"/>
                    </w:rPr>
                    <w:t>、规划环评，以及产能置换、煤炭消费减量替代、区域污染物削减等要求，严把高耗能、高排放、低水平项目准入关口。全市禁止新增钢铁、电解铝、氧化铝、水泥熟料、平板玻璃（光伏压延玻璃除外）、煤化工、焦化、铝用炭素、含烧结工序的耐火材料和砖瓦制品等行业产能，合理控制煤制油气 产能规模，严控新增炼油产能。强化项目环管及</w:t>
                  </w:r>
                  <w:r>
                    <w:rPr>
                      <w:rFonts w:hint="eastAsia"/>
                      <w:lang w:val="en-US" w:eastAsia="zh-CN"/>
                    </w:rPr>
                    <w:t>“</w:t>
                  </w:r>
                  <w:r>
                    <w:rPr>
                      <w:rFonts w:hint="default"/>
                      <w:lang w:val="en-US" w:eastAsia="zh-CN"/>
                    </w:rPr>
                    <w:t>三同时</w:t>
                  </w:r>
                  <w:r>
                    <w:rPr>
                      <w:rFonts w:hint="eastAsia"/>
                      <w:lang w:val="en-US" w:eastAsia="zh-CN"/>
                    </w:rPr>
                    <w:t>”</w:t>
                  </w:r>
                  <w:r>
                    <w:rPr>
                      <w:rFonts w:hint="default"/>
                      <w:lang w:val="en-US" w:eastAsia="zh-CN"/>
                    </w:rPr>
                    <w:t>管理，国家省绩效分级重点行业以及涉及锅炉炉窑的其他行业，新建 扩建项目污染物排放限值、污染治理措施、无组织排放控制水平运输方式等达到A级绩效水平，改建项目污染物排放限值、污染治理措施、无组织排放控制水平、运输方式等达到B级以上绩效水平</w:t>
                  </w:r>
                  <w:r>
                    <w:rPr>
                      <w:rFonts w:hint="eastAsia"/>
                      <w:lang w:val="en-US" w:eastAsia="zh-CN"/>
                    </w:rPr>
                    <w:t>。</w:t>
                  </w:r>
                  <w:r>
                    <w:rPr>
                      <w:rFonts w:hint="default"/>
                      <w:lang w:val="en-US" w:eastAsia="zh-CN"/>
                    </w:rPr>
                    <w:t>新建、改建、扩建项目大宗货物年货运量150万吨及以上的，原则上要接入铁路专用线或管道；具有铁路专用线的，大宗货物铁路运输比例应达到80%以上</w:t>
                  </w:r>
                  <w:r>
                    <w:rPr>
                      <w:rFonts w:hint="eastAsia"/>
                      <w:lang w:val="en-US" w:eastAsia="zh-CN"/>
                    </w:rPr>
                    <w:t>。</w:t>
                  </w:r>
                </w:p>
              </w:tc>
              <w:tc>
                <w:tcPr>
                  <w:tcW w:w="1362"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本</w:t>
                  </w:r>
                  <w:r>
                    <w:rPr>
                      <w:rFonts w:hint="eastAsia"/>
                    </w:rPr>
                    <w:t>项目为</w:t>
                  </w:r>
                  <w:r>
                    <w:rPr>
                      <w:rFonts w:hint="eastAsia"/>
                      <w:lang w:val="en-US" w:eastAsia="zh-CN"/>
                    </w:rPr>
                    <w:t>改建</w:t>
                  </w:r>
                  <w:r>
                    <w:rPr>
                      <w:rFonts w:hint="eastAsia"/>
                    </w:rPr>
                    <w:t>项目，属于塑料制品业，位于新乡市</w:t>
                  </w:r>
                  <w:r>
                    <w:rPr>
                      <w:rFonts w:hint="eastAsia"/>
                      <w:lang w:val="en-US" w:eastAsia="zh-CN"/>
                    </w:rPr>
                    <w:t>新乡县合河乡贾桥工业区</w:t>
                  </w:r>
                  <w:r>
                    <w:rPr>
                      <w:rFonts w:hint="eastAsia"/>
                    </w:rPr>
                    <w:t>。项目满足“三线一单”生态环境分区管控要求，不属于高耗能、高排放项目，项目将严格按照要求进行环评及“三同时”建设，项目将按照《河南省重污染天气重点行业应急减排措施制定技术指南（2021年修订版）》中塑料制品行业</w:t>
                  </w:r>
                  <w:r>
                    <w:rPr>
                      <w:rFonts w:hint="eastAsia"/>
                      <w:lang w:val="en-US" w:eastAsia="zh-CN"/>
                    </w:rPr>
                    <w:t>B</w:t>
                  </w:r>
                  <w:r>
                    <w:rPr>
                      <w:rFonts w:hint="eastAsia"/>
                    </w:rPr>
                    <w:t>级要求进行建设。</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4"/>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outlineLvl w:val="9"/>
                    <w:rPr>
                      <w:rFonts w:hint="default"/>
                      <w:lang w:val="en-US" w:eastAsia="zh-CN"/>
                    </w:rPr>
                  </w:pPr>
                  <w:r>
                    <w:rPr>
                      <w:rFonts w:hint="eastAsia"/>
                      <w:lang w:val="en-US" w:eastAsia="zh-CN"/>
                    </w:rPr>
                    <w:t>《夏季臭氧污染防治攻坚战实施方案》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持续开展VOCs治理设施提级增效</w:t>
                  </w:r>
                </w:p>
              </w:tc>
              <w:tc>
                <w:tcPr>
                  <w:tcW w:w="2805"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全面排查VOCs治理设施，动态更新治理设施清单台账，分析治理技术与VOCs废气排 放特征、组分等四配性。低浓度、大风量有机废气，采用沸石转 轮吸附、活性炭吸附、减风增浓等浓缩技术，提高VOCs浓度后 采用高温焚烧、催化燃烧等技术；高浓度废气，优先进行溶剂回收预处理，难以回收的，采用高温焚烧、催化燃烧等技术。采用催化燃忌工艺的企业使用合格的催化剂并足额添加，高温焚烧温度不低于760摄氏度，催化燃烧装置燃烧温度不低于300摄氏度，相关温度参数自动记录存储，储存时间不少于1年。采用活性炭吸附工艺的，原则上VOCs产生浓度不超过300毫克/立方米， 废气中涉及颗粒物、油烟油雾）、水分等影响吸附过程物质的应采取相应的预处理措施，颗粒状，柱状活性炭碘值不低于800 毫克/克，蜂窝决活性炭碘值不低于650毫克/克，活性炭填充量更换频次满足环评要求，活性炭购买发票、更换记录、碘值报告等支撑材料保存3年以上：每年开展活性炭监督抽查，每年夏季对活性炭质量进行抽检，对活性炭质量不合格的企业依法追究责任。</w:t>
                  </w:r>
                </w:p>
              </w:tc>
              <w:tc>
                <w:tcPr>
                  <w:tcW w:w="1362"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eastAsia"/>
                      <w:lang w:val="en-US" w:eastAsia="zh-CN"/>
                    </w:rPr>
                  </w:pPr>
                  <w:r>
                    <w:rPr>
                      <w:rFonts w:hint="eastAsia"/>
                    </w:rPr>
                    <w:t>本项目</w:t>
                  </w:r>
                  <w:r>
                    <w:t>VOCs</w:t>
                  </w:r>
                  <w:r>
                    <w:rPr>
                      <w:rFonts w:hint="eastAsia"/>
                    </w:rPr>
                    <w:t>治理采用活性炭吸附/脱附</w:t>
                  </w:r>
                  <w:r>
                    <w:t>-</w:t>
                  </w:r>
                  <w:r>
                    <w:rPr>
                      <w:rFonts w:hint="eastAsia"/>
                    </w:rPr>
                    <w:t>催化燃烧工艺处理；</w:t>
                  </w:r>
                  <w:r>
                    <w:rPr>
                      <w:rFonts w:hint="eastAsia"/>
                      <w:lang w:val="en-US" w:eastAsia="zh-CN"/>
                    </w:rPr>
                    <w:t>企业使用合格的催化剂并足额添加；</w:t>
                  </w:r>
                  <w:r>
                    <w:rPr>
                      <w:rFonts w:hint="default"/>
                      <w:lang w:val="en-US" w:eastAsia="zh-CN"/>
                    </w:rPr>
                    <w:t>活性炭填充量更换频次满足环评要求，活性炭购买发票、更换记录、碘值报告等支撑材料保存3年以上</w:t>
                  </w:r>
                  <w:r>
                    <w:rPr>
                      <w:rFonts w:hint="eastAsia"/>
                      <w:lang w:eastAsia="zh-CN"/>
                    </w:rPr>
                    <w:t>。</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加强非正常工风废气排放管控</w:t>
                  </w:r>
                </w:p>
              </w:tc>
              <w:tc>
                <w:tcPr>
                  <w:tcW w:w="2805"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化工行业企业提前向当地生态环境部门报告开停车，检维修</w:t>
                  </w:r>
                  <w:r>
                    <w:rPr>
                      <w:rFonts w:hint="eastAsia"/>
                      <w:lang w:val="en-US" w:eastAsia="zh-CN"/>
                    </w:rPr>
                    <w:t>计</w:t>
                  </w:r>
                  <w:r>
                    <w:rPr>
                      <w:rFonts w:hint="default"/>
                      <w:lang w:val="en-US" w:eastAsia="zh-CN"/>
                    </w:rPr>
                    <w:t>划，制定非正常工况VOCs管控规程，严格按照规程进行操作，火炬，煤气放散管须安装自动引燃设施，配套建设燃烧温度监控、废气流量计、助燃气体流 量计等、鼓励安装热值检测仪，排放废气热值达不到要求时及时补充助燃气体、燃烧温度监控、废气流量计、助燃气体流量等相关数据引入DCS系统，数据至少保留1年以上。除保障安全生产必须保留的应急类芳路外，应采取彻底拆除、切断、物理隔离等方式取缔</w:t>
                  </w:r>
                  <w:r>
                    <w:rPr>
                      <w:rFonts w:hint="eastAsia"/>
                      <w:lang w:val="en-US" w:eastAsia="zh-CN"/>
                    </w:rPr>
                    <w:t>旁</w:t>
                  </w:r>
                  <w:r>
                    <w:rPr>
                      <w:rFonts w:hint="default"/>
                      <w:lang w:val="en-US" w:eastAsia="zh-CN"/>
                    </w:rPr>
                    <w:t>路（含生产车间，生产装置建设的直排管线等）对于确需保留的应急类考路，企业应向当地生态环境部门报备， 在非紧急情况下保持关闭并铅封，通过安装自动监测设备、流量计等方式加强监管，并保</w:t>
                  </w:r>
                  <w:r>
                    <w:rPr>
                      <w:rFonts w:hint="eastAsia"/>
                      <w:lang w:val="en-US" w:eastAsia="zh-CN"/>
                    </w:rPr>
                    <w:t>存</w:t>
                  </w:r>
                  <w:r>
                    <w:rPr>
                      <w:rFonts w:hint="default"/>
                      <w:lang w:val="en-US" w:eastAsia="zh-CN"/>
                    </w:rPr>
                    <w:t>历史记录，开启后应及时向当地生态 环境部门报告，做好合账记录。</w:t>
                  </w:r>
                </w:p>
              </w:tc>
              <w:tc>
                <w:tcPr>
                  <w:tcW w:w="1362"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rPr>
                    <w:t>本项目属于塑料制品业，生产过程中会产生废气污染物V</w:t>
                  </w:r>
                  <w:r>
                    <w:t>OCs</w:t>
                  </w:r>
                  <w:r>
                    <w:rPr>
                      <w:rFonts w:hint="eastAsia"/>
                    </w:rPr>
                    <w:t>，本项目将严格按照重点行业绩效分级</w:t>
                  </w:r>
                  <w:r>
                    <w:rPr>
                      <w:rFonts w:hint="eastAsia"/>
                      <w:lang w:val="en-US" w:eastAsia="zh-CN"/>
                    </w:rPr>
                    <w:t>B</w:t>
                  </w:r>
                  <w:r>
                    <w:rPr>
                      <w:rFonts w:hint="eastAsia"/>
                    </w:rPr>
                    <w:t>级的要求进行建设</w:t>
                  </w:r>
                  <w:r>
                    <w:rPr>
                      <w:rFonts w:hint="eastAsia"/>
                      <w:lang w:eastAsia="zh-CN"/>
                    </w:rPr>
                    <w:t>，</w:t>
                  </w:r>
                  <w:r>
                    <w:rPr>
                      <w:rFonts w:hint="eastAsia"/>
                      <w:lang w:val="en-US" w:eastAsia="zh-CN"/>
                    </w:rPr>
                    <w:t>并认真落实夏季管控措施。</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加强污染源排放监测监控</w:t>
                  </w:r>
                </w:p>
              </w:tc>
              <w:tc>
                <w:tcPr>
                  <w:tcW w:w="2805"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涉VOCs和NO、排放重点排污单位依法安装自动监测设备，涉VOCs产业集群和企业加快建设 VOCs监测站点、火电、水泥、玻璃、陶瓷、耐材、石灰、垃圾 焚烧、有色金属冶炼等行业采用氨法脱硫脱硝工艺的企业安装氨在线监测设备，并与生态环境部门联网。督促企业按要求对自动监测设备进行日常巡检和维护保养，自动监测设备数采仪采集现场监测数据的原始数据包不得经过任何软件或中间件转发，应直接到达核心软件配发的通讯服务器</w:t>
                  </w:r>
                  <w:r>
                    <w:rPr>
                      <w:rFonts w:hint="eastAsia"/>
                      <w:lang w:val="en-US" w:eastAsia="zh-CN"/>
                    </w:rPr>
                    <w:t>；</w:t>
                  </w:r>
                  <w:r>
                    <w:rPr>
                      <w:rFonts w:hint="default"/>
                      <w:lang w:val="en-US" w:eastAsia="zh-CN"/>
                    </w:rPr>
                    <w:t>对企业自行监测及第三方检测机构监测进行随机质量抽查。严肃查处监测数据弄虚作假行为、提高企业自行监测数据质量。大力推进涉气排污单位自动监控设施数据采集传输系统升级改造和用电量监管能力提升，完善在线监控数据质量控制信息化手段，确保监控数据传输稳定性和准确性2023年5月底前，已被评为绩效分级A、B级和绩效引领性的涉VOC</w:t>
                  </w:r>
                  <w:r>
                    <w:rPr>
                      <w:rFonts w:hint="eastAsia"/>
                      <w:lang w:val="en-US" w:eastAsia="zh-CN"/>
                    </w:rPr>
                    <w:t>s</w:t>
                  </w:r>
                  <w:r>
                    <w:rPr>
                      <w:rFonts w:hint="default"/>
                      <w:lang w:val="en-US" w:eastAsia="zh-CN"/>
                    </w:rPr>
                    <w:t>和NOx排放企业，对照申请行业绩效评定监测监控水平要求，全部完成安装NHMC自动监测设施、CEMS 自动监测设施，并与省，市生态环境部门联网，安装DCS或PLC系统数据，数据保存一年以上。</w:t>
                  </w:r>
                </w:p>
              </w:tc>
              <w:tc>
                <w:tcPr>
                  <w:tcW w:w="1362" w:type="pct"/>
                  <w:tcBorders>
                    <w:tl2br w:val="nil"/>
                    <w:tr2bl w:val="nil"/>
                  </w:tcBorders>
                  <w:vAlign w:val="center"/>
                </w:tcPr>
                <w:p>
                  <w:pPr>
                    <w:pStyle w:val="52"/>
                    <w:keepNext w:val="0"/>
                    <w:keepLines w:val="0"/>
                    <w:pageBreakBefore w:val="0"/>
                    <w:widowControl w:val="0"/>
                    <w:kinsoku/>
                    <w:wordWrap/>
                    <w:overflowPunct/>
                    <w:topLinePunct w:val="0"/>
                    <w:autoSpaceDE/>
                    <w:autoSpaceDN/>
                    <w:bidi w:val="0"/>
                    <w:snapToGrid w:val="0"/>
                    <w:spacing w:line="360" w:lineRule="auto"/>
                    <w:jc w:val="center"/>
                  </w:pPr>
                  <w:r>
                    <w:rPr>
                      <w:rFonts w:hint="eastAsia"/>
                      <w:lang w:val="en-US" w:eastAsia="zh-CN"/>
                    </w:rPr>
                    <w:t>本项目涉及VOCs排放，</w:t>
                  </w:r>
                  <w:r>
                    <w:rPr>
                      <w:rFonts w:hint="eastAsia"/>
                    </w:rPr>
                    <w:t>根据《关于规范涉有机废气工业企业在线监测设备安装的通知》和环保部门要求需要企业安装自动监控设施时，企业将根据要求安装烟气排放自动监控设施（</w:t>
                  </w:r>
                  <w:r>
                    <w:t>CEMS</w:t>
                  </w:r>
                  <w:r>
                    <w:rPr>
                      <w:rFonts w:hint="eastAsia"/>
                    </w:rPr>
                    <w:t>）并联网。</w:t>
                  </w:r>
                </w:p>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rPr>
                    <w:t>涉气生产工序、生产装置及污染治理设施将按生态环境部门要求安装用电监管设备，用电监管设备与省、市生态环境部门用电监管平台联网。</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强化治理设施运维监管</w:t>
                  </w:r>
                </w:p>
              </w:tc>
              <w:tc>
                <w:tcPr>
                  <w:tcW w:w="2805"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default"/>
                      <w:lang w:val="en-US" w:eastAsia="zh-CN"/>
                    </w:rPr>
                    <w:t>督促实施企业VOCs收集治理设施较生产设备</w:t>
                  </w:r>
                  <w:r>
                    <w:rPr>
                      <w:rFonts w:hint="eastAsia"/>
                      <w:lang w:val="en-US" w:eastAsia="zh-CN"/>
                    </w:rPr>
                    <w:t>“</w:t>
                  </w:r>
                  <w:r>
                    <w:rPr>
                      <w:rFonts w:hint="default"/>
                      <w:lang w:val="en-US" w:eastAsia="zh-CN"/>
                    </w:rPr>
                    <w:t>先启后停</w:t>
                  </w:r>
                  <w:r>
                    <w:rPr>
                      <w:rFonts w:hint="eastAsia"/>
                      <w:lang w:val="en-US" w:eastAsia="zh-CN"/>
                    </w:rPr>
                    <w:t>”</w:t>
                  </w:r>
                  <w:r>
                    <w:rPr>
                      <w:rFonts w:hint="default"/>
                      <w:lang w:val="en-US" w:eastAsia="zh-CN"/>
                    </w:rPr>
                    <w:t>，治理设施吸附剂、吸收剂、催化剂等按设计规范要求定期更换和利用处置。坚决查处脱硝设施擅自停喷氨水、尿素等还原剂的行为，禁止过度喷氨，废气排放口氨逃逸浓度原则上控制在8毫克/立方米以下。每年4月底前，使用活性炭吸附的企业，VOCs年产生量大于0.5吨且活性炭吸附效率低于70%的，新完成一轮活性炭更换工作</w:t>
                  </w:r>
                  <w:r>
                    <w:rPr>
                      <w:rFonts w:hint="eastAsia"/>
                      <w:lang w:val="en-US" w:eastAsia="zh-CN"/>
                    </w:rPr>
                    <w:t>；</w:t>
                  </w:r>
                  <w:r>
                    <w:rPr>
                      <w:rFonts w:hint="default"/>
                      <w:lang w:val="en-US" w:eastAsia="zh-CN"/>
                    </w:rPr>
                    <w:t>使用移动脱附治理设施的企业，活性炭吸附效率低于70%的，新完成一轮活性炭脱附再生工作</w:t>
                  </w:r>
                  <w:r>
                    <w:rPr>
                      <w:rFonts w:hint="eastAsia"/>
                      <w:color w:val="auto"/>
                      <w:lang w:val="en-US" w:eastAsia="zh-CN"/>
                    </w:rPr>
                    <w:t>；</w:t>
                  </w:r>
                  <w:r>
                    <w:rPr>
                      <w:rFonts w:hint="default"/>
                      <w:color w:val="auto"/>
                      <w:lang w:val="en-US" w:eastAsia="zh-CN"/>
                    </w:rPr>
                    <w:t>使用活性炭吸附脱附催化燃烧的企业，在确保安全运行的前提下，科学增加活性炭复生频次。提升企业环境管理水平，</w:t>
                  </w:r>
                  <w:r>
                    <w:rPr>
                      <w:rFonts w:hint="default"/>
                      <w:lang w:val="en-US" w:eastAsia="zh-CN"/>
                    </w:rPr>
                    <w:t>配备专职环保人员，保证环境影响评价、排污许可证、检测报告等资料齐全，生产、治污、监测等设备设施有序运行，生产台账记录完整。</w:t>
                  </w:r>
                </w:p>
              </w:tc>
              <w:tc>
                <w:tcPr>
                  <w:tcW w:w="1362"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rPr>
                    <w:t>本项目</w:t>
                  </w:r>
                  <w:r>
                    <w:t>VOCs</w:t>
                  </w:r>
                  <w:r>
                    <w:rPr>
                      <w:rFonts w:hint="eastAsia"/>
                    </w:rPr>
                    <w:t>治理采用活性炭吸附/脱附</w:t>
                  </w:r>
                  <w:r>
                    <w:t>-</w:t>
                  </w:r>
                  <w:r>
                    <w:rPr>
                      <w:rFonts w:hint="eastAsia"/>
                    </w:rPr>
                    <w:t>催化燃烧工艺处理</w:t>
                  </w:r>
                  <w:r>
                    <w:rPr>
                      <w:rFonts w:hint="eastAsia"/>
                      <w:lang w:eastAsia="zh-CN"/>
                    </w:rPr>
                    <w:t>；</w:t>
                  </w:r>
                  <w:r>
                    <w:rPr>
                      <w:rFonts w:hint="eastAsia"/>
                      <w:lang w:val="en-US" w:eastAsia="zh-CN"/>
                    </w:rPr>
                    <w:t>活性炭、催化剂按照设计规范定期更换；企业在安全运行的前提下，应科学增加活性炭复生频次；为提升企业环境管理水平企业需配置专业环保人员</w:t>
                  </w:r>
                  <w:r>
                    <w:rPr>
                      <w:rFonts w:hint="default"/>
                      <w:lang w:val="en-US" w:eastAsia="zh-CN"/>
                    </w:rPr>
                    <w:t>保证环境影响评价、排污许可证、检测报告等资料齐全，生产、治污、监测等设备设施有序运行，生产台账记录完整。</w:t>
                  </w:r>
                </w:p>
              </w:tc>
              <w:tc>
                <w:tcPr>
                  <w:tcW w:w="250" w:type="pct"/>
                  <w:tcBorders>
                    <w:tl2br w:val="nil"/>
                    <w:tr2bl w:val="nil"/>
                  </w:tcBorders>
                  <w:vAlign w:val="center"/>
                </w:tcPr>
                <w:p>
                  <w:pPr>
                    <w:keepNext/>
                    <w:keepLines w:val="0"/>
                    <w:pageBreakBefore w:val="0"/>
                    <w:widowControl w:val="0"/>
                    <w:kinsoku/>
                    <w:wordWrap/>
                    <w:overflowPunct w:val="0"/>
                    <w:topLinePunct w:val="0"/>
                    <w:autoSpaceDE/>
                    <w:autoSpaceDN/>
                    <w:bidi w:val="0"/>
                    <w:adjustRightInd/>
                    <w:snapToGrid w:val="0"/>
                    <w:spacing w:before="0" w:after="0" w:line="360" w:lineRule="auto"/>
                    <w:jc w:val="center"/>
                    <w:textAlignment w:val="auto"/>
                    <w:outlineLvl w:val="9"/>
                    <w:rPr>
                      <w:rFonts w:hint="default"/>
                      <w:lang w:val="en-US" w:eastAsia="zh-CN"/>
                    </w:rPr>
                  </w:pPr>
                  <w:r>
                    <w:rPr>
                      <w:rFonts w:hint="eastAsia"/>
                      <w:lang w:val="en-US" w:eastAsia="zh-CN"/>
                    </w:rPr>
                    <w:t>符合</w:t>
                  </w:r>
                </w:p>
              </w:tc>
            </w:tr>
          </w:tbl>
          <w:p>
            <w:pPr>
              <w:pStyle w:val="18"/>
              <w:keepNext w:val="0"/>
              <w:keepLines w:val="0"/>
              <w:pageBreakBefore w:val="0"/>
              <w:widowControl/>
              <w:kinsoku/>
              <w:wordWrap/>
              <w:overflowPunct/>
              <w:topLinePunct w:val="0"/>
              <w:autoSpaceDE/>
              <w:autoSpaceDN/>
              <w:bidi w:val="0"/>
              <w:adjustRightInd w:val="0"/>
              <w:snapToGrid w:val="0"/>
              <w:spacing w:before="157" w:beforeLines="50" w:beforeAutospacing="0" w:after="0" w:afterAutospacing="0" w:line="360" w:lineRule="auto"/>
              <w:ind w:firstLine="480" w:firstLineChars="200"/>
              <w:jc w:val="both"/>
              <w:textAlignment w:val="auto"/>
              <w:outlineLvl w:val="9"/>
              <w:rPr>
                <w:rFonts w:hint="default" w:ascii="Times New Roman" w:hAnsi="Times New Roman" w:cs="Times New Roman"/>
                <w:lang w:val="en-US" w:eastAsia="zh-CN"/>
              </w:rPr>
            </w:pPr>
            <w:r>
              <w:rPr>
                <w:rFonts w:hint="default" w:ascii="Times New Roman" w:hAnsi="Times New Roman" w:cs="Times New Roman"/>
                <w:lang w:val="en-US" w:eastAsia="zh-CN"/>
              </w:rPr>
              <w:t>综上对比分析，本项目符合《新乡市深入打好秋冬季重污染天气消除、夏季臭氧污染物防治和柴油货车污染治理攻坚战实施方案》（新环攻坚办[2023]73号）的相关要求。</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outlineLvl w:val="9"/>
              <w:rPr>
                <w:rFonts w:hint="default" w:ascii="Times New Roman" w:hAnsi="Times New Roman" w:cs="Times New Roman"/>
                <w:lang w:val="en-US"/>
              </w:rPr>
            </w:pPr>
            <w:r>
              <w:rPr>
                <w:rFonts w:hint="default" w:ascii="Times New Roman" w:hAnsi="Times New Roman" w:cs="Times New Roman"/>
                <w:lang w:val="en-US"/>
              </w:rPr>
              <w:t>（</w:t>
            </w:r>
            <w:r>
              <w:rPr>
                <w:rFonts w:hint="default" w:ascii="Times New Roman" w:hAnsi="Times New Roman" w:cs="Times New Roman"/>
                <w:lang w:val="en-US" w:eastAsia="zh-CN"/>
              </w:rPr>
              <w:t>5</w:t>
            </w:r>
            <w:r>
              <w:rPr>
                <w:rFonts w:hint="default" w:ascii="Times New Roman" w:hAnsi="Times New Roman" w:cs="Times New Roman"/>
                <w:lang w:val="en-US"/>
              </w:rPr>
              <w:t>）与《河南省重污染天气重点行业应急减排措施制定技术指南（2021年修订版）》相符性分析</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outlineLvl w:val="9"/>
              <w:rPr>
                <w:rFonts w:hint="default" w:ascii="Times New Roman" w:hAnsi="Times New Roman" w:cs="Times New Roman"/>
              </w:rPr>
            </w:pPr>
            <w:r>
              <w:rPr>
                <w:rFonts w:hint="default" w:ascii="Times New Roman" w:hAnsi="Times New Roman" w:cs="Times New Roman"/>
                <w:lang w:val="en-US"/>
              </w:rPr>
              <w:t>根据《河南省重污染天气重点行业应急减排措施制定技术指南（2021年修订版）》中塑料制品行业的要求，结合本项目的情况，该方案中涉及到本项目的内容与本项目实际情况的对比情况有：</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baseline"/>
              <w:outlineLvl w:val="9"/>
              <w:rPr>
                <w:rFonts w:hint="default"/>
              </w:rPr>
            </w:pPr>
            <w:r>
              <w:rPr>
                <w:rFonts w:hint="default"/>
              </w:rPr>
              <w:t>表</w:t>
            </w:r>
            <w:r>
              <w:rPr>
                <w:rFonts w:hint="eastAsia"/>
                <w:lang w:val="en-US" w:eastAsia="zh-CN"/>
              </w:rPr>
              <w:t>7</w:t>
            </w:r>
            <w:r>
              <w:rPr>
                <w:rFonts w:hint="default"/>
              </w:rPr>
              <w:t xml:space="preserve"> </w:t>
            </w:r>
            <w:r>
              <w:rPr>
                <w:rFonts w:hint="eastAsia"/>
                <w:lang w:val="en-US" w:eastAsia="zh-CN"/>
              </w:rPr>
              <w:t xml:space="preserve">   </w:t>
            </w:r>
            <w:r>
              <w:rPr>
                <w:rFonts w:hint="default"/>
              </w:rPr>
              <w:t>本项目与《重污染天气重点行业应急减排措施指南》</w:t>
            </w:r>
            <w:r>
              <w:rPr>
                <w:rFonts w:hint="eastAsia"/>
                <w:lang w:val="en-US" w:eastAsia="zh-CN"/>
              </w:rPr>
              <w:t>B级指标</w:t>
            </w:r>
            <w:r>
              <w:rPr>
                <w:rFonts w:hint="default"/>
              </w:rPr>
              <w:t>对比分析</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41"/>
              <w:gridCol w:w="3868"/>
              <w:gridCol w:w="3240"/>
              <w:gridCol w:w="599"/>
              <w:gridCol w:w="1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gridAfter w:val="1"/>
                <w:wAfter w:w="5" w:type="pct"/>
                <w:trHeight w:val="743" w:hRule="atLeast"/>
                <w:jc w:val="center"/>
              </w:trPr>
              <w:tc>
                <w:tcPr>
                  <w:tcW w:w="384" w:type="pct"/>
                  <w:noWrap w:val="0"/>
                  <w:vAlign w:val="center"/>
                </w:tcPr>
                <w:p>
                  <w:pPr>
                    <w:pStyle w:val="51"/>
                    <w:keepNext w:val="0"/>
                    <w:keepLines w:val="0"/>
                    <w:pageBreakBefore w:val="0"/>
                    <w:widowControl w:val="0"/>
                    <w:kinsoku/>
                    <w:wordWrap/>
                    <w:overflowPunct/>
                    <w:topLinePunct w:val="0"/>
                    <w:autoSpaceDE/>
                    <w:autoSpaceDN/>
                    <w:bidi w:val="0"/>
                    <w:adjustRightInd/>
                    <w:snapToGrid/>
                    <w:spacing w:line="240" w:lineRule="auto"/>
                    <w:jc w:val="center"/>
                    <w:textAlignment w:val="auto"/>
                  </w:pPr>
                  <w:r>
                    <w:rPr>
                      <w:rFonts w:hint="eastAsia"/>
                    </w:rPr>
                    <w:t>项目</w:t>
                  </w:r>
                </w:p>
              </w:tc>
              <w:tc>
                <w:tcPr>
                  <w:tcW w:w="2313" w:type="pct"/>
                  <w:noWrap w:val="0"/>
                  <w:vAlign w:val="center"/>
                </w:tcPr>
                <w:p>
                  <w:pPr>
                    <w:pStyle w:val="51"/>
                    <w:keepNext w:val="0"/>
                    <w:keepLines w:val="0"/>
                    <w:pageBreakBefore w:val="0"/>
                    <w:widowControl w:val="0"/>
                    <w:kinsoku/>
                    <w:wordWrap/>
                    <w:overflowPunct/>
                    <w:topLinePunct w:val="0"/>
                    <w:autoSpaceDE/>
                    <w:autoSpaceDN/>
                    <w:bidi w:val="0"/>
                    <w:adjustRightInd/>
                    <w:snapToGrid/>
                    <w:spacing w:line="240" w:lineRule="auto"/>
                    <w:jc w:val="center"/>
                    <w:textAlignment w:val="auto"/>
                  </w:pPr>
                  <w:r>
                    <w:rPr>
                      <w:rFonts w:hint="eastAsia"/>
                      <w:lang w:val="en-US" w:eastAsia="zh-CN"/>
                    </w:rPr>
                    <w:t>B</w:t>
                  </w:r>
                  <w:r>
                    <w:rPr>
                      <w:rFonts w:hint="eastAsia"/>
                    </w:rPr>
                    <w:t>级要求</w:t>
                  </w:r>
                </w:p>
              </w:tc>
              <w:tc>
                <w:tcPr>
                  <w:tcW w:w="1937" w:type="pct"/>
                  <w:noWrap w:val="0"/>
                  <w:vAlign w:val="center"/>
                </w:tcPr>
                <w:p>
                  <w:pPr>
                    <w:pStyle w:val="51"/>
                    <w:keepNext w:val="0"/>
                    <w:keepLines w:val="0"/>
                    <w:pageBreakBefore w:val="0"/>
                    <w:widowControl w:val="0"/>
                    <w:kinsoku/>
                    <w:wordWrap/>
                    <w:overflowPunct/>
                    <w:topLinePunct w:val="0"/>
                    <w:autoSpaceDE/>
                    <w:autoSpaceDN/>
                    <w:bidi w:val="0"/>
                    <w:adjustRightInd/>
                    <w:snapToGrid/>
                    <w:spacing w:line="240" w:lineRule="auto"/>
                    <w:jc w:val="center"/>
                    <w:textAlignment w:val="auto"/>
                  </w:pPr>
                  <w:r>
                    <w:rPr>
                      <w:rFonts w:hint="eastAsia"/>
                    </w:rPr>
                    <w:t>本项目拟建设情况</w:t>
                  </w:r>
                </w:p>
              </w:tc>
              <w:tc>
                <w:tcPr>
                  <w:tcW w:w="358" w:type="pct"/>
                  <w:noWrap w:val="0"/>
                  <w:vAlign w:val="center"/>
                </w:tcPr>
                <w:p>
                  <w:pPr>
                    <w:pStyle w:val="51"/>
                    <w:keepNext w:val="0"/>
                    <w:keepLines w:val="0"/>
                    <w:pageBreakBefore w:val="0"/>
                    <w:widowControl w:val="0"/>
                    <w:kinsoku/>
                    <w:wordWrap/>
                    <w:overflowPunct/>
                    <w:topLinePunct w:val="0"/>
                    <w:autoSpaceDE/>
                    <w:autoSpaceDN/>
                    <w:bidi w:val="0"/>
                    <w:adjustRightInd/>
                    <w:snapToGrid/>
                    <w:spacing w:line="240" w:lineRule="auto"/>
                    <w:jc w:val="center"/>
                    <w:textAlignment w:val="auto"/>
                  </w:pPr>
                  <w:r>
                    <w:rPr>
                      <w:rFonts w:hint="eastAsia"/>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原料、能源类型</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lang w:val="en-US" w:eastAsia="zh-CN"/>
                    </w:rPr>
                    <w:t>1</w:t>
                  </w:r>
                  <w:r>
                    <w:rPr>
                      <w:rFonts w:hint="eastAsia"/>
                    </w:rPr>
                    <w:t>.能源使用电、天然气、液化石油气等能源；</w:t>
                  </w:r>
                </w:p>
              </w:tc>
              <w:tc>
                <w:tcPr>
                  <w:tcW w:w="1937"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lang w:val="en-US" w:eastAsia="zh-CN"/>
                    </w:rPr>
                    <w:t>1</w:t>
                  </w:r>
                  <w:r>
                    <w:rPr>
                      <w:rFonts w:hint="eastAsia"/>
                    </w:rPr>
                    <w:t>.本项目使用电能作为能源；</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生产工艺及装备水平</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1.属于《产业结构调整指导目录（2019年版）》鼓励类和允许类；</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2.符合相关行业产业政策；</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3.符合河南省相关政策要求；</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4.符合市级规划。</w:t>
                  </w:r>
                </w:p>
              </w:tc>
              <w:tc>
                <w:tcPr>
                  <w:tcW w:w="1937"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本项目生产工艺及装备水平属于《产业结构调整指导目录（2019年本）》及其修改文件中 “允许类”，项目符合省市产业政策及相关行业准入要求。</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rPr>
                    <w:t>废气收集及处理工艺</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1.投料、挤塑、注塑、滚塑、吹塑、压延、挤出、造粒、热定型、冷却、发泡、熟化、干燥等涉VOCs工序采用密闭设备或在密闭空间内操作，废气有效收集至VOCs废气处理系统，车间外无异味；采用局部集气罩的，</w:t>
                  </w:r>
                  <w:bookmarkStart w:id="1" w:name="OLE_LINK2"/>
                  <w:r>
                    <w:rPr>
                      <w:rFonts w:hint="eastAsia"/>
                    </w:rPr>
                    <w:t>距集气罩开口面最远处的VOCs无组织排放位置，控制风速不低于0.3米/秒</w:t>
                  </w:r>
                  <w:bookmarkEnd w:id="1"/>
                  <w:r>
                    <w:rPr>
                      <w:rFonts w:hint="eastAsia"/>
                    </w:rPr>
                    <w:t>；</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2.VOCs治理采用燃烧工艺（包括直接燃烧、催化燃烧和蓄热燃烧），或静电、吸附、低温等离子、生物法等两级及以上组合工艺处理（采用一次性活性炭吸附的，活性炭碘值在800mg/g及以上）；</w:t>
                  </w:r>
                </w:p>
                <w:p>
                  <w:pPr>
                    <w:keepNext w:val="0"/>
                    <w:keepLines w:val="0"/>
                    <w:pageBreakBefore w:val="0"/>
                    <w:widowControl/>
                    <w:suppressLineNumbers w:val="0"/>
                    <w:kinsoku/>
                    <w:wordWrap/>
                    <w:overflowPunct/>
                    <w:topLinePunct w:val="0"/>
                    <w:autoSpaceDE/>
                    <w:autoSpaceDN/>
                    <w:bidi w:val="0"/>
                    <w:spacing w:line="360" w:lineRule="auto"/>
                    <w:jc w:val="center"/>
                    <w:textAlignment w:val="auto"/>
                  </w:pPr>
                  <w:r>
                    <w:rPr>
                      <w:rFonts w:hint="eastAsia"/>
                    </w:rPr>
                    <w:t>3.</w:t>
                  </w:r>
                  <w:r>
                    <w:rPr>
                      <w:rFonts w:hint="eastAsia"/>
                      <w:lang w:val="en-US" w:eastAsia="zh-CN"/>
                    </w:rPr>
                    <w:t>粉状物料投加、配混应在封闭车间内进行，</w:t>
                  </w:r>
                  <w:r>
                    <w:rPr>
                      <w:rFonts w:hint="default"/>
                      <w:lang w:val="en-US" w:eastAsia="zh-CN"/>
                    </w:rPr>
                    <w:t xml:space="preserve">PM </w:t>
                  </w:r>
                  <w:r>
                    <w:rPr>
                      <w:rFonts w:hint="eastAsia"/>
                      <w:lang w:val="en-US" w:eastAsia="zh-CN"/>
                    </w:rPr>
                    <w:t>有效收集，并采用袋式除尘等高效除尘技术；</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textAlignment w:val="auto"/>
                  </w:pPr>
                  <w:r>
                    <w:rPr>
                      <w:rFonts w:hint="eastAsia"/>
                    </w:rPr>
                    <w:t>4.废吸附剂应密闭的包装袋或容器储存、转运，并建立储存、处置台账；</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textAlignment w:val="auto"/>
                  </w:pPr>
                  <w:r>
                    <w:rPr>
                      <w:rFonts w:hint="eastAsia"/>
                    </w:rPr>
                    <w:t>5.NOx治理采用低氮燃烧、SNCR/SCR等适宜技术。</w:t>
                  </w:r>
                </w:p>
              </w:tc>
              <w:tc>
                <w:tcPr>
                  <w:tcW w:w="1937"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1.本项目涉及</w:t>
                  </w:r>
                  <w:r>
                    <w:t>VOCs的</w:t>
                  </w:r>
                  <w:r>
                    <w:rPr>
                      <w:rFonts w:hint="eastAsia"/>
                    </w:rPr>
                    <w:t>吹塑、注塑工序采用</w:t>
                  </w:r>
                  <w:r>
                    <w:rPr>
                      <w:rFonts w:hint="eastAsia"/>
                      <w:lang w:val="en-US" w:eastAsia="zh-CN"/>
                    </w:rPr>
                    <w:t>局部集气罩</w:t>
                  </w:r>
                  <w:r>
                    <w:rPr>
                      <w:rFonts w:hint="eastAsia"/>
                    </w:rPr>
                    <w:t>，距集气罩开口面最远处的VOCs无组织排放位置，控制风速不低于0.3米/秒</w:t>
                  </w:r>
                  <w:r>
                    <w:rPr>
                      <w:rFonts w:hint="eastAsia"/>
                      <w:lang w:eastAsia="zh-CN"/>
                    </w:rPr>
                    <w:t>，</w:t>
                  </w:r>
                  <w:r>
                    <w:rPr>
                      <w:rFonts w:hint="eastAsia"/>
                    </w:rPr>
                    <w:t>废气经</w:t>
                  </w:r>
                  <w:r>
                    <w:rPr>
                      <w:rFonts w:hint="eastAsia"/>
                      <w:lang w:val="en-US" w:eastAsia="zh-CN"/>
                    </w:rPr>
                    <w:t>集气罩+</w:t>
                  </w:r>
                  <w:r>
                    <w:rPr>
                      <w:rFonts w:hint="eastAsia"/>
                    </w:rPr>
                    <w:t>负压管道收集至</w:t>
                  </w:r>
                  <w:r>
                    <w:t>VOC</w:t>
                  </w:r>
                  <w:r>
                    <w:rPr>
                      <w:rFonts w:hint="eastAsia"/>
                      <w:lang w:val="en-US" w:eastAsia="zh-CN"/>
                    </w:rPr>
                    <w:t>s</w:t>
                  </w:r>
                  <w:r>
                    <w:rPr>
                      <w:rFonts w:hint="eastAsia"/>
                    </w:rPr>
                    <w:t>废气处理系统，车间外无异味；</w:t>
                  </w:r>
                </w:p>
                <w:p>
                  <w:pPr>
                    <w:pStyle w:val="52"/>
                    <w:keepNext w:val="0"/>
                    <w:keepLines w:val="0"/>
                    <w:pageBreakBefore w:val="0"/>
                    <w:widowControl w:val="0"/>
                    <w:kinsoku/>
                    <w:wordWrap/>
                    <w:overflowPunct/>
                    <w:topLinePunct w:val="0"/>
                    <w:autoSpaceDE/>
                    <w:autoSpaceDN/>
                    <w:bidi w:val="0"/>
                    <w:snapToGrid w:val="0"/>
                    <w:spacing w:line="360" w:lineRule="auto"/>
                    <w:jc w:val="center"/>
                  </w:pPr>
                  <w:r>
                    <w:rPr>
                      <w:rFonts w:hint="eastAsia"/>
                    </w:rPr>
                    <w:t>2.本项目</w:t>
                  </w:r>
                  <w:r>
                    <w:t>VOCs</w:t>
                  </w:r>
                  <w:r>
                    <w:rPr>
                      <w:rFonts w:hint="eastAsia"/>
                    </w:rPr>
                    <w:t>治理采用活性炭吸附/脱附</w:t>
                  </w:r>
                  <w:r>
                    <w:t>-</w:t>
                  </w:r>
                  <w:r>
                    <w:rPr>
                      <w:rFonts w:hint="eastAsia"/>
                    </w:rPr>
                    <w:t>催化燃烧工艺处理；</w:t>
                  </w:r>
                </w:p>
                <w:p>
                  <w:pPr>
                    <w:pStyle w:val="52"/>
                    <w:keepNext w:val="0"/>
                    <w:keepLines w:val="0"/>
                    <w:pageBreakBefore w:val="0"/>
                    <w:widowControl w:val="0"/>
                    <w:kinsoku/>
                    <w:wordWrap/>
                    <w:overflowPunct/>
                    <w:topLinePunct w:val="0"/>
                    <w:autoSpaceDE/>
                    <w:autoSpaceDN/>
                    <w:bidi w:val="0"/>
                    <w:snapToGrid w:val="0"/>
                    <w:spacing w:line="360" w:lineRule="auto"/>
                    <w:jc w:val="center"/>
                    <w:rPr>
                      <w:rFonts w:hint="default"/>
                      <w:lang w:val="en-US" w:eastAsia="zh-CN"/>
                    </w:rPr>
                  </w:pPr>
                  <w:r>
                    <w:rPr>
                      <w:rFonts w:hint="eastAsia"/>
                      <w:lang w:val="en-US" w:eastAsia="zh-CN"/>
                    </w:rPr>
                    <w:t>3.</w:t>
                  </w:r>
                  <w:r>
                    <w:rPr>
                      <w:rFonts w:hint="eastAsia"/>
                    </w:rPr>
                    <w:t>本项目使用原料为大粒径颗粒</w:t>
                  </w:r>
                  <w:r>
                    <w:rPr>
                      <w:rFonts w:hint="eastAsia"/>
                      <w:lang w:eastAsia="zh-CN"/>
                    </w:rPr>
                    <w:t>，</w:t>
                  </w:r>
                  <w:r>
                    <w:rPr>
                      <w:rFonts w:hint="eastAsia"/>
                    </w:rPr>
                    <w:t>投加和混配工序在封闭车间内进行，无投料粉尘产生</w:t>
                  </w:r>
                  <w:r>
                    <w:rPr>
                      <w:rFonts w:hint="eastAsia"/>
                      <w:lang w:eastAsia="zh-CN"/>
                    </w:rPr>
                    <w:t>，无</w:t>
                  </w:r>
                  <w:r>
                    <w:rPr>
                      <w:rFonts w:hint="eastAsia"/>
                      <w:lang w:val="en-US" w:eastAsia="zh-CN"/>
                    </w:rPr>
                    <w:t>粉状物料投加、配混，投料工序不产生粉尘</w:t>
                  </w:r>
                  <w:r>
                    <w:rPr>
                      <w:rFonts w:hint="eastAsia"/>
                    </w:rPr>
                    <w:t>；</w:t>
                  </w:r>
                  <w:r>
                    <w:rPr>
                      <w:rFonts w:hint="eastAsia"/>
                      <w:lang w:val="en-US" w:eastAsia="zh-CN"/>
                    </w:rPr>
                    <w:t>破碎工序的PM有效收集，采用袋式除尘器收集。</w:t>
                  </w:r>
                </w:p>
                <w:p>
                  <w:pPr>
                    <w:pStyle w:val="52"/>
                    <w:keepNext w:val="0"/>
                    <w:keepLines w:val="0"/>
                    <w:pageBreakBefore w:val="0"/>
                    <w:widowControl w:val="0"/>
                    <w:kinsoku/>
                    <w:wordWrap/>
                    <w:overflowPunct/>
                    <w:topLinePunct w:val="0"/>
                    <w:autoSpaceDE/>
                    <w:autoSpaceDN/>
                    <w:bidi w:val="0"/>
                    <w:snapToGrid w:val="0"/>
                    <w:spacing w:line="360" w:lineRule="auto"/>
                    <w:jc w:val="center"/>
                  </w:pPr>
                  <w:r>
                    <w:t>4.</w:t>
                  </w:r>
                  <w:r>
                    <w:rPr>
                      <w:rFonts w:hint="eastAsia"/>
                    </w:rPr>
                    <w:t>本项目产生的废吸附剂为废活性炭，项目使用密闭的包装袋或容器储存、转运废活性炭，并建立储存、处置台账；</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t>5.</w:t>
                  </w:r>
                  <w:r>
                    <w:rPr>
                      <w:rFonts w:hint="eastAsia"/>
                    </w:rPr>
                    <w:t>本项目生产过程中不产</w:t>
                  </w:r>
                  <w:r>
                    <w:rPr>
                      <w:rFonts w:hint="eastAsia"/>
                      <w:lang w:val="en-US" w:eastAsia="zh-CN"/>
                    </w:rPr>
                    <w:t>生</w:t>
                  </w:r>
                  <w:r>
                    <w:t>NOx</w:t>
                  </w:r>
                  <w:r>
                    <w:rPr>
                      <w:rFonts w:hint="eastAsia"/>
                    </w:rPr>
                    <w:t>。</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rPr>
                    <w:t>无组织管控</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1.VOCs物料存储于密闭的容器、包装袋、储罐、储库、料仓中；盛装VOCs物料的容器或包装袋存放于室内；盛装VOCs物料的容器或包装袋在非取用状态时应加盖、封口，保持密闭；</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pPr>
                  <w:r>
                    <w:rPr>
                      <w:rFonts w:hint="eastAsia"/>
                    </w:rPr>
                    <w:t>2.</w:t>
                  </w:r>
                  <w:r>
                    <w:rPr>
                      <w:rFonts w:hint="default"/>
                      <w:lang w:val="en-US" w:eastAsia="zh-CN"/>
                    </w:rPr>
                    <w:t>.</w:t>
                  </w:r>
                  <w:r>
                    <w:rPr>
                      <w:rFonts w:hint="eastAsia"/>
                      <w:lang w:val="en-US" w:eastAsia="zh-CN"/>
                    </w:rPr>
                    <w:t>粉状物料采用气力输送、管状带式输送机、螺旋输送机等自动化、密闭输送方式；粒状物料采用密闭的包装袋、容器或罐车进行物料转移；液态</w:t>
                  </w:r>
                  <w:r>
                    <w:rPr>
                      <w:rFonts w:hint="default"/>
                      <w:lang w:val="en-US" w:eastAsia="zh-CN"/>
                    </w:rPr>
                    <w:t>VOCs</w:t>
                  </w:r>
                  <w:r>
                    <w:rPr>
                      <w:rFonts w:hint="eastAsia"/>
                      <w:lang w:val="en-US" w:eastAsia="zh-CN"/>
                    </w:rPr>
                    <w:t>物料采用密闭容器或罐车输送</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3.产生VOCs的生产工序和装置应设置有效集气装置并引至VOCs末端处理设施；</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4.厂区道路及车间地面硬化，车间地面、墙壁、设备顶部整洁无积尘；厂内地面全部硬化或绿化，无成片裸露土地。</w:t>
                  </w:r>
                </w:p>
              </w:tc>
              <w:tc>
                <w:tcPr>
                  <w:tcW w:w="1937" w:type="pct"/>
                  <w:noWrap w:val="0"/>
                  <w:vAlign w:val="center"/>
                </w:tcPr>
                <w:p>
                  <w:pPr>
                    <w:pStyle w:val="52"/>
                    <w:keepNext w:val="0"/>
                    <w:keepLines w:val="0"/>
                    <w:pageBreakBefore w:val="0"/>
                    <w:widowControl w:val="0"/>
                    <w:kinsoku/>
                    <w:wordWrap/>
                    <w:overflowPunct/>
                    <w:topLinePunct w:val="0"/>
                    <w:autoSpaceDE/>
                    <w:autoSpaceDN/>
                    <w:bidi w:val="0"/>
                    <w:snapToGrid w:val="0"/>
                    <w:spacing w:line="360" w:lineRule="auto"/>
                    <w:jc w:val="center"/>
                  </w:pPr>
                  <w:r>
                    <w:t>1.</w:t>
                  </w:r>
                  <w:r>
                    <w:rPr>
                      <w:rFonts w:hint="eastAsia"/>
                    </w:rPr>
                    <w:t>本项目</w:t>
                  </w:r>
                  <w:r>
                    <w:t>VOCs</w:t>
                  </w:r>
                  <w:r>
                    <w:rPr>
                      <w:rFonts w:hint="eastAsia"/>
                    </w:rPr>
                    <w:t>物料存储于密闭的包装袋中，且存放于室内，物料在非取用状态时封口，保持密闭；</w:t>
                  </w:r>
                </w:p>
                <w:p>
                  <w:pPr>
                    <w:pStyle w:val="52"/>
                    <w:keepNext w:val="0"/>
                    <w:keepLines w:val="0"/>
                    <w:pageBreakBefore w:val="0"/>
                    <w:widowControl w:val="0"/>
                    <w:kinsoku/>
                    <w:wordWrap/>
                    <w:overflowPunct/>
                    <w:topLinePunct w:val="0"/>
                    <w:autoSpaceDE/>
                    <w:autoSpaceDN/>
                    <w:bidi w:val="0"/>
                    <w:snapToGrid w:val="0"/>
                    <w:spacing w:line="360" w:lineRule="auto"/>
                    <w:jc w:val="center"/>
                  </w:pPr>
                  <w:r>
                    <w:t>2.</w:t>
                  </w:r>
                  <w:r>
                    <w:rPr>
                      <w:rFonts w:hint="eastAsia"/>
                      <w:lang w:val="en-US" w:eastAsia="zh-CN"/>
                    </w:rPr>
                    <w:t>本项目粒状物料用包装袋包装，转移时由密闭的容器进行转移；</w:t>
                  </w:r>
                </w:p>
                <w:p>
                  <w:pPr>
                    <w:pStyle w:val="52"/>
                    <w:keepNext w:val="0"/>
                    <w:keepLines w:val="0"/>
                    <w:pageBreakBefore w:val="0"/>
                    <w:widowControl w:val="0"/>
                    <w:kinsoku/>
                    <w:wordWrap/>
                    <w:overflowPunct/>
                    <w:topLinePunct w:val="0"/>
                    <w:autoSpaceDE/>
                    <w:autoSpaceDN/>
                    <w:bidi w:val="0"/>
                    <w:snapToGrid w:val="0"/>
                    <w:spacing w:line="360" w:lineRule="auto"/>
                    <w:jc w:val="center"/>
                  </w:pPr>
                  <w:r>
                    <w:t>3.</w:t>
                  </w:r>
                  <w:r>
                    <w:rPr>
                      <w:rFonts w:hint="eastAsia"/>
                    </w:rPr>
                    <w:t>本项目产生</w:t>
                  </w:r>
                  <w:r>
                    <w:t>VOCs</w:t>
                  </w:r>
                  <w:r>
                    <w:rPr>
                      <w:rFonts w:hint="eastAsia"/>
                    </w:rPr>
                    <w:t>的生产工序为注塑</w:t>
                  </w:r>
                  <w:r>
                    <w:rPr>
                      <w:rFonts w:hint="eastAsia"/>
                      <w:lang w:eastAsia="zh-CN"/>
                    </w:rPr>
                    <w:t>、</w:t>
                  </w:r>
                  <w:r>
                    <w:rPr>
                      <w:rFonts w:hint="eastAsia"/>
                      <w:lang w:val="en-US" w:eastAsia="zh-CN"/>
                    </w:rPr>
                    <w:t>加热挤出、</w:t>
                  </w:r>
                  <w:r>
                    <w:rPr>
                      <w:rFonts w:hint="eastAsia"/>
                    </w:rPr>
                    <w:t>吹塑，产生VOCs的装置为吹塑机、注塑机企业采用</w:t>
                  </w:r>
                  <w:r>
                    <w:rPr>
                      <w:rFonts w:hint="eastAsia"/>
                      <w:lang w:val="en-US" w:eastAsia="zh-CN"/>
                    </w:rPr>
                    <w:t>集气罩+负压</w:t>
                  </w:r>
                  <w:r>
                    <w:rPr>
                      <w:rFonts w:hint="eastAsia"/>
                    </w:rPr>
                    <w:t>收集</w:t>
                  </w:r>
                  <w:r>
                    <w:rPr>
                      <w:rFonts w:hint="eastAsia"/>
                      <w:lang w:val="en-US" w:eastAsia="zh-CN"/>
                    </w:rPr>
                    <w:t>VOCs</w:t>
                  </w:r>
                  <w:r>
                    <w:rPr>
                      <w:rFonts w:hint="eastAsia"/>
                    </w:rPr>
                    <w:t>废气并引至活性炭吸附/脱附-催化燃烧装置处理；</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t>4.</w:t>
                  </w:r>
                  <w:r>
                    <w:rPr>
                      <w:rFonts w:hint="eastAsia"/>
                    </w:rPr>
                    <w:t>厂区道路及车间地面硬化，车间地面、墙壁、设备顶部整洁无积尘；厂内地面全部硬化或绿化，无成片裸露土地。</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排放限值</w:t>
                  </w:r>
                </w:p>
              </w:tc>
              <w:tc>
                <w:tcPr>
                  <w:tcW w:w="2313" w:type="pct"/>
                  <w:noWrap w:val="0"/>
                  <w:vAlign w:val="center"/>
                </w:tcPr>
                <w:p>
                  <w:pPr>
                    <w:pStyle w:val="53"/>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pPr>
                  <w:r>
                    <w:rPr>
                      <w:rFonts w:hint="default"/>
                      <w:lang w:val="en-US" w:eastAsia="zh-CN"/>
                    </w:rPr>
                    <w:t>1</w:t>
                  </w:r>
                  <w:r>
                    <w:rPr>
                      <w:rFonts w:hint="eastAsia"/>
                      <w:lang w:val="en-US" w:eastAsia="zh-CN"/>
                    </w:rPr>
                    <w:t>、全厂有组织</w:t>
                  </w:r>
                  <w:r>
                    <w:rPr>
                      <w:rFonts w:hint="default"/>
                      <w:lang w:val="en-US" w:eastAsia="zh-CN"/>
                    </w:rPr>
                    <w:t>PM</w:t>
                  </w:r>
                  <w:r>
                    <w:rPr>
                      <w:rFonts w:hint="eastAsia"/>
                      <w:lang w:val="en-US" w:eastAsia="zh-CN"/>
                    </w:rPr>
                    <w:t>、</w:t>
                  </w:r>
                  <w:r>
                    <w:rPr>
                      <w:rFonts w:hint="default"/>
                      <w:lang w:val="en-US" w:eastAsia="zh-CN"/>
                    </w:rPr>
                    <w:t>NMHC</w:t>
                  </w:r>
                  <w:r>
                    <w:rPr>
                      <w:rFonts w:hint="eastAsia"/>
                      <w:lang w:val="en-US" w:eastAsia="zh-CN"/>
                    </w:rPr>
                    <w:t>有组织排放浓度分别不高于</w:t>
                  </w:r>
                  <w:r>
                    <w:rPr>
                      <w:rFonts w:hint="default"/>
                      <w:lang w:val="en-US" w:eastAsia="zh-CN"/>
                    </w:rPr>
                    <w:t>10</w:t>
                  </w:r>
                  <w:r>
                    <w:rPr>
                      <w:rFonts w:hint="eastAsia"/>
                      <w:lang w:val="en-US" w:eastAsia="zh-CN"/>
                    </w:rPr>
                    <w:t>、</w:t>
                  </w:r>
                  <w:r>
                    <w:rPr>
                      <w:rFonts w:hint="default"/>
                      <w:lang w:val="en-US" w:eastAsia="zh-CN"/>
                    </w:rPr>
                    <w:t>30mg/m</w:t>
                  </w:r>
                  <w:r>
                    <w:rPr>
                      <w:rFonts w:hint="default"/>
                      <w:vertAlign w:val="superscript"/>
                      <w:lang w:val="en-US" w:eastAsia="zh-CN"/>
                    </w:rPr>
                    <w:t>3</w:t>
                  </w:r>
                  <w:r>
                    <w:rPr>
                      <w:rFonts w:hint="eastAsia"/>
                      <w:lang w:val="en-US" w:eastAsia="zh-CN"/>
                    </w:rPr>
                    <w:t>；</w:t>
                  </w:r>
                </w:p>
                <w:p>
                  <w:pPr>
                    <w:pStyle w:val="53"/>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pPr>
                  <w:r>
                    <w:rPr>
                      <w:rFonts w:hint="default"/>
                      <w:lang w:val="en-US" w:eastAsia="zh-CN"/>
                    </w:rPr>
                    <w:t>2</w:t>
                  </w:r>
                  <w:r>
                    <w:rPr>
                      <w:rFonts w:hint="eastAsia"/>
                      <w:lang w:val="en-US" w:eastAsia="zh-CN"/>
                    </w:rPr>
                    <w:t>、</w:t>
                  </w:r>
                  <w:r>
                    <w:rPr>
                      <w:rFonts w:hint="default"/>
                      <w:lang w:val="en-US" w:eastAsia="zh-CN"/>
                    </w:rPr>
                    <w:t>VOCs</w:t>
                  </w:r>
                  <w:r>
                    <w:rPr>
                      <w:rFonts w:hint="eastAsia"/>
                      <w:lang w:val="en-US" w:eastAsia="zh-CN"/>
                    </w:rPr>
                    <w:t xml:space="preserve">治理设施同步运行率和去除率分别达到 </w:t>
                  </w:r>
                  <w:r>
                    <w:rPr>
                      <w:rFonts w:hint="default"/>
                      <w:lang w:val="en-US" w:eastAsia="zh-CN"/>
                    </w:rPr>
                    <w:t>100%</w:t>
                  </w:r>
                  <w:r>
                    <w:rPr>
                      <w:rFonts w:hint="eastAsia"/>
                      <w:lang w:val="en-US" w:eastAsia="zh-CN"/>
                    </w:rPr>
                    <w:t xml:space="preserve">和 </w:t>
                  </w:r>
                  <w:r>
                    <w:rPr>
                      <w:rFonts w:hint="default"/>
                      <w:lang w:val="en-US" w:eastAsia="zh-CN"/>
                    </w:rPr>
                    <w:t>80%</w:t>
                  </w:r>
                  <w:r>
                    <w:rPr>
                      <w:rFonts w:hint="eastAsia"/>
                      <w:lang w:val="en-US" w:eastAsia="zh-CN"/>
                    </w:rPr>
                    <w:t>；去除率确实达不到的，生产车间或生产设备的无组织排放监控点</w:t>
                  </w:r>
                  <w:r>
                    <w:rPr>
                      <w:rFonts w:hint="default"/>
                      <w:lang w:val="en-US" w:eastAsia="zh-CN"/>
                    </w:rPr>
                    <w:t>NMHC</w:t>
                  </w:r>
                  <w:r>
                    <w:rPr>
                      <w:rFonts w:hint="eastAsia"/>
                      <w:lang w:val="en-US" w:eastAsia="zh-CN"/>
                    </w:rPr>
                    <w:t xml:space="preserve">浓度低于 </w:t>
                  </w:r>
                  <w:r>
                    <w:rPr>
                      <w:rFonts w:hint="default"/>
                      <w:lang w:val="en-US" w:eastAsia="zh-CN"/>
                    </w:rPr>
                    <w:t>4mg/m³</w:t>
                  </w:r>
                  <w:r>
                    <w:rPr>
                      <w:rFonts w:hint="eastAsia"/>
                      <w:lang w:val="en-US" w:eastAsia="zh-CN"/>
                    </w:rPr>
                    <w:t xml:space="preserve">，企业边界 </w:t>
                  </w:r>
                  <w:r>
                    <w:rPr>
                      <w:rFonts w:hint="default"/>
                      <w:lang w:val="en-US" w:eastAsia="zh-CN"/>
                    </w:rPr>
                    <w:t xml:space="preserve">1hNMHC </w:t>
                  </w:r>
                  <w:r>
                    <w:rPr>
                      <w:rFonts w:hint="eastAsia"/>
                      <w:lang w:val="en-US" w:eastAsia="zh-CN"/>
                    </w:rPr>
                    <w:t>平均浓度低</w:t>
                  </w:r>
                  <w:r>
                    <w:rPr>
                      <w:rFonts w:hint="default"/>
                      <w:lang w:val="en-US" w:eastAsia="zh-CN"/>
                    </w:rPr>
                    <w:t>2mg/m³</w:t>
                  </w:r>
                  <w:r>
                    <w:rPr>
                      <w:rFonts w:hint="eastAsia"/>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lang w:val="en-US"/>
                    </w:rPr>
                  </w:pPr>
                  <w:r>
                    <w:rPr>
                      <w:rFonts w:hint="default"/>
                      <w:lang w:val="en-US" w:eastAsia="zh-CN"/>
                    </w:rPr>
                    <w:t>3、锅炉烟气排放限值要求：燃气锅炉 PM、SO2、NOx 排放浓度分别不高于：5、10、50/30mg/m</w:t>
                  </w:r>
                  <w:r>
                    <w:rPr>
                      <w:rFonts w:hint="default"/>
                      <w:vertAlign w:val="superscript"/>
                      <w:lang w:val="en-US" w:eastAsia="zh-CN"/>
                    </w:rPr>
                    <w:t>3</w:t>
                  </w:r>
                  <w:r>
                    <w:rPr>
                      <w:rFonts w:hint="default"/>
                      <w:lang w:val="en-US" w:eastAsia="zh-CN"/>
                    </w:rPr>
                    <w:t>。</w:t>
                  </w:r>
                </w:p>
              </w:tc>
              <w:tc>
                <w:tcPr>
                  <w:tcW w:w="1937" w:type="pct"/>
                  <w:noWrap w:val="0"/>
                  <w:vAlign w:val="center"/>
                </w:tcPr>
                <w:p>
                  <w:pPr>
                    <w:pStyle w:val="52"/>
                    <w:keepNext w:val="0"/>
                    <w:keepLines w:val="0"/>
                    <w:pageBreakBefore w:val="0"/>
                    <w:widowControl w:val="0"/>
                    <w:kinsoku/>
                    <w:wordWrap/>
                    <w:overflowPunct/>
                    <w:topLinePunct w:val="0"/>
                    <w:autoSpaceDE/>
                    <w:autoSpaceDN/>
                    <w:bidi w:val="0"/>
                    <w:snapToGrid w:val="0"/>
                    <w:spacing w:line="360" w:lineRule="auto"/>
                    <w:jc w:val="center"/>
                    <w:rPr>
                      <w:rFonts w:hint="eastAsia"/>
                      <w:lang w:val="en-US" w:eastAsia="zh-CN"/>
                    </w:rPr>
                  </w:pPr>
                  <w:r>
                    <w:rPr>
                      <w:rFonts w:hint="eastAsia"/>
                      <w:lang w:val="en-US" w:eastAsia="zh-CN"/>
                    </w:rPr>
                    <w:t>1、建成后全厂有组织</w:t>
                  </w:r>
                  <w:r>
                    <w:rPr>
                      <w:rFonts w:hint="default"/>
                      <w:lang w:val="en-US" w:eastAsia="zh-CN"/>
                    </w:rPr>
                    <w:t>PM</w:t>
                  </w:r>
                  <w:r>
                    <w:rPr>
                      <w:rFonts w:hint="eastAsia"/>
                      <w:lang w:val="en-US" w:eastAsia="zh-CN"/>
                    </w:rPr>
                    <w:t>、</w:t>
                  </w:r>
                  <w:r>
                    <w:rPr>
                      <w:rFonts w:hint="default"/>
                      <w:lang w:val="en-US" w:eastAsia="zh-CN"/>
                    </w:rPr>
                    <w:t xml:space="preserve">NMHC </w:t>
                  </w:r>
                  <w:r>
                    <w:rPr>
                      <w:rFonts w:hint="eastAsia"/>
                      <w:lang w:val="en-US" w:eastAsia="zh-CN"/>
                    </w:rPr>
                    <w:t>有组织排放浓度分别不高于</w:t>
                  </w:r>
                  <w:r>
                    <w:rPr>
                      <w:rFonts w:hint="default"/>
                      <w:lang w:val="en-US" w:eastAsia="zh-CN"/>
                    </w:rPr>
                    <w:t>10</w:t>
                  </w:r>
                  <w:r>
                    <w:rPr>
                      <w:rFonts w:hint="eastAsia"/>
                      <w:lang w:val="en-US" w:eastAsia="zh-CN"/>
                    </w:rPr>
                    <w:t>、</w:t>
                  </w:r>
                  <w:r>
                    <w:rPr>
                      <w:rFonts w:hint="default"/>
                      <w:lang w:val="en-US" w:eastAsia="zh-CN"/>
                    </w:rPr>
                    <w:t>30mg/m</w:t>
                  </w:r>
                  <w:r>
                    <w:rPr>
                      <w:rFonts w:hint="default"/>
                      <w:vertAlign w:val="superscript"/>
                      <w:lang w:val="en-US" w:eastAsia="zh-CN"/>
                    </w:rPr>
                    <w:t>3</w:t>
                  </w:r>
                  <w:r>
                    <w:rPr>
                      <w:rFonts w:hint="eastAsia"/>
                      <w:lang w:val="en-US" w:eastAsia="zh-CN"/>
                    </w:rPr>
                    <w:t>；</w:t>
                  </w:r>
                </w:p>
                <w:p>
                  <w:pPr>
                    <w:pStyle w:val="52"/>
                    <w:keepNext w:val="0"/>
                    <w:keepLines w:val="0"/>
                    <w:pageBreakBefore w:val="0"/>
                    <w:widowControl w:val="0"/>
                    <w:kinsoku/>
                    <w:wordWrap/>
                    <w:overflowPunct/>
                    <w:topLinePunct w:val="0"/>
                    <w:autoSpaceDE/>
                    <w:autoSpaceDN/>
                    <w:bidi w:val="0"/>
                    <w:snapToGrid w:val="0"/>
                    <w:spacing w:line="360" w:lineRule="auto"/>
                    <w:jc w:val="center"/>
                  </w:pPr>
                  <w:r>
                    <w:t>2</w:t>
                  </w:r>
                  <w:r>
                    <w:rPr>
                      <w:rFonts w:hint="eastAsia"/>
                      <w:lang w:eastAsia="zh-CN"/>
                    </w:rPr>
                    <w:t>、本项目</w:t>
                  </w:r>
                  <w:r>
                    <w:t>VOCs</w:t>
                  </w:r>
                  <w:r>
                    <w:rPr>
                      <w:rFonts w:hint="eastAsia"/>
                      <w:lang w:eastAsia="zh-CN"/>
                    </w:rPr>
                    <w:t>废气采用活性炭吸附</w:t>
                  </w:r>
                  <w:r>
                    <w:rPr>
                      <w:rFonts w:hint="eastAsia"/>
                      <w:lang w:val="en-US" w:eastAsia="zh-CN"/>
                    </w:rPr>
                    <w:t>-脱附+催化燃烧装置处理，</w:t>
                  </w:r>
                  <w:r>
                    <w:rPr>
                      <w:rFonts w:hint="eastAsia"/>
                    </w:rPr>
                    <w:t>治理设施同步运行率和去除率分别达到</w:t>
                  </w:r>
                  <w:r>
                    <w:t>100%</w:t>
                  </w:r>
                  <w:r>
                    <w:rPr>
                      <w:rFonts w:hint="eastAsia"/>
                    </w:rPr>
                    <w:t>和</w:t>
                  </w:r>
                  <w:r>
                    <w:t>90%</w:t>
                  </w:r>
                  <w:r>
                    <w:rPr>
                      <w:rFonts w:hint="eastAsia"/>
                    </w:rPr>
                    <w:t>以上；</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t>3</w:t>
                  </w:r>
                  <w:r>
                    <w:rPr>
                      <w:rFonts w:hint="eastAsia"/>
                      <w:lang w:eastAsia="zh-CN"/>
                    </w:rPr>
                    <w:t>、</w:t>
                  </w:r>
                  <w:r>
                    <w:rPr>
                      <w:rFonts w:hint="eastAsia"/>
                    </w:rPr>
                    <w:t>本项目工艺不涉及锅炉。</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监测监控水平</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1.有组织排放口按生态环境部门要求安装烟气排放自动监控设施（CEMS），并按要求联网；</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2.有组织排放口按照排污许可证要求开展自行监测；</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3.涉气生产工序、生产装置及污染治理设施按生态环境部门要求安装用电监管设备，用电监管设备与省、市生态环境部门用电监管平台联网。</w:t>
                  </w:r>
                </w:p>
              </w:tc>
              <w:tc>
                <w:tcPr>
                  <w:tcW w:w="1937" w:type="pct"/>
                  <w:noWrap w:val="0"/>
                  <w:vAlign w:val="center"/>
                </w:tcPr>
                <w:p>
                  <w:pPr>
                    <w:pStyle w:val="52"/>
                    <w:keepNext w:val="0"/>
                    <w:keepLines w:val="0"/>
                    <w:pageBreakBefore w:val="0"/>
                    <w:widowControl w:val="0"/>
                    <w:kinsoku/>
                    <w:wordWrap/>
                    <w:overflowPunct/>
                    <w:topLinePunct w:val="0"/>
                    <w:autoSpaceDE/>
                    <w:autoSpaceDN/>
                    <w:bidi w:val="0"/>
                    <w:snapToGrid w:val="0"/>
                    <w:spacing w:line="360" w:lineRule="auto"/>
                    <w:jc w:val="center"/>
                  </w:pPr>
                  <w:r>
                    <w:t>1.</w:t>
                  </w:r>
                  <w:r>
                    <w:rPr>
                      <w:rFonts w:hint="eastAsia"/>
                    </w:rPr>
                    <w:t>根据《关于规范涉有机废气工业企业在线监测设备安装的通知》和环保部门要求需要企业安装自动监控设施时，企业将根据要求安装烟气排放自动监控设施（</w:t>
                  </w:r>
                  <w:r>
                    <w:t>CEMS</w:t>
                  </w:r>
                  <w:r>
                    <w:rPr>
                      <w:rFonts w:hint="eastAsia"/>
                    </w:rPr>
                    <w:t>）并联网。</w:t>
                  </w:r>
                </w:p>
                <w:p>
                  <w:pPr>
                    <w:pStyle w:val="52"/>
                    <w:keepNext w:val="0"/>
                    <w:keepLines w:val="0"/>
                    <w:pageBreakBefore w:val="0"/>
                    <w:widowControl w:val="0"/>
                    <w:kinsoku/>
                    <w:wordWrap/>
                    <w:overflowPunct/>
                    <w:topLinePunct w:val="0"/>
                    <w:autoSpaceDE/>
                    <w:autoSpaceDN/>
                    <w:bidi w:val="0"/>
                    <w:snapToGrid w:val="0"/>
                    <w:spacing w:line="360" w:lineRule="auto"/>
                    <w:jc w:val="center"/>
                  </w:pPr>
                  <w:r>
                    <w:t>2.</w:t>
                  </w:r>
                  <w:r>
                    <w:rPr>
                      <w:rFonts w:hint="eastAsia"/>
                    </w:rPr>
                    <w:t>有组织排放口将按照排污许可证要求开展自行监测；</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t>3.</w:t>
                  </w:r>
                  <w:r>
                    <w:rPr>
                      <w:rFonts w:hint="eastAsia"/>
                    </w:rPr>
                    <w:t>涉气生产工序、生产装置及污染治理设施将按生态环境部门要求安装用电监管设备，用电监管设备与省、市生态环境部门用电监管平台联网。</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运输方式</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rPr>
                      <w:rFonts w:hint="default"/>
                    </w:rPr>
                  </w:pPr>
                  <w:r>
                    <w:rPr>
                      <w:rFonts w:hint="default"/>
                    </w:rPr>
                    <w:t>1、物料、产品公路运输（除水泥罐式货车外）采用新能源或达到国五排放标准；</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rPr>
                      <w:rFonts w:hint="default"/>
                    </w:rPr>
                  </w:pPr>
                  <w:r>
                    <w:rPr>
                      <w:rFonts w:hint="default"/>
                    </w:rPr>
                    <w:t>2.厂内运输车辆达到国五及以上排放标准（含燃气）或使用新能源车辆比例不低于 80%，其他车辆达到国四排放标准；</w:t>
                  </w:r>
                </w:p>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default"/>
                    </w:rPr>
                    <w:t>3.厂内非道路移动机械达到国三及以上排放标准或使用新能源机械比例不低</w:t>
                  </w:r>
                  <w:r>
                    <w:rPr>
                      <w:rFonts w:hint="eastAsia"/>
                      <w:lang w:eastAsia="zh-CN"/>
                    </w:rPr>
                    <w:t>于</w:t>
                  </w:r>
                  <w:r>
                    <w:rPr>
                      <w:rFonts w:hint="default"/>
                    </w:rPr>
                    <w:t>80%。</w:t>
                  </w:r>
                </w:p>
              </w:tc>
              <w:tc>
                <w:tcPr>
                  <w:tcW w:w="1937" w:type="pct"/>
                  <w:noWrap w:val="0"/>
                  <w:vAlign w:val="center"/>
                </w:tcPr>
                <w:p>
                  <w:pPr>
                    <w:pStyle w:val="7"/>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1"/>
                      <w:szCs w:val="21"/>
                      <w:lang w:eastAsia="zh-CN"/>
                    </w:rPr>
                    <w:t>本项目建成后</w:t>
                  </w:r>
                  <w:r>
                    <w:rPr>
                      <w:rFonts w:hint="eastAsia"/>
                      <w:sz w:val="21"/>
                      <w:szCs w:val="21"/>
                    </w:rPr>
                    <w:t>物料、产品运输全部使用国五及以上排放标准的重型载货车辆（重型燃气车辆达到国六排放标准）或新能源车辆</w:t>
                  </w:r>
                  <w:r>
                    <w:rPr>
                      <w:rFonts w:hint="eastAsia"/>
                      <w:sz w:val="21"/>
                      <w:szCs w:val="21"/>
                      <w:lang w:eastAsia="zh-CN"/>
                    </w:rPr>
                    <w:t>，</w:t>
                  </w:r>
                  <w:r>
                    <w:rPr>
                      <w:rFonts w:hint="default"/>
                      <w:sz w:val="21"/>
                      <w:szCs w:val="21"/>
                    </w:rPr>
                    <w:t>厂内非道路移动机械达到国三及以上排放标准或使用新能源机械比例不低</w:t>
                  </w:r>
                  <w:r>
                    <w:rPr>
                      <w:rFonts w:hint="eastAsia"/>
                      <w:sz w:val="21"/>
                      <w:szCs w:val="21"/>
                      <w:lang w:eastAsia="zh-CN"/>
                    </w:rPr>
                    <w:t>于</w:t>
                  </w:r>
                  <w:r>
                    <w:rPr>
                      <w:rFonts w:hint="default"/>
                      <w:sz w:val="21"/>
                      <w:szCs w:val="21"/>
                    </w:rPr>
                    <w:t>80%。</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4" w:type="pct"/>
                  <w:noWrap w:val="0"/>
                  <w:vAlign w:val="center"/>
                </w:tcPr>
                <w:p>
                  <w:pPr>
                    <w:pStyle w:val="52"/>
                    <w:keepNext w:val="0"/>
                    <w:keepLines w:val="0"/>
                    <w:pageBreakBefore w:val="0"/>
                    <w:widowControl w:val="0"/>
                    <w:kinsoku/>
                    <w:wordWrap/>
                    <w:overflowPunct/>
                    <w:topLinePunct w:val="0"/>
                    <w:autoSpaceDE/>
                    <w:autoSpaceDN/>
                    <w:bidi w:val="0"/>
                    <w:spacing w:line="360" w:lineRule="auto"/>
                    <w:jc w:val="center"/>
                    <w:rPr>
                      <w:lang w:val="en-US"/>
                    </w:rPr>
                  </w:pPr>
                  <w:r>
                    <w:rPr>
                      <w:rFonts w:hint="eastAsia"/>
                      <w:lang w:val="en-US"/>
                    </w:rPr>
                    <w:t>运输监管</w:t>
                  </w:r>
                </w:p>
              </w:tc>
              <w:tc>
                <w:tcPr>
                  <w:tcW w:w="2313"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rPr>
                      <w:rFonts w:hint="eastAsia"/>
                    </w:rPr>
                    <w:t>日均进出货物150吨（或载货车辆日进出10辆次）及以上（货物包括原料、辅料、燃料、产品和其他与生产相关物料）的企业，或纳入我省重点行业年产值1000万及以上的企业，应参照《重污染天气重点行业移动源应急管理技术指南》建立门禁视频监控系统和电子台账；其他企业建立电子台账。</w:t>
                  </w:r>
                </w:p>
              </w:tc>
              <w:tc>
                <w:tcPr>
                  <w:tcW w:w="1937" w:type="pct"/>
                  <w:noWrap w:val="0"/>
                  <w:vAlign w:val="center"/>
                </w:tcPr>
                <w:p>
                  <w:pPr>
                    <w:pStyle w:val="53"/>
                    <w:keepNext w:val="0"/>
                    <w:keepLines w:val="0"/>
                    <w:pageBreakBefore w:val="0"/>
                    <w:widowControl w:val="0"/>
                    <w:kinsoku/>
                    <w:wordWrap/>
                    <w:overflowPunct/>
                    <w:topLinePunct w:val="0"/>
                    <w:autoSpaceDE/>
                    <w:autoSpaceDN/>
                    <w:bidi w:val="0"/>
                    <w:spacing w:line="360" w:lineRule="auto"/>
                    <w:ind w:firstLine="0" w:firstLineChars="0"/>
                    <w:jc w:val="center"/>
                  </w:pPr>
                  <w:r>
                    <w:t>本项目</w:t>
                  </w:r>
                  <w:r>
                    <w:rPr>
                      <w:rFonts w:hint="eastAsia"/>
                      <w:lang w:val="en-US" w:eastAsia="zh-CN"/>
                    </w:rPr>
                    <w:t>需要</w:t>
                  </w:r>
                  <w:r>
                    <w:rPr>
                      <w:rFonts w:hint="eastAsia"/>
                    </w:rPr>
                    <w:t>安装门禁视频监控系统</w:t>
                  </w:r>
                  <w:r>
                    <w:rPr>
                      <w:rFonts w:hint="eastAsia"/>
                      <w:lang w:eastAsia="zh-CN"/>
                    </w:rPr>
                    <w:t>，</w:t>
                  </w:r>
                  <w:r>
                    <w:rPr>
                      <w:rFonts w:hint="eastAsia"/>
                      <w:lang w:val="en-US" w:eastAsia="zh-CN"/>
                    </w:rPr>
                    <w:t>并建立</w:t>
                  </w:r>
                  <w:r>
                    <w:rPr>
                      <w:rFonts w:hint="eastAsia"/>
                    </w:rPr>
                    <w:t>电子台账。</w:t>
                  </w:r>
                </w:p>
              </w:tc>
              <w:tc>
                <w:tcPr>
                  <w:tcW w:w="364" w:type="pct"/>
                  <w:gridSpan w:val="2"/>
                  <w:noWrap w:val="0"/>
                  <w:vAlign w:val="center"/>
                </w:tcPr>
                <w:p>
                  <w:pPr>
                    <w:pStyle w:val="52"/>
                    <w:keepNext w:val="0"/>
                    <w:keepLines w:val="0"/>
                    <w:pageBreakBefore w:val="0"/>
                    <w:widowControl w:val="0"/>
                    <w:kinsoku/>
                    <w:wordWrap/>
                    <w:overflowPunct/>
                    <w:topLinePunct w:val="0"/>
                    <w:autoSpaceDE/>
                    <w:autoSpaceDN/>
                    <w:bidi w:val="0"/>
                    <w:adjustRightInd/>
                    <w:snapToGrid/>
                    <w:spacing w:line="360" w:lineRule="auto"/>
                    <w:jc w:val="center"/>
                    <w:rPr>
                      <w:lang w:val="en-US"/>
                    </w:rPr>
                  </w:pPr>
                  <w:r>
                    <w:rPr>
                      <w:rFonts w:hint="eastAsia"/>
                      <w:lang w:val="en-US"/>
                    </w:rPr>
                    <w:t>满足</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pPr>
            <w:r>
              <w:rPr>
                <w:rFonts w:hint="eastAsia"/>
                <w:sz w:val="24"/>
                <w:szCs w:val="24"/>
              </w:rPr>
              <w:t>评价要求：本项目严格按照上述要求进行建设，</w:t>
            </w:r>
            <w:r>
              <w:rPr>
                <w:rFonts w:hint="eastAsia"/>
                <w:sz w:val="24"/>
                <w:szCs w:val="24"/>
                <w:lang w:val="en-US" w:eastAsia="zh-CN"/>
              </w:rPr>
              <w:t>并</w:t>
            </w:r>
            <w:r>
              <w:rPr>
                <w:rFonts w:hint="eastAsia"/>
                <w:sz w:val="24"/>
                <w:szCs w:val="24"/>
              </w:rPr>
              <w:t>满足</w:t>
            </w:r>
            <w:r>
              <w:rPr>
                <w:rFonts w:hint="eastAsia"/>
                <w:sz w:val="24"/>
                <w:szCs w:val="24"/>
                <w:lang w:val="en-US" w:eastAsia="zh-CN"/>
              </w:rPr>
              <w:t>B</w:t>
            </w:r>
            <w:r>
              <w:rPr>
                <w:rFonts w:hint="eastAsia"/>
                <w:sz w:val="24"/>
                <w:szCs w:val="24"/>
              </w:rPr>
              <w:t>级要求，并积极接受生态环境管理部门的监督检查</w:t>
            </w:r>
            <w:r>
              <w:rPr>
                <w:rFonts w:hint="eastAsia"/>
              </w:rPr>
              <w:t>。</w:t>
            </w:r>
          </w:p>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420" w:firstLineChars="200"/>
              <w:jc w:val="both"/>
              <w:textAlignment w:val="auto"/>
              <w:outlineLvl w:val="9"/>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pStyle w:val="2"/>
              <w:ind w:left="0" w:leftChars="0" w:firstLine="0" w:firstLineChars="0"/>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ind w:left="0" w:leftChars="0" w:firstLine="0" w:firstLineChars="0"/>
              <w:rPr>
                <w:rFonts w:hint="default"/>
                <w:lang w:val="en-US" w:eastAsia="zh-CN"/>
              </w:rPr>
            </w:pPr>
          </w:p>
        </w:tc>
      </w:tr>
    </w:tbl>
    <w:p>
      <w:pPr>
        <w:spacing w:line="360" w:lineRule="auto"/>
        <w:outlineLvl w:val="0"/>
      </w:pPr>
      <w:r>
        <w:br w:type="page"/>
      </w:r>
    </w:p>
    <w:p>
      <w:pPr>
        <w:spacing w:line="360" w:lineRule="auto"/>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4"/>
        <w:gridCol w:w="81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192" w:hRule="atLeast"/>
          <w:jc w:val="center"/>
        </w:trPr>
        <w:tc>
          <w:tcPr>
            <w:tcW w:w="684" w:type="dxa"/>
            <w:noWrap w:val="0"/>
            <w:vAlign w:val="center"/>
          </w:tcPr>
          <w:p>
            <w:pPr>
              <w:pStyle w:val="18"/>
              <w:adjustRightInd w:val="0"/>
              <w:snapToGrid w:val="0"/>
              <w:spacing w:before="0" w:beforeAutospacing="0" w:after="0" w:afterAutospacing="0"/>
              <w:jc w:val="center"/>
              <w:rPr>
                <w:rFonts w:cs="宋体"/>
                <w:sz w:val="24"/>
                <w:szCs w:val="24"/>
              </w:rPr>
            </w:pPr>
            <w:r>
              <w:rPr>
                <w:rFonts w:hint="eastAsia" w:cs="宋体"/>
                <w:sz w:val="24"/>
                <w:szCs w:val="24"/>
              </w:rPr>
              <w:t>建设内容</w:t>
            </w:r>
          </w:p>
        </w:tc>
        <w:tc>
          <w:tcPr>
            <w:tcW w:w="8135" w:type="dxa"/>
            <w:noWrap w:val="0"/>
            <w:vAlign w:val="top"/>
          </w:tcPr>
          <w:p>
            <w:pPr>
              <w:pStyle w:val="49"/>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项目由来</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河南省永丰模具有限公司</w:t>
            </w:r>
            <w:r>
              <w:rPr>
                <w:rFonts w:hint="default" w:ascii="Times New Roman" w:hAnsi="Times New Roman" w:eastAsia="宋体" w:cs="Times New Roman"/>
                <w:sz w:val="24"/>
                <w:szCs w:val="24"/>
              </w:rPr>
              <w:t>位于</w:t>
            </w:r>
            <w:r>
              <w:rPr>
                <w:rFonts w:hint="default" w:ascii="Times New Roman" w:hAnsi="Times New Roman" w:eastAsia="宋体" w:cs="Times New Roman"/>
                <w:sz w:val="24"/>
                <w:szCs w:val="24"/>
                <w:lang w:eastAsia="zh-CN"/>
              </w:rPr>
              <w:t>新乡市新乡县合河乡贾桥工业区</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该公司</w:t>
            </w:r>
            <w:r>
              <w:rPr>
                <w:rFonts w:hint="default" w:ascii="Times New Roman" w:hAnsi="Times New Roman" w:eastAsia="宋体" w:cs="Times New Roman"/>
                <w:sz w:val="24"/>
                <w:szCs w:val="24"/>
                <w:lang w:val="en-US" w:eastAsia="zh-CN"/>
              </w:rPr>
              <w:t>现有工程</w:t>
            </w:r>
            <w:r>
              <w:rPr>
                <w:rFonts w:hint="default" w:ascii="Times New Roman" w:hAnsi="Times New Roman" w:eastAsia="宋体" w:cs="Times New Roman"/>
                <w:sz w:val="24"/>
                <w:szCs w:val="24"/>
                <w:lang w:eastAsia="zh-CN"/>
              </w:rPr>
              <w:t>为年产200套模具、200万套汽车（电器）零部件项目</w:t>
            </w:r>
            <w:r>
              <w:rPr>
                <w:rFonts w:hint="eastAsia"/>
                <w:lang w:eastAsia="zh-CN"/>
              </w:rPr>
              <w:t>（</w:t>
            </w:r>
            <w:r>
              <w:rPr>
                <w:rFonts w:hint="eastAsia"/>
                <w:lang w:val="en-US" w:eastAsia="zh-CN"/>
              </w:rPr>
              <w:t>公司南厂区）</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项目环评报告表于2017年9月12日通过了新乡县环境保护局批复，批复文号：新环表[2017]015号。于2018年7月19日完成项目竣工验收并通过了新乡县环境保护局的批复，验收文号：新环评验[2018]08号。</w:t>
            </w:r>
            <w:r>
              <w:rPr>
                <w:rFonts w:hint="default" w:ascii="Times New Roman" w:hAnsi="Times New Roman" w:eastAsia="宋体" w:cs="Times New Roman"/>
                <w:sz w:val="24"/>
                <w:szCs w:val="24"/>
                <w:lang w:eastAsia="zh-CN"/>
              </w:rPr>
              <w:t>年产200套模具、200万套汽车（电器）零部件项目，</w:t>
            </w:r>
            <w:r>
              <w:rPr>
                <w:rFonts w:hint="default" w:ascii="Times New Roman" w:hAnsi="Times New Roman" w:eastAsia="宋体" w:cs="Times New Roman"/>
                <w:sz w:val="24"/>
                <w:szCs w:val="24"/>
                <w:lang w:val="en-US" w:eastAsia="zh-CN"/>
              </w:rPr>
              <w:t>实际仅生产180套模具、170万套汽车电器零部件并已验收，202</w:t>
            </w:r>
            <w:r>
              <w:rPr>
                <w:rFonts w:hint="eastAsia" w:cs="Times New Roman"/>
                <w:sz w:val="24"/>
                <w:szCs w:val="24"/>
                <w:lang w:val="en-US" w:eastAsia="zh-CN"/>
              </w:rPr>
              <w:t>1</w:t>
            </w:r>
            <w:r>
              <w:rPr>
                <w:rFonts w:hint="default" w:ascii="Times New Roman" w:hAnsi="Times New Roman" w:eastAsia="宋体" w:cs="Times New Roman"/>
                <w:sz w:val="24"/>
                <w:szCs w:val="24"/>
                <w:lang w:val="en-US" w:eastAsia="zh-CN"/>
              </w:rPr>
              <w:t>年后其中170万套汽车电器零部件项目不</w:t>
            </w:r>
            <w:r>
              <w:rPr>
                <w:rFonts w:hint="eastAsia" w:cs="Times New Roman"/>
                <w:sz w:val="24"/>
                <w:szCs w:val="24"/>
                <w:lang w:val="en-US" w:eastAsia="zh-CN"/>
              </w:rPr>
              <w:t>再</w:t>
            </w:r>
            <w:r>
              <w:rPr>
                <w:rFonts w:hint="default" w:ascii="Times New Roman" w:hAnsi="Times New Roman" w:eastAsia="宋体" w:cs="Times New Roman"/>
                <w:sz w:val="24"/>
                <w:szCs w:val="24"/>
                <w:lang w:val="en-US" w:eastAsia="zh-CN"/>
              </w:rPr>
              <w:t>生产（仅生产180套模具）。</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Style w:val="32"/>
                <w:rFonts w:hint="eastAsia"/>
                <w:sz w:val="24"/>
                <w:szCs w:val="24"/>
                <w:lang w:eastAsia="zh-CN"/>
              </w:rPr>
              <w:t>公司</w:t>
            </w:r>
            <w:r>
              <w:rPr>
                <w:rStyle w:val="32"/>
                <w:rFonts w:hint="eastAsia"/>
                <w:sz w:val="24"/>
                <w:szCs w:val="24"/>
                <w:lang w:val="en-US" w:eastAsia="zh-CN"/>
              </w:rPr>
              <w:t>北厂区</w:t>
            </w:r>
            <w:r>
              <w:rPr>
                <w:rStyle w:val="32"/>
                <w:rFonts w:hint="eastAsia"/>
                <w:sz w:val="24"/>
                <w:szCs w:val="24"/>
                <w:lang w:eastAsia="zh-CN"/>
              </w:rPr>
              <w:t>现有</w:t>
            </w:r>
            <w:r>
              <w:rPr>
                <w:rStyle w:val="32"/>
                <w:rFonts w:hint="default"/>
                <w:sz w:val="24"/>
                <w:szCs w:val="24"/>
                <w:lang w:eastAsia="zh-CN"/>
              </w:rPr>
              <w:t>年产2000万套汽车（电器）零部件项目（零部件项目为塑料制品）</w:t>
            </w:r>
            <w:r>
              <w:rPr>
                <w:rStyle w:val="32"/>
                <w:rFonts w:hint="eastAsia"/>
                <w:sz w:val="24"/>
                <w:szCs w:val="24"/>
                <w:lang w:eastAsia="zh-CN"/>
              </w:rPr>
              <w:t>，</w:t>
            </w:r>
            <w:r>
              <w:rPr>
                <w:rStyle w:val="32"/>
                <w:rFonts w:hint="default"/>
                <w:sz w:val="24"/>
                <w:szCs w:val="24"/>
                <w:lang w:val="en-US" w:eastAsia="zh-CN"/>
              </w:rPr>
              <w:t>于2020年12月31日通过了新乡县环境保护局批复，审批文号：新环表[2020]048号。</w:t>
            </w:r>
            <w:r>
              <w:rPr>
                <w:rStyle w:val="32"/>
                <w:rFonts w:hint="default"/>
                <w:sz w:val="24"/>
                <w:szCs w:val="24"/>
                <w:lang w:eastAsia="zh-CN"/>
              </w:rPr>
              <w:t>2000万套</w:t>
            </w:r>
            <w:r>
              <w:rPr>
                <w:rStyle w:val="32"/>
                <w:rFonts w:hint="default"/>
                <w:sz w:val="24"/>
                <w:szCs w:val="24"/>
                <w:lang w:val="en-US" w:eastAsia="zh-CN"/>
              </w:rPr>
              <w:t>零部件</w:t>
            </w:r>
            <w:r>
              <w:rPr>
                <w:rStyle w:val="32"/>
                <w:rFonts w:hint="default"/>
                <w:sz w:val="24"/>
                <w:szCs w:val="24"/>
                <w:lang w:eastAsia="zh-CN"/>
              </w:rPr>
              <w:t>项目分三期建设，</w:t>
            </w:r>
            <w:r>
              <w:rPr>
                <w:rStyle w:val="32"/>
                <w:rFonts w:hint="default"/>
                <w:sz w:val="24"/>
                <w:szCs w:val="24"/>
                <w:lang w:val="en-US" w:eastAsia="zh-CN"/>
              </w:rPr>
              <w:t>目前一期项目建设完成，并完成了自主验收。二期、三期项目目前尚未建设</w:t>
            </w:r>
            <w:r>
              <w:rPr>
                <w:rStyle w:val="32"/>
                <w:rFonts w:hint="eastAsia"/>
                <w:sz w:val="24"/>
                <w:szCs w:val="24"/>
                <w:lang w:val="en-US" w:eastAsia="zh-CN"/>
              </w:rPr>
              <w:t>，公司</w:t>
            </w:r>
            <w:r>
              <w:rPr>
                <w:rStyle w:val="32"/>
                <w:rFonts w:hint="default"/>
                <w:sz w:val="24"/>
                <w:szCs w:val="24"/>
                <w:lang w:val="en-US" w:eastAsia="zh-CN"/>
              </w:rPr>
              <w:t>已申领排污许可登记，登记编号：91410721336410863G001Y。</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为了满足市场需求，</w:t>
            </w:r>
            <w:r>
              <w:rPr>
                <w:rFonts w:hint="default" w:ascii="Times New Roman" w:hAnsi="Times New Roman" w:eastAsia="宋体" w:cs="Times New Roman"/>
                <w:sz w:val="24"/>
                <w:szCs w:val="24"/>
                <w:lang w:val="en-US" w:eastAsia="zh-CN"/>
              </w:rPr>
              <w:t>2023年</w:t>
            </w:r>
            <w:r>
              <w:rPr>
                <w:rFonts w:hint="default" w:ascii="Times New Roman" w:hAnsi="Times New Roman" w:eastAsia="宋体" w:cs="Times New Roman"/>
                <w:sz w:val="24"/>
                <w:szCs w:val="24"/>
                <w:lang w:eastAsia="zh-CN"/>
              </w:rPr>
              <w:t>该公司拟投资</w:t>
            </w:r>
            <w:r>
              <w:rPr>
                <w:rFonts w:hint="default" w:ascii="Times New Roman" w:hAnsi="Times New Roman" w:eastAsia="宋体" w:cs="Times New Roman"/>
                <w:sz w:val="24"/>
                <w:szCs w:val="24"/>
                <w:lang w:val="en-US" w:eastAsia="zh-CN"/>
              </w:rPr>
              <w:t>1500万元，</w:t>
            </w:r>
            <w:r>
              <w:rPr>
                <w:rFonts w:hint="default" w:ascii="Times New Roman" w:hAnsi="Times New Roman" w:eastAsia="宋体" w:cs="Times New Roman"/>
                <w:lang w:eastAsia="zh-CN"/>
              </w:rPr>
              <w:t>在公司北厂区二分车间建设</w:t>
            </w:r>
            <w:r>
              <w:rPr>
                <w:rFonts w:hint="default" w:ascii="Times New Roman" w:hAnsi="Times New Roman" w:eastAsia="宋体" w:cs="Times New Roman"/>
                <w:sz w:val="24"/>
                <w:szCs w:val="24"/>
                <w:lang w:val="en-US" w:eastAsia="zh-CN"/>
              </w:rPr>
              <w:t>年产13万只塑料包装容器项目及原三期工程改建项目，</w:t>
            </w:r>
            <w:r>
              <w:rPr>
                <w:rFonts w:hint="default" w:ascii="Times New Roman" w:hAnsi="Times New Roman" w:eastAsia="宋体" w:cs="Times New Roman"/>
                <w:sz w:val="24"/>
                <w:szCs w:val="24"/>
                <w:lang w:eastAsia="zh-CN"/>
              </w:rPr>
              <w:t>已通过新乡县发展和改革委员会备案（见附件），本次主要建设内容；将原批年产2000万套汽车（电器）零部件项目三期工程注塑机（</w:t>
            </w:r>
            <w:r>
              <w:rPr>
                <w:rFonts w:hint="default" w:ascii="Times New Roman" w:hAnsi="Times New Roman" w:eastAsia="宋体" w:cs="Times New Roman"/>
                <w:sz w:val="24"/>
                <w:szCs w:val="24"/>
                <w:lang w:val="en-US" w:eastAsia="zh-CN"/>
              </w:rPr>
              <w:t>27台</w:t>
            </w:r>
            <w:r>
              <w:rPr>
                <w:rFonts w:hint="default" w:ascii="Times New Roman" w:hAnsi="Times New Roman" w:eastAsia="宋体" w:cs="Times New Roman"/>
                <w:sz w:val="24"/>
                <w:szCs w:val="24"/>
                <w:lang w:eastAsia="zh-CN"/>
              </w:rPr>
              <w:t>）减少</w:t>
            </w:r>
            <w:r>
              <w:rPr>
                <w:rFonts w:hint="default" w:ascii="Times New Roman" w:hAnsi="Times New Roman" w:eastAsia="宋体" w:cs="Times New Roman"/>
                <w:sz w:val="24"/>
                <w:szCs w:val="24"/>
                <w:lang w:val="en-US" w:eastAsia="zh-CN"/>
              </w:rPr>
              <w:t>10台</w:t>
            </w:r>
            <w:r>
              <w:rPr>
                <w:rFonts w:hint="default" w:ascii="Times New Roman" w:hAnsi="Times New Roman" w:eastAsia="宋体" w:cs="Times New Roman"/>
                <w:sz w:val="24"/>
                <w:szCs w:val="24"/>
                <w:lang w:eastAsia="zh-CN"/>
              </w:rPr>
              <w:t>，产品生产规模（</w:t>
            </w:r>
            <w:r>
              <w:rPr>
                <w:rFonts w:hint="default" w:ascii="Times New Roman" w:hAnsi="Times New Roman" w:eastAsia="宋体" w:cs="Times New Roman"/>
                <w:sz w:val="24"/>
                <w:szCs w:val="24"/>
                <w:lang w:val="en-US" w:eastAsia="zh-CN"/>
              </w:rPr>
              <w:t>800万套</w:t>
            </w:r>
            <w:r>
              <w:rPr>
                <w:rFonts w:hint="default" w:ascii="Times New Roman" w:hAnsi="Times New Roman" w:eastAsia="宋体" w:cs="Times New Roman"/>
                <w:sz w:val="24"/>
                <w:szCs w:val="24"/>
                <w:lang w:eastAsia="zh-CN"/>
              </w:rPr>
              <w:t>）减少</w:t>
            </w:r>
            <w:r>
              <w:rPr>
                <w:rFonts w:hint="default" w:ascii="Times New Roman" w:hAnsi="Times New Roman" w:eastAsia="宋体" w:cs="Times New Roman"/>
                <w:sz w:val="24"/>
                <w:szCs w:val="24"/>
                <w:lang w:val="en-US" w:eastAsia="zh-CN"/>
              </w:rPr>
              <w:t>300万套/年，减少的污染物总量指标作为本次用量，本次增加</w:t>
            </w:r>
            <w:r>
              <w:rPr>
                <w:rFonts w:hint="default" w:ascii="Times New Roman" w:hAnsi="Times New Roman" w:eastAsia="宋体" w:cs="Times New Roman"/>
                <w:sz w:val="24"/>
                <w:szCs w:val="24"/>
                <w:lang w:eastAsia="zh-CN"/>
              </w:rPr>
              <w:t>吹塑机</w:t>
            </w:r>
            <w:r>
              <w:rPr>
                <w:rFonts w:hint="default" w:ascii="Times New Roman" w:hAnsi="Times New Roman" w:eastAsia="宋体" w:cs="Times New Roman"/>
                <w:sz w:val="24"/>
                <w:szCs w:val="24"/>
                <w:lang w:val="en-US" w:eastAsia="zh-CN"/>
              </w:rPr>
              <w:t>4台、挤出机4台、上料机、破碎机等设备生产塑料包装容器（箱、桶）。</w:t>
            </w:r>
            <w:r>
              <w:rPr>
                <w:rFonts w:hint="default" w:ascii="Times New Roman" w:hAnsi="Times New Roman" w:eastAsia="宋体" w:cs="Times New Roman"/>
                <w:sz w:val="24"/>
                <w:szCs w:val="24"/>
                <w:lang w:eastAsia="zh-CN"/>
              </w:rPr>
              <w:t>待本次项目完成后，产品塑料包装</w:t>
            </w:r>
            <w:r>
              <w:rPr>
                <w:rFonts w:hint="default" w:ascii="Times New Roman" w:hAnsi="Times New Roman" w:eastAsia="宋体" w:cs="Times New Roman"/>
                <w:sz w:val="24"/>
                <w:szCs w:val="24"/>
                <w:lang w:val="en-US" w:eastAsia="zh-CN"/>
              </w:rPr>
              <w:t>容器</w:t>
            </w:r>
            <w:r>
              <w:rPr>
                <w:rFonts w:hint="default" w:ascii="Times New Roman" w:hAnsi="Times New Roman" w:eastAsia="宋体" w:cs="Times New Roman"/>
                <w:sz w:val="24"/>
                <w:szCs w:val="24"/>
                <w:lang w:eastAsia="zh-CN"/>
              </w:rPr>
              <w:t>为年产</w:t>
            </w:r>
            <w:r>
              <w:rPr>
                <w:rFonts w:hint="default" w:ascii="Times New Roman" w:hAnsi="Times New Roman" w:eastAsia="宋体" w:cs="Times New Roman"/>
                <w:sz w:val="24"/>
                <w:szCs w:val="24"/>
                <w:lang w:val="en-US" w:eastAsia="zh-CN"/>
              </w:rPr>
              <w:t>13万只。其中由于原三期工程部分设备减少，产品规模也相对减少，原有产品塑料零部件由800万套/年变为500万套/年。</w:t>
            </w:r>
            <w:r>
              <w:rPr>
                <w:rFonts w:hint="default" w:ascii="Times New Roman" w:hAnsi="Times New Roman" w:eastAsia="宋体" w:cs="Times New Roman"/>
                <w:sz w:val="24"/>
                <w:szCs w:val="24"/>
              </w:rPr>
              <w:t>经现场踏勘，项目尚未开工建设，不涉及未批先建。</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经查阅</w:t>
            </w:r>
            <w:r>
              <w:rPr>
                <w:rFonts w:hint="default" w:ascii="Times New Roman" w:hAnsi="Times New Roman" w:eastAsia="宋体" w:cs="Times New Roman"/>
                <w:sz w:val="24"/>
                <w:szCs w:val="24"/>
                <w:lang w:eastAsia="zh-CN"/>
              </w:rPr>
              <w:t>《产业结构调整指导目录（2019年本）》</w:t>
            </w:r>
            <w:r>
              <w:rPr>
                <w:rFonts w:hint="default" w:ascii="Times New Roman" w:hAnsi="Times New Roman" w:eastAsia="宋体" w:cs="Times New Roman"/>
                <w:sz w:val="24"/>
                <w:szCs w:val="24"/>
              </w:rPr>
              <w:t>，项目不在限制和淘汰类之列，属允许类项目，同时已经由</w:t>
            </w:r>
            <w:r>
              <w:rPr>
                <w:rFonts w:hint="default" w:ascii="Times New Roman" w:hAnsi="Times New Roman" w:eastAsia="宋体" w:cs="Times New Roman"/>
                <w:sz w:val="24"/>
                <w:szCs w:val="24"/>
                <w:lang w:eastAsia="zh-CN"/>
              </w:rPr>
              <w:t>新乡县发展和改革委员会</w:t>
            </w:r>
            <w:r>
              <w:rPr>
                <w:rFonts w:hint="default" w:ascii="Times New Roman" w:hAnsi="Times New Roman" w:eastAsia="宋体" w:cs="Times New Roman"/>
                <w:sz w:val="24"/>
                <w:szCs w:val="24"/>
              </w:rPr>
              <w:t>备案</w:t>
            </w:r>
            <w:r>
              <w:rPr>
                <w:rFonts w:hint="default" w:ascii="Times New Roman" w:hAnsi="Times New Roman" w:eastAsia="宋体" w:cs="Times New Roman"/>
                <w:sz w:val="24"/>
                <w:szCs w:val="24"/>
                <w:lang w:eastAsia="zh-CN"/>
              </w:rPr>
              <w:t>（见附件）</w:t>
            </w:r>
            <w:r>
              <w:rPr>
                <w:rFonts w:hint="default" w:ascii="Times New Roman" w:hAnsi="Times New Roman" w:eastAsia="宋体" w:cs="Times New Roman"/>
                <w:sz w:val="24"/>
                <w:szCs w:val="24"/>
              </w:rPr>
              <w:t>，项目代码</w:t>
            </w:r>
            <w:r>
              <w:rPr>
                <w:rFonts w:hint="default" w:ascii="Times New Roman" w:hAnsi="Times New Roman" w:eastAsia="宋体" w:cs="Times New Roman"/>
                <w:sz w:val="24"/>
                <w:szCs w:val="24"/>
                <w:lang w:val="en-US" w:eastAsia="zh-CN"/>
              </w:rPr>
              <w:t xml:space="preserve">2304-410721-04-01-166017 </w:t>
            </w:r>
            <w:r>
              <w:rPr>
                <w:rFonts w:hint="default" w:ascii="Times New Roman" w:hAnsi="Times New Roman" w:eastAsia="宋体" w:cs="Times New Roman"/>
                <w:sz w:val="24"/>
                <w:szCs w:val="24"/>
              </w:rPr>
              <w:t>，符合国家相关产业政策。根据《中华人民共和国环境影响评价法》和《建设项目环境保护管理条例》（国务院令第682号），该项目需进行环境影响评价。根据《建设项目环境影响评价分类管理名录》（</w:t>
            </w:r>
            <w:r>
              <w:rPr>
                <w:rFonts w:hint="default" w:ascii="Times New Roman" w:hAnsi="Times New Roman" w:eastAsia="宋体" w:cs="Times New Roman"/>
                <w:sz w:val="24"/>
                <w:szCs w:val="24"/>
                <w:lang w:val="en-US" w:eastAsia="zh-CN"/>
              </w:rPr>
              <w:t>2021版</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，该项目类别属于</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二十六、橡胶和塑料制品业 29，</w:t>
            </w:r>
            <w:r>
              <w:rPr>
                <w:rFonts w:hint="default" w:ascii="Times New Roman" w:hAnsi="Times New Roman" w:eastAsia="宋体" w:cs="Times New Roman"/>
                <w:sz w:val="24"/>
                <w:szCs w:val="24"/>
                <w:lang w:val="en-US" w:eastAsia="zh-CN"/>
              </w:rPr>
              <w:t xml:space="preserve">53、塑料制品业 292 </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eastAsia="zh-CN"/>
              </w:rPr>
              <w:t>中</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其他（年用非溶剂型低VOCs含量涂料10吨以下的除外）</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编制报告表。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受</w:t>
            </w:r>
            <w:r>
              <w:rPr>
                <w:rFonts w:hint="default" w:ascii="Times New Roman" w:hAnsi="Times New Roman" w:eastAsia="宋体" w:cs="Times New Roman"/>
                <w:sz w:val="24"/>
                <w:szCs w:val="24"/>
                <w:lang w:eastAsia="zh-CN"/>
              </w:rPr>
              <w:t>河南省永丰模具有限公司</w:t>
            </w:r>
            <w:r>
              <w:rPr>
                <w:rFonts w:hint="default" w:ascii="Times New Roman" w:hAnsi="Times New Roman" w:eastAsia="宋体" w:cs="Times New Roman"/>
                <w:sz w:val="24"/>
                <w:szCs w:val="24"/>
              </w:rPr>
              <w:t>委托（见附件），我公司承担了</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河南省永丰模具有限公司年产13万只塑料包装容器项目及原三期工程改建项目</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的环境影响评价工作。接受委托后，我单位组织有关技术人员，在现场调查和收集有关资料的基础上，本着</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公开、公正、客观</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的态度，编制了本项目的环境影响报告表。</w:t>
            </w:r>
          </w:p>
          <w:p>
            <w:pPr>
              <w:pStyle w:val="49"/>
              <w:numPr>
                <w:ilvl w:val="0"/>
                <w:numId w:val="3"/>
              </w:numPr>
              <w:adjustRightInd w:val="0"/>
              <w:snapToGrid w:val="0"/>
              <w:spacing w:line="360" w:lineRule="auto"/>
              <w:ind w:left="0" w:lef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建设规模及内容</w:t>
            </w:r>
          </w:p>
          <w:p>
            <w:pPr>
              <w:pStyle w:val="4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本项目总投资</w:t>
            </w:r>
            <w:r>
              <w:rPr>
                <w:rFonts w:hint="default" w:ascii="Times New Roman" w:hAnsi="Times New Roman" w:eastAsia="宋体" w:cs="Times New Roman"/>
                <w:sz w:val="24"/>
                <w:szCs w:val="24"/>
                <w:lang w:val="en-US" w:eastAsia="zh-CN"/>
              </w:rPr>
              <w:t>1500</w:t>
            </w:r>
            <w:r>
              <w:rPr>
                <w:rFonts w:hint="default" w:ascii="Times New Roman" w:hAnsi="Times New Roman" w:eastAsia="宋体" w:cs="Times New Roman"/>
                <w:sz w:val="24"/>
                <w:szCs w:val="24"/>
              </w:rPr>
              <w:t>万元</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占地</w:t>
            </w:r>
            <w:r>
              <w:rPr>
                <w:rFonts w:hint="default" w:ascii="Times New Roman" w:hAnsi="Times New Roman" w:eastAsia="宋体" w:cs="Times New Roman"/>
                <w:sz w:val="24"/>
                <w:szCs w:val="24"/>
              </w:rPr>
              <w:t>面积</w:t>
            </w:r>
            <w:r>
              <w:rPr>
                <w:rFonts w:hint="default" w:ascii="Times New Roman" w:hAnsi="Times New Roman" w:eastAsia="宋体" w:cs="Times New Roman"/>
                <w:sz w:val="24"/>
                <w:szCs w:val="24"/>
                <w:lang w:val="en-US" w:eastAsia="zh-CN"/>
              </w:rPr>
              <w:t>7000m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rPr>
              <w:t>，</w:t>
            </w:r>
            <w:r>
              <w:rPr>
                <w:rFonts w:hint="eastAsia"/>
                <w:sz w:val="24"/>
                <w:szCs w:val="24"/>
                <w:lang w:eastAsia="zh-CN"/>
              </w:rPr>
              <w:t>在现有闲置厂房内建设本项目，</w:t>
            </w:r>
            <w:r>
              <w:rPr>
                <w:rFonts w:hint="default"/>
                <w:sz w:val="24"/>
                <w:szCs w:val="24"/>
                <w:lang w:eastAsia="zh-CN"/>
              </w:rPr>
              <w:t>车间占地面积</w:t>
            </w:r>
            <w:r>
              <w:rPr>
                <w:rFonts w:hint="default"/>
                <w:sz w:val="24"/>
                <w:szCs w:val="24"/>
                <w:lang w:val="en-US" w:eastAsia="zh-CN"/>
              </w:rPr>
              <w:t>1125m</w:t>
            </w:r>
            <w:r>
              <w:rPr>
                <w:rFonts w:hint="default"/>
                <w:sz w:val="24"/>
                <w:szCs w:val="24"/>
                <w:vertAlign w:val="superscript"/>
                <w:lang w:val="en-US" w:eastAsia="zh-CN"/>
              </w:rPr>
              <w:t>2</w:t>
            </w:r>
            <w:r>
              <w:rPr>
                <w:rFonts w:hint="default"/>
                <w:sz w:val="24"/>
                <w:szCs w:val="24"/>
                <w:lang w:eastAsia="zh-CN"/>
              </w:rPr>
              <w:t>，仓库占地面积</w:t>
            </w:r>
            <w:r>
              <w:rPr>
                <w:rFonts w:hint="default"/>
                <w:sz w:val="24"/>
                <w:szCs w:val="24"/>
                <w:lang w:val="en-US" w:eastAsia="zh-CN"/>
              </w:rPr>
              <w:t>2400m</w:t>
            </w:r>
            <w:r>
              <w:rPr>
                <w:rFonts w:hint="default"/>
                <w:sz w:val="24"/>
                <w:szCs w:val="24"/>
                <w:vertAlign w:val="superscript"/>
                <w:lang w:val="en-US" w:eastAsia="zh-CN"/>
              </w:rPr>
              <w:t>2</w:t>
            </w:r>
            <w:r>
              <w:rPr>
                <w:rFonts w:hint="default"/>
                <w:sz w:val="24"/>
                <w:szCs w:val="24"/>
                <w:lang w:eastAsia="zh-CN"/>
              </w:rPr>
              <w:t>，办公室占地面积</w:t>
            </w:r>
            <w:r>
              <w:rPr>
                <w:rFonts w:hint="default"/>
                <w:sz w:val="24"/>
                <w:szCs w:val="24"/>
                <w:lang w:val="en-US" w:eastAsia="zh-CN"/>
              </w:rPr>
              <w:t>35m</w:t>
            </w:r>
            <w:r>
              <w:rPr>
                <w:rFonts w:hint="default"/>
                <w:sz w:val="24"/>
                <w:szCs w:val="24"/>
                <w:vertAlign w:val="superscript"/>
                <w:lang w:val="en-US" w:eastAsia="zh-CN"/>
              </w:rPr>
              <w:t>2</w:t>
            </w:r>
            <w:r>
              <w:rPr>
                <w:rFonts w:hint="default"/>
                <w:sz w:val="24"/>
                <w:szCs w:val="24"/>
              </w:rPr>
              <w:t>。项目平面布置图见附图</w:t>
            </w:r>
            <w:r>
              <w:rPr>
                <w:rFonts w:hint="default"/>
                <w:sz w:val="24"/>
                <w:szCs w:val="24"/>
                <w:lang w:val="en-US" w:eastAsia="zh-CN"/>
              </w:rPr>
              <w:t>2</w:t>
            </w:r>
            <w:r>
              <w:rPr>
                <w:rFonts w:hint="default"/>
                <w:sz w:val="24"/>
                <w:szCs w:val="24"/>
              </w:rPr>
              <w:t>。建筑内容见表</w:t>
            </w:r>
            <w:r>
              <w:rPr>
                <w:rFonts w:hint="default"/>
                <w:sz w:val="24"/>
                <w:szCs w:val="24"/>
                <w:lang w:val="en-US" w:eastAsia="zh-CN"/>
              </w:rPr>
              <w:t>8</w:t>
            </w:r>
            <w:r>
              <w:rPr>
                <w:rFonts w:hint="default"/>
                <w:sz w:val="24"/>
                <w:szCs w:val="24"/>
              </w:rPr>
              <w:t>。</w:t>
            </w:r>
          </w:p>
          <w:p>
            <w:pPr>
              <w:pStyle w:val="49"/>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sz w:val="21"/>
                <w:szCs w:val="21"/>
              </w:rPr>
            </w:pPr>
            <w:r>
              <w:rPr>
                <w:rFonts w:hint="default"/>
                <w:sz w:val="21"/>
                <w:szCs w:val="21"/>
              </w:rPr>
              <w:t>表</w:t>
            </w:r>
            <w:r>
              <w:rPr>
                <w:rFonts w:hint="eastAsia"/>
                <w:sz w:val="21"/>
                <w:szCs w:val="21"/>
                <w:lang w:val="en-US" w:eastAsia="zh-CN"/>
              </w:rPr>
              <w:t>8</w:t>
            </w:r>
            <w:r>
              <w:rPr>
                <w:rFonts w:hint="default"/>
                <w:sz w:val="21"/>
                <w:szCs w:val="21"/>
              </w:rPr>
              <w:t xml:space="preserve">   </w:t>
            </w:r>
            <w:r>
              <w:rPr>
                <w:rFonts w:hint="eastAsia"/>
                <w:sz w:val="21"/>
                <w:szCs w:val="21"/>
                <w:lang w:val="en-US" w:eastAsia="zh-CN"/>
              </w:rPr>
              <w:t xml:space="preserve">  </w:t>
            </w:r>
            <w:r>
              <w:rPr>
                <w:rFonts w:hint="default"/>
                <w:sz w:val="21"/>
                <w:szCs w:val="21"/>
              </w:rPr>
              <w:t xml:space="preserve">  建筑内容一览表</w:t>
            </w:r>
          </w:p>
          <w:tbl>
            <w:tblPr>
              <w:tblStyle w:val="22"/>
              <w:tblW w:w="7738" w:type="dxa"/>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215"/>
              <w:gridCol w:w="1353"/>
              <w:gridCol w:w="1122"/>
              <w:gridCol w:w="303"/>
              <w:gridCol w:w="1112"/>
              <w:gridCol w:w="1077"/>
              <w:gridCol w:w="1556"/>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69" w:hRule="atLeast"/>
                <w:jc w:val="center"/>
              </w:trPr>
              <w:tc>
                <w:tcPr>
                  <w:tcW w:w="1215" w:type="dxa"/>
                  <w:noWrap w:val="0"/>
                  <w:vAlign w:val="center"/>
                </w:tcPr>
                <w:p>
                  <w:pPr>
                    <w:pStyle w:val="49"/>
                    <w:adjustRightInd w:val="0"/>
                    <w:snapToGrid w:val="0"/>
                    <w:jc w:val="center"/>
                    <w:rPr>
                      <w:rFonts w:hint="default"/>
                      <w:sz w:val="21"/>
                      <w:szCs w:val="21"/>
                      <w:lang w:eastAsia="zh-CN"/>
                    </w:rPr>
                  </w:pPr>
                  <w:r>
                    <w:rPr>
                      <w:rFonts w:hint="default"/>
                      <w:sz w:val="21"/>
                      <w:szCs w:val="21"/>
                      <w:lang w:eastAsia="zh-CN"/>
                    </w:rPr>
                    <w:t>类别</w:t>
                  </w:r>
                </w:p>
              </w:tc>
              <w:tc>
                <w:tcPr>
                  <w:tcW w:w="1353" w:type="dxa"/>
                  <w:noWrap w:val="0"/>
                  <w:vAlign w:val="center"/>
                </w:tcPr>
                <w:p>
                  <w:pPr>
                    <w:pStyle w:val="49"/>
                    <w:adjustRightInd w:val="0"/>
                    <w:snapToGrid w:val="0"/>
                    <w:jc w:val="center"/>
                    <w:rPr>
                      <w:rFonts w:hint="default"/>
                      <w:sz w:val="21"/>
                      <w:szCs w:val="21"/>
                    </w:rPr>
                  </w:pPr>
                  <w:r>
                    <w:rPr>
                      <w:rFonts w:hint="default"/>
                      <w:sz w:val="21"/>
                      <w:szCs w:val="21"/>
                    </w:rPr>
                    <w:t>建筑物名称</w:t>
                  </w:r>
                </w:p>
              </w:tc>
              <w:tc>
                <w:tcPr>
                  <w:tcW w:w="1425" w:type="dxa"/>
                  <w:gridSpan w:val="2"/>
                  <w:noWrap w:val="0"/>
                  <w:vAlign w:val="center"/>
                </w:tcPr>
                <w:p>
                  <w:pPr>
                    <w:pStyle w:val="49"/>
                    <w:adjustRightInd w:val="0"/>
                    <w:snapToGrid w:val="0"/>
                    <w:jc w:val="center"/>
                    <w:rPr>
                      <w:rFonts w:hint="default"/>
                      <w:sz w:val="21"/>
                      <w:szCs w:val="21"/>
                    </w:rPr>
                  </w:pPr>
                  <w:r>
                    <w:rPr>
                      <w:rFonts w:hint="default"/>
                      <w:sz w:val="21"/>
                      <w:szCs w:val="21"/>
                    </w:rPr>
                    <w:t>面积（m</w:t>
                  </w:r>
                  <w:r>
                    <w:rPr>
                      <w:rFonts w:hint="default"/>
                      <w:sz w:val="21"/>
                      <w:szCs w:val="21"/>
                      <w:vertAlign w:val="superscript"/>
                    </w:rPr>
                    <w:t>2</w:t>
                  </w:r>
                  <w:r>
                    <w:rPr>
                      <w:rFonts w:hint="default"/>
                      <w:sz w:val="21"/>
                      <w:szCs w:val="21"/>
                    </w:rPr>
                    <w:t>）</w:t>
                  </w:r>
                </w:p>
              </w:tc>
              <w:tc>
                <w:tcPr>
                  <w:tcW w:w="3745" w:type="dxa"/>
                  <w:gridSpan w:val="3"/>
                  <w:noWrap w:val="0"/>
                  <w:vAlign w:val="center"/>
                </w:tcPr>
                <w:p>
                  <w:pPr>
                    <w:pStyle w:val="49"/>
                    <w:adjustRightInd w:val="0"/>
                    <w:snapToGrid w:val="0"/>
                    <w:jc w:val="center"/>
                    <w:rPr>
                      <w:rFonts w:hint="default"/>
                      <w:sz w:val="21"/>
                      <w:szCs w:val="21"/>
                    </w:rPr>
                  </w:pPr>
                  <w:r>
                    <w:rPr>
                      <w:rFonts w:hint="default"/>
                      <w:sz w:val="21"/>
                      <w:szCs w:val="21"/>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364" w:hRule="atLeast"/>
                <w:jc w:val="center"/>
              </w:trPr>
              <w:tc>
                <w:tcPr>
                  <w:tcW w:w="1215" w:type="dxa"/>
                  <w:vMerge w:val="restart"/>
                  <w:noWrap w:val="0"/>
                  <w:vAlign w:val="center"/>
                </w:tcPr>
                <w:p>
                  <w:pPr>
                    <w:pStyle w:val="49"/>
                    <w:adjustRightInd w:val="0"/>
                    <w:snapToGrid w:val="0"/>
                    <w:jc w:val="center"/>
                    <w:rPr>
                      <w:rFonts w:hint="default"/>
                      <w:sz w:val="21"/>
                      <w:szCs w:val="21"/>
                    </w:rPr>
                  </w:pPr>
                  <w:r>
                    <w:rPr>
                      <w:rFonts w:hint="default"/>
                      <w:sz w:val="21"/>
                      <w:szCs w:val="21"/>
                    </w:rPr>
                    <w:t>主体工程</w:t>
                  </w:r>
                </w:p>
              </w:tc>
              <w:tc>
                <w:tcPr>
                  <w:tcW w:w="1353" w:type="dxa"/>
                  <w:noWrap w:val="0"/>
                  <w:vAlign w:val="center"/>
                </w:tcPr>
                <w:p>
                  <w:pPr>
                    <w:pStyle w:val="49"/>
                    <w:adjustRightInd w:val="0"/>
                    <w:snapToGrid w:val="0"/>
                    <w:jc w:val="center"/>
                    <w:rPr>
                      <w:rFonts w:hint="default"/>
                      <w:sz w:val="21"/>
                      <w:szCs w:val="21"/>
                    </w:rPr>
                  </w:pPr>
                  <w:r>
                    <w:rPr>
                      <w:rFonts w:hint="default"/>
                      <w:sz w:val="21"/>
                      <w:szCs w:val="21"/>
                    </w:rPr>
                    <w:t>生产车间</w:t>
                  </w:r>
                </w:p>
              </w:tc>
              <w:tc>
                <w:tcPr>
                  <w:tcW w:w="1425" w:type="dxa"/>
                  <w:gridSpan w:val="2"/>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1125</w:t>
                  </w:r>
                </w:p>
              </w:tc>
              <w:tc>
                <w:tcPr>
                  <w:tcW w:w="3745" w:type="dxa"/>
                  <w:gridSpan w:val="3"/>
                  <w:noWrap w:val="0"/>
                  <w:vAlign w:val="center"/>
                </w:tcPr>
                <w:p>
                  <w:pPr>
                    <w:pStyle w:val="49"/>
                    <w:tabs>
                      <w:tab w:val="left" w:pos="2030"/>
                      <w:tab w:val="center" w:pos="2745"/>
                    </w:tabs>
                    <w:adjustRightInd w:val="0"/>
                    <w:snapToGrid w:val="0"/>
                    <w:jc w:val="center"/>
                    <w:rPr>
                      <w:rFonts w:hint="default"/>
                      <w:sz w:val="21"/>
                      <w:szCs w:val="21"/>
                      <w:lang w:val="en-US" w:eastAsia="zh-CN"/>
                    </w:rPr>
                  </w:pPr>
                  <w:r>
                    <w:rPr>
                      <w:rFonts w:hint="eastAsia"/>
                      <w:sz w:val="21"/>
                      <w:szCs w:val="21"/>
                      <w:lang w:val="en-US" w:eastAsia="zh-CN"/>
                    </w:rPr>
                    <w:t>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74" w:hRule="atLeast"/>
                <w:jc w:val="center"/>
              </w:trPr>
              <w:tc>
                <w:tcPr>
                  <w:tcW w:w="1215" w:type="dxa"/>
                  <w:vMerge w:val="continue"/>
                  <w:noWrap w:val="0"/>
                  <w:vAlign w:val="center"/>
                </w:tcPr>
                <w:p>
                  <w:pPr>
                    <w:pStyle w:val="49"/>
                    <w:adjustRightInd w:val="0"/>
                    <w:snapToGrid w:val="0"/>
                    <w:ind w:firstLine="420" w:firstLineChars="200"/>
                    <w:jc w:val="center"/>
                    <w:rPr>
                      <w:rFonts w:hint="default"/>
                      <w:sz w:val="21"/>
                      <w:szCs w:val="21"/>
                    </w:rPr>
                  </w:pPr>
                </w:p>
              </w:tc>
              <w:tc>
                <w:tcPr>
                  <w:tcW w:w="1353" w:type="dxa"/>
                  <w:noWrap w:val="0"/>
                  <w:vAlign w:val="center"/>
                </w:tcPr>
                <w:p>
                  <w:pPr>
                    <w:pStyle w:val="49"/>
                    <w:adjustRightInd w:val="0"/>
                    <w:snapToGrid w:val="0"/>
                    <w:jc w:val="center"/>
                    <w:rPr>
                      <w:rFonts w:hint="default"/>
                      <w:sz w:val="21"/>
                      <w:szCs w:val="21"/>
                    </w:rPr>
                  </w:pPr>
                  <w:r>
                    <w:rPr>
                      <w:rFonts w:hint="default"/>
                      <w:sz w:val="21"/>
                      <w:szCs w:val="21"/>
                    </w:rPr>
                    <w:t>仓库</w:t>
                  </w:r>
                </w:p>
              </w:tc>
              <w:tc>
                <w:tcPr>
                  <w:tcW w:w="1425" w:type="dxa"/>
                  <w:gridSpan w:val="2"/>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2400</w:t>
                  </w:r>
                </w:p>
              </w:tc>
              <w:tc>
                <w:tcPr>
                  <w:tcW w:w="3745" w:type="dxa"/>
                  <w:gridSpan w:val="3"/>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08" w:hRule="atLeast"/>
                <w:jc w:val="center"/>
              </w:trPr>
              <w:tc>
                <w:tcPr>
                  <w:tcW w:w="1215" w:type="dxa"/>
                  <w:noWrap w:val="0"/>
                  <w:vAlign w:val="center"/>
                </w:tcPr>
                <w:p>
                  <w:pPr>
                    <w:pStyle w:val="49"/>
                    <w:adjustRightInd w:val="0"/>
                    <w:snapToGrid w:val="0"/>
                    <w:jc w:val="center"/>
                    <w:rPr>
                      <w:rFonts w:hint="default"/>
                      <w:sz w:val="21"/>
                      <w:szCs w:val="21"/>
                    </w:rPr>
                  </w:pPr>
                  <w:r>
                    <w:rPr>
                      <w:rFonts w:hint="default"/>
                      <w:sz w:val="21"/>
                      <w:szCs w:val="21"/>
                    </w:rPr>
                    <w:t>辅助工程</w:t>
                  </w:r>
                </w:p>
              </w:tc>
              <w:tc>
                <w:tcPr>
                  <w:tcW w:w="1353" w:type="dxa"/>
                  <w:noWrap w:val="0"/>
                  <w:vAlign w:val="center"/>
                </w:tcPr>
                <w:p>
                  <w:pPr>
                    <w:pStyle w:val="49"/>
                    <w:adjustRightInd w:val="0"/>
                    <w:snapToGrid w:val="0"/>
                    <w:jc w:val="center"/>
                    <w:rPr>
                      <w:rFonts w:hint="default"/>
                      <w:sz w:val="21"/>
                      <w:szCs w:val="21"/>
                      <w:lang w:eastAsia="zh-CN"/>
                    </w:rPr>
                  </w:pPr>
                  <w:r>
                    <w:rPr>
                      <w:rFonts w:hint="default"/>
                      <w:sz w:val="21"/>
                      <w:szCs w:val="21"/>
                    </w:rPr>
                    <w:t>办公</w:t>
                  </w:r>
                  <w:r>
                    <w:rPr>
                      <w:rFonts w:hint="default"/>
                      <w:sz w:val="21"/>
                      <w:szCs w:val="21"/>
                      <w:lang w:eastAsia="zh-CN"/>
                    </w:rPr>
                    <w:t>室</w:t>
                  </w:r>
                </w:p>
              </w:tc>
              <w:tc>
                <w:tcPr>
                  <w:tcW w:w="1425" w:type="dxa"/>
                  <w:gridSpan w:val="2"/>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40</w:t>
                  </w:r>
                </w:p>
              </w:tc>
              <w:tc>
                <w:tcPr>
                  <w:tcW w:w="3745" w:type="dxa"/>
                  <w:gridSpan w:val="3"/>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84" w:hRule="atLeast"/>
                <w:jc w:val="center"/>
              </w:trPr>
              <w:tc>
                <w:tcPr>
                  <w:tcW w:w="1215" w:type="dxa"/>
                  <w:vMerge w:val="restart"/>
                  <w:noWrap w:val="0"/>
                  <w:vAlign w:val="center"/>
                </w:tcPr>
                <w:p>
                  <w:pPr>
                    <w:pStyle w:val="49"/>
                    <w:adjustRightInd w:val="0"/>
                    <w:snapToGrid w:val="0"/>
                    <w:jc w:val="center"/>
                    <w:rPr>
                      <w:rFonts w:hint="default"/>
                      <w:sz w:val="21"/>
                      <w:szCs w:val="21"/>
                    </w:rPr>
                  </w:pPr>
                  <w:r>
                    <w:rPr>
                      <w:rFonts w:hint="default"/>
                      <w:sz w:val="21"/>
                      <w:szCs w:val="21"/>
                    </w:rPr>
                    <w:t>公用工程</w:t>
                  </w:r>
                </w:p>
              </w:tc>
              <w:tc>
                <w:tcPr>
                  <w:tcW w:w="1353" w:type="dxa"/>
                  <w:noWrap w:val="0"/>
                  <w:vAlign w:val="center"/>
                </w:tcPr>
                <w:p>
                  <w:pPr>
                    <w:pStyle w:val="49"/>
                    <w:adjustRightInd w:val="0"/>
                    <w:snapToGrid w:val="0"/>
                    <w:ind w:firstLine="420" w:firstLineChars="200"/>
                    <w:jc w:val="both"/>
                    <w:rPr>
                      <w:rFonts w:hint="default"/>
                      <w:sz w:val="21"/>
                      <w:szCs w:val="21"/>
                    </w:rPr>
                  </w:pPr>
                  <w:r>
                    <w:rPr>
                      <w:rFonts w:hint="default"/>
                      <w:sz w:val="21"/>
                      <w:szCs w:val="21"/>
                    </w:rPr>
                    <w:t>供水</w:t>
                  </w:r>
                </w:p>
              </w:tc>
              <w:tc>
                <w:tcPr>
                  <w:tcW w:w="5170" w:type="dxa"/>
                  <w:gridSpan w:val="5"/>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合河乡供水</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06" w:hRule="atLeast"/>
                <w:jc w:val="center"/>
              </w:trPr>
              <w:tc>
                <w:tcPr>
                  <w:tcW w:w="1215" w:type="dxa"/>
                  <w:vMerge w:val="continue"/>
                  <w:noWrap w:val="0"/>
                  <w:vAlign w:val="center"/>
                </w:tcPr>
                <w:p>
                  <w:pPr>
                    <w:pStyle w:val="49"/>
                    <w:adjustRightInd w:val="0"/>
                    <w:snapToGrid w:val="0"/>
                    <w:ind w:firstLine="420" w:firstLineChars="200"/>
                    <w:jc w:val="center"/>
                    <w:rPr>
                      <w:rFonts w:hint="default"/>
                      <w:sz w:val="21"/>
                      <w:szCs w:val="21"/>
                    </w:rPr>
                  </w:pPr>
                </w:p>
              </w:tc>
              <w:tc>
                <w:tcPr>
                  <w:tcW w:w="1353" w:type="dxa"/>
                  <w:noWrap w:val="0"/>
                  <w:vAlign w:val="center"/>
                </w:tcPr>
                <w:p>
                  <w:pPr>
                    <w:pStyle w:val="49"/>
                    <w:adjustRightInd w:val="0"/>
                    <w:snapToGrid w:val="0"/>
                    <w:jc w:val="center"/>
                    <w:rPr>
                      <w:rFonts w:hint="default"/>
                      <w:sz w:val="21"/>
                      <w:szCs w:val="21"/>
                    </w:rPr>
                  </w:pPr>
                  <w:r>
                    <w:rPr>
                      <w:rFonts w:hint="default"/>
                      <w:sz w:val="21"/>
                      <w:szCs w:val="21"/>
                    </w:rPr>
                    <w:t>供电</w:t>
                  </w:r>
                </w:p>
              </w:tc>
              <w:tc>
                <w:tcPr>
                  <w:tcW w:w="5170" w:type="dxa"/>
                  <w:gridSpan w:val="5"/>
                  <w:noWrap w:val="0"/>
                  <w:vAlign w:val="center"/>
                </w:tcPr>
                <w:p>
                  <w:pPr>
                    <w:pStyle w:val="49"/>
                    <w:adjustRightInd w:val="0"/>
                    <w:snapToGrid w:val="0"/>
                    <w:jc w:val="center"/>
                    <w:rPr>
                      <w:rFonts w:hint="default"/>
                      <w:sz w:val="21"/>
                      <w:szCs w:val="21"/>
                    </w:rPr>
                  </w:pPr>
                  <w:r>
                    <w:rPr>
                      <w:rFonts w:hint="eastAsia"/>
                      <w:sz w:val="21"/>
                      <w:szCs w:val="21"/>
                      <w:lang w:val="en-US" w:eastAsia="zh-CN"/>
                    </w:rPr>
                    <w:t>合河乡</w:t>
                  </w:r>
                  <w:r>
                    <w:rPr>
                      <w:rFonts w:hint="default"/>
                      <w:sz w:val="21"/>
                      <w:szCs w:val="21"/>
                    </w:rPr>
                    <w:t>供电</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806" w:hRule="atLeast"/>
                <w:jc w:val="center"/>
              </w:trPr>
              <w:tc>
                <w:tcPr>
                  <w:tcW w:w="1215" w:type="dxa"/>
                  <w:vMerge w:val="continue"/>
                  <w:noWrap w:val="0"/>
                  <w:vAlign w:val="center"/>
                </w:tcPr>
                <w:p>
                  <w:pPr>
                    <w:pStyle w:val="49"/>
                    <w:adjustRightInd w:val="0"/>
                    <w:snapToGrid w:val="0"/>
                    <w:ind w:firstLine="420" w:firstLineChars="200"/>
                    <w:jc w:val="center"/>
                    <w:rPr>
                      <w:rFonts w:hint="default"/>
                      <w:sz w:val="21"/>
                      <w:szCs w:val="21"/>
                    </w:rPr>
                  </w:pPr>
                </w:p>
              </w:tc>
              <w:tc>
                <w:tcPr>
                  <w:tcW w:w="1353" w:type="dxa"/>
                  <w:noWrap w:val="0"/>
                  <w:vAlign w:val="center"/>
                </w:tcPr>
                <w:p>
                  <w:pPr>
                    <w:pStyle w:val="49"/>
                    <w:adjustRightInd w:val="0"/>
                    <w:snapToGrid w:val="0"/>
                    <w:jc w:val="center"/>
                    <w:rPr>
                      <w:rFonts w:hint="default"/>
                      <w:sz w:val="21"/>
                      <w:szCs w:val="21"/>
                    </w:rPr>
                  </w:pPr>
                  <w:r>
                    <w:rPr>
                      <w:rFonts w:hint="default"/>
                      <w:sz w:val="21"/>
                      <w:szCs w:val="21"/>
                    </w:rPr>
                    <w:t>排水</w:t>
                  </w:r>
                </w:p>
              </w:tc>
              <w:tc>
                <w:tcPr>
                  <w:tcW w:w="5170" w:type="dxa"/>
                  <w:gridSpan w:val="5"/>
                  <w:noWrap w:val="0"/>
                  <w:vAlign w:val="center"/>
                </w:tcPr>
                <w:p>
                  <w:pPr>
                    <w:pStyle w:val="49"/>
                    <w:adjustRightInd w:val="0"/>
                    <w:snapToGrid w:val="0"/>
                    <w:jc w:val="center"/>
                    <w:rPr>
                      <w:rFonts w:hint="default"/>
                      <w:sz w:val="21"/>
                      <w:szCs w:val="21"/>
                      <w:lang w:val="en-US" w:eastAsia="zh-CN"/>
                    </w:rPr>
                  </w:pPr>
                  <w:r>
                    <w:rPr>
                      <w:rFonts w:hint="default"/>
                      <w:sz w:val="21"/>
                      <w:szCs w:val="21"/>
                      <w:lang w:eastAsia="zh-CN"/>
                    </w:rPr>
                    <w:t>本项目雨污分流，</w:t>
                  </w:r>
                  <w:r>
                    <w:rPr>
                      <w:rFonts w:hint="default"/>
                      <w:sz w:val="21"/>
                      <w:szCs w:val="21"/>
                      <w:lang w:val="en-US" w:eastAsia="zh-CN"/>
                    </w:rPr>
                    <w:t>无生产废水产生，本项目不新增员工，无新增生活污水产生</w:t>
                  </w:r>
                  <w:r>
                    <w:rPr>
                      <w:rFonts w:hint="default"/>
                      <w:sz w:val="21"/>
                      <w:szCs w:val="21"/>
                      <w:lang w:eastAsia="zh-CN"/>
                    </w:rPr>
                    <w:t>，</w:t>
                  </w:r>
                  <w:r>
                    <w:rPr>
                      <w:rFonts w:hint="default"/>
                      <w:sz w:val="21"/>
                      <w:szCs w:val="21"/>
                      <w:lang w:val="en-US" w:eastAsia="zh-CN"/>
                    </w:rPr>
                    <w:t>员工生活废水经化粪池处理后定期清运</w:t>
                  </w:r>
                  <w:r>
                    <w:rPr>
                      <w:rFonts w:hint="eastAsia"/>
                      <w:sz w:val="21"/>
                      <w:szCs w:val="21"/>
                      <w:lang w:val="en-US" w:eastAsia="zh-CN"/>
                    </w:rPr>
                    <w:t>冷却水循环使用不外排。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1566" w:hRule="atLeast"/>
                <w:jc w:val="center"/>
              </w:trPr>
              <w:tc>
                <w:tcPr>
                  <w:tcW w:w="1215" w:type="dxa"/>
                  <w:vMerge w:val="restart"/>
                  <w:noWrap w:val="0"/>
                  <w:vAlign w:val="center"/>
                </w:tcPr>
                <w:p>
                  <w:pPr>
                    <w:pStyle w:val="49"/>
                    <w:adjustRightInd w:val="0"/>
                    <w:snapToGrid w:val="0"/>
                    <w:jc w:val="center"/>
                    <w:rPr>
                      <w:rFonts w:hint="default"/>
                      <w:sz w:val="21"/>
                      <w:szCs w:val="21"/>
                      <w:lang w:eastAsia="zh-CN"/>
                    </w:rPr>
                  </w:pPr>
                  <w:r>
                    <w:rPr>
                      <w:rFonts w:hint="default"/>
                      <w:sz w:val="21"/>
                      <w:szCs w:val="21"/>
                      <w:lang w:eastAsia="zh-CN"/>
                    </w:rPr>
                    <w:t>环保工程</w:t>
                  </w:r>
                </w:p>
              </w:tc>
              <w:tc>
                <w:tcPr>
                  <w:tcW w:w="1353" w:type="dxa"/>
                  <w:noWrap w:val="0"/>
                  <w:vAlign w:val="center"/>
                </w:tcPr>
                <w:p>
                  <w:pPr>
                    <w:pStyle w:val="49"/>
                    <w:adjustRightInd w:val="0"/>
                    <w:snapToGrid w:val="0"/>
                    <w:jc w:val="center"/>
                    <w:rPr>
                      <w:rFonts w:hint="default"/>
                      <w:sz w:val="21"/>
                      <w:szCs w:val="21"/>
                      <w:lang w:eastAsia="zh-CN"/>
                    </w:rPr>
                  </w:pPr>
                  <w:r>
                    <w:rPr>
                      <w:rFonts w:hint="default"/>
                      <w:sz w:val="21"/>
                      <w:szCs w:val="21"/>
                      <w:lang w:eastAsia="zh-CN"/>
                    </w:rPr>
                    <w:t>废气</w:t>
                  </w:r>
                </w:p>
              </w:tc>
              <w:tc>
                <w:tcPr>
                  <w:tcW w:w="5170" w:type="dxa"/>
                  <w:gridSpan w:val="5"/>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default"/>
                      <w:sz w:val="21"/>
                      <w:szCs w:val="21"/>
                      <w:lang w:val="en-US" w:eastAsia="zh-CN"/>
                    </w:rPr>
                    <w:t>在生产过程中，</w:t>
                  </w:r>
                  <w:r>
                    <w:rPr>
                      <w:rFonts w:hint="eastAsia"/>
                      <w:sz w:val="21"/>
                      <w:szCs w:val="21"/>
                      <w:lang w:eastAsia="zh-CN"/>
                    </w:rPr>
                    <w:t>产生的废边角料和残次品收集后经破碎机破碎后回用生产，产生的颗粒物</w:t>
                  </w:r>
                  <w:r>
                    <w:rPr>
                      <w:rFonts w:hint="default"/>
                      <w:sz w:val="21"/>
                      <w:szCs w:val="21"/>
                      <w:lang w:val="en-US" w:eastAsia="zh-CN"/>
                    </w:rPr>
                    <w:t>经集气罩收集后，经袋式除尘器处理后</w:t>
                  </w:r>
                  <w:r>
                    <w:rPr>
                      <w:rFonts w:hint="default"/>
                      <w:sz w:val="21"/>
                      <w:szCs w:val="21"/>
                      <w:lang w:eastAsia="zh-CN"/>
                    </w:rPr>
                    <w:t>经</w:t>
                  </w:r>
                  <w:r>
                    <w:rPr>
                      <w:rFonts w:hint="default"/>
                      <w:sz w:val="21"/>
                      <w:szCs w:val="21"/>
                      <w:lang w:val="en-US" w:eastAsia="zh-CN"/>
                    </w:rPr>
                    <w:t>1</w:t>
                  </w:r>
                  <w:r>
                    <w:rPr>
                      <w:rFonts w:hint="default"/>
                      <w:sz w:val="21"/>
                      <w:szCs w:val="21"/>
                      <w:lang w:eastAsia="zh-CN"/>
                    </w:rPr>
                    <w:t>根</w:t>
                  </w:r>
                  <w:r>
                    <w:rPr>
                      <w:rFonts w:hint="default"/>
                      <w:sz w:val="21"/>
                      <w:szCs w:val="21"/>
                      <w:lang w:val="en-US" w:eastAsia="zh-CN"/>
                    </w:rPr>
                    <w:t>15m高排气筒排放，</w:t>
                  </w:r>
                  <w:r>
                    <w:rPr>
                      <w:rFonts w:hint="eastAsia"/>
                      <w:sz w:val="21"/>
                      <w:szCs w:val="21"/>
                      <w:lang w:val="en-US" w:eastAsia="zh-CN"/>
                    </w:rPr>
                    <w:t>注塑、挤塑、吹塑</w:t>
                  </w:r>
                  <w:r>
                    <w:rPr>
                      <w:rFonts w:hint="default"/>
                      <w:sz w:val="21"/>
                      <w:szCs w:val="21"/>
                      <w:lang w:val="en-US" w:eastAsia="zh-CN"/>
                    </w:rPr>
                    <w:t>过程产生的有机废气</w:t>
                  </w:r>
                  <w:r>
                    <w:rPr>
                      <w:rFonts w:hint="default"/>
                      <w:sz w:val="21"/>
                      <w:szCs w:val="21"/>
                      <w:lang w:eastAsia="zh-CN"/>
                    </w:rPr>
                    <w:t>由</w:t>
                  </w:r>
                  <w:r>
                    <w:rPr>
                      <w:rFonts w:hint="default"/>
                      <w:sz w:val="21"/>
                      <w:szCs w:val="21"/>
                      <w:lang w:val="en-US" w:eastAsia="zh-CN"/>
                    </w:rPr>
                    <w:t>集气罩+</w:t>
                  </w:r>
                  <w:r>
                    <w:rPr>
                      <w:rFonts w:hint="eastAsia"/>
                      <w:sz w:val="21"/>
                      <w:szCs w:val="21"/>
                      <w:lang w:val="en-US" w:eastAsia="zh-CN"/>
                    </w:rPr>
                    <w:t>活性炭吸附-脱附+催化燃烧装置</w:t>
                  </w:r>
                  <w:r>
                    <w:rPr>
                      <w:rFonts w:hint="default"/>
                      <w:sz w:val="21"/>
                      <w:szCs w:val="21"/>
                      <w:lang w:val="en-US" w:eastAsia="zh-CN"/>
                    </w:rPr>
                    <w:t>处理后</w:t>
                  </w:r>
                  <w:r>
                    <w:rPr>
                      <w:rFonts w:hint="default"/>
                      <w:sz w:val="21"/>
                      <w:szCs w:val="21"/>
                      <w:lang w:eastAsia="zh-CN"/>
                    </w:rPr>
                    <w:t>经</w:t>
                  </w:r>
                  <w:r>
                    <w:rPr>
                      <w:rFonts w:hint="default"/>
                      <w:sz w:val="21"/>
                      <w:szCs w:val="21"/>
                      <w:lang w:val="en-US" w:eastAsia="zh-CN"/>
                    </w:rPr>
                    <w:t>1</w:t>
                  </w:r>
                  <w:r>
                    <w:rPr>
                      <w:rFonts w:hint="default"/>
                      <w:sz w:val="21"/>
                      <w:szCs w:val="21"/>
                      <w:lang w:eastAsia="zh-CN"/>
                    </w:rPr>
                    <w:t>根</w:t>
                  </w:r>
                  <w:r>
                    <w:rPr>
                      <w:rFonts w:hint="default"/>
                      <w:sz w:val="21"/>
                      <w:szCs w:val="21"/>
                      <w:lang w:val="en-US" w:eastAsia="zh-CN"/>
                    </w:rPr>
                    <w:t>15m高排气筒排放</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834" w:hRule="atLeast"/>
                <w:jc w:val="center"/>
              </w:trPr>
              <w:tc>
                <w:tcPr>
                  <w:tcW w:w="1215" w:type="dxa"/>
                  <w:vMerge w:val="continue"/>
                  <w:noWrap w:val="0"/>
                  <w:vAlign w:val="center"/>
                </w:tcPr>
                <w:p>
                  <w:pPr>
                    <w:pStyle w:val="49"/>
                    <w:adjustRightInd w:val="0"/>
                    <w:snapToGrid w:val="0"/>
                    <w:jc w:val="center"/>
                    <w:rPr>
                      <w:rFonts w:hint="default"/>
                      <w:sz w:val="21"/>
                      <w:szCs w:val="21"/>
                      <w:lang w:eastAsia="zh-CN"/>
                    </w:rPr>
                  </w:pPr>
                </w:p>
              </w:tc>
              <w:tc>
                <w:tcPr>
                  <w:tcW w:w="1353" w:type="dxa"/>
                  <w:noWrap w:val="0"/>
                  <w:vAlign w:val="center"/>
                </w:tcPr>
                <w:p>
                  <w:pPr>
                    <w:pStyle w:val="49"/>
                    <w:adjustRightInd w:val="0"/>
                    <w:snapToGrid w:val="0"/>
                    <w:jc w:val="center"/>
                    <w:rPr>
                      <w:rFonts w:hint="default"/>
                      <w:sz w:val="21"/>
                      <w:szCs w:val="21"/>
                      <w:lang w:eastAsia="zh-CN"/>
                    </w:rPr>
                  </w:pPr>
                  <w:r>
                    <w:rPr>
                      <w:rFonts w:hint="default"/>
                      <w:sz w:val="21"/>
                      <w:szCs w:val="21"/>
                      <w:lang w:eastAsia="zh-CN"/>
                    </w:rPr>
                    <w:t>废水</w:t>
                  </w:r>
                </w:p>
              </w:tc>
              <w:tc>
                <w:tcPr>
                  <w:tcW w:w="5170" w:type="dxa"/>
                  <w:gridSpan w:val="5"/>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default"/>
                      <w:sz w:val="21"/>
                      <w:szCs w:val="21"/>
                      <w:lang w:eastAsia="zh-CN"/>
                    </w:rPr>
                    <w:t>本项目雨污分流，</w:t>
                  </w:r>
                  <w:r>
                    <w:rPr>
                      <w:rFonts w:hint="default"/>
                      <w:sz w:val="21"/>
                      <w:szCs w:val="21"/>
                      <w:lang w:val="en-US" w:eastAsia="zh-CN"/>
                    </w:rPr>
                    <w:t>注塑</w:t>
                  </w:r>
                  <w:r>
                    <w:rPr>
                      <w:rFonts w:hint="eastAsia"/>
                      <w:sz w:val="21"/>
                      <w:szCs w:val="21"/>
                      <w:lang w:eastAsia="zh-CN"/>
                    </w:rPr>
                    <w:t>、</w:t>
                  </w:r>
                  <w:r>
                    <w:rPr>
                      <w:rFonts w:hint="eastAsia"/>
                      <w:sz w:val="21"/>
                      <w:szCs w:val="21"/>
                      <w:lang w:val="en-US" w:eastAsia="zh-CN"/>
                    </w:rPr>
                    <w:t>吹塑</w:t>
                  </w:r>
                  <w:r>
                    <w:rPr>
                      <w:rFonts w:hint="default"/>
                      <w:sz w:val="21"/>
                      <w:szCs w:val="21"/>
                      <w:lang w:val="en-US" w:eastAsia="zh-CN"/>
                    </w:rPr>
                    <w:t>过程</w:t>
                  </w:r>
                  <w:r>
                    <w:rPr>
                      <w:rFonts w:hint="default"/>
                      <w:sz w:val="21"/>
                      <w:szCs w:val="21"/>
                      <w:lang w:eastAsia="zh-CN"/>
                    </w:rPr>
                    <w:t>冷却水循环使用，不外排；</w:t>
                  </w:r>
                  <w:r>
                    <w:rPr>
                      <w:rFonts w:hint="default"/>
                      <w:sz w:val="21"/>
                      <w:szCs w:val="21"/>
                      <w:lang w:val="en-US" w:eastAsia="zh-CN"/>
                    </w:rPr>
                    <w:t>本项目不新增员工，无新增生活污水产生。</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08" w:hRule="atLeast"/>
                <w:jc w:val="center"/>
              </w:trPr>
              <w:tc>
                <w:tcPr>
                  <w:tcW w:w="1215" w:type="dxa"/>
                  <w:vMerge w:val="continue"/>
                  <w:noWrap w:val="0"/>
                  <w:vAlign w:val="center"/>
                </w:tcPr>
                <w:p>
                  <w:pPr>
                    <w:pStyle w:val="49"/>
                    <w:adjustRightInd w:val="0"/>
                    <w:snapToGrid w:val="0"/>
                    <w:jc w:val="center"/>
                    <w:rPr>
                      <w:rFonts w:hint="default"/>
                      <w:sz w:val="21"/>
                      <w:szCs w:val="21"/>
                      <w:lang w:eastAsia="zh-CN"/>
                    </w:rPr>
                  </w:pPr>
                </w:p>
              </w:tc>
              <w:tc>
                <w:tcPr>
                  <w:tcW w:w="1353" w:type="dxa"/>
                  <w:noWrap w:val="0"/>
                  <w:vAlign w:val="center"/>
                </w:tcPr>
                <w:p>
                  <w:pPr>
                    <w:pStyle w:val="49"/>
                    <w:adjustRightInd w:val="0"/>
                    <w:snapToGrid w:val="0"/>
                    <w:jc w:val="center"/>
                    <w:rPr>
                      <w:rFonts w:hint="default"/>
                      <w:sz w:val="21"/>
                      <w:szCs w:val="21"/>
                      <w:lang w:eastAsia="zh-CN"/>
                    </w:rPr>
                  </w:pPr>
                  <w:r>
                    <w:rPr>
                      <w:rFonts w:hint="default"/>
                      <w:sz w:val="21"/>
                      <w:szCs w:val="21"/>
                      <w:lang w:eastAsia="zh-CN"/>
                    </w:rPr>
                    <w:t>噪声</w:t>
                  </w:r>
                </w:p>
              </w:tc>
              <w:tc>
                <w:tcPr>
                  <w:tcW w:w="5170" w:type="dxa"/>
                  <w:gridSpan w:val="5"/>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eastAsia="zh-CN"/>
                    </w:rPr>
                  </w:pPr>
                  <w:r>
                    <w:rPr>
                      <w:rFonts w:hint="default"/>
                      <w:sz w:val="21"/>
                      <w:szCs w:val="21"/>
                      <w:lang w:eastAsia="zh-CN"/>
                    </w:rPr>
                    <w:t>采取基础减震、距离衰减、厂房隔声等降噪措施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49" w:hRule="atLeast"/>
                <w:jc w:val="center"/>
              </w:trPr>
              <w:tc>
                <w:tcPr>
                  <w:tcW w:w="1215" w:type="dxa"/>
                  <w:vMerge w:val="continue"/>
                  <w:noWrap w:val="0"/>
                  <w:vAlign w:val="center"/>
                </w:tcPr>
                <w:p>
                  <w:pPr>
                    <w:pStyle w:val="49"/>
                    <w:adjustRightInd w:val="0"/>
                    <w:snapToGrid w:val="0"/>
                    <w:jc w:val="center"/>
                    <w:rPr>
                      <w:rFonts w:hint="default"/>
                      <w:sz w:val="21"/>
                      <w:szCs w:val="21"/>
                      <w:lang w:eastAsia="zh-CN"/>
                    </w:rPr>
                  </w:pPr>
                </w:p>
              </w:tc>
              <w:tc>
                <w:tcPr>
                  <w:tcW w:w="1353" w:type="dxa"/>
                  <w:vMerge w:val="restart"/>
                  <w:noWrap w:val="0"/>
                  <w:vAlign w:val="center"/>
                </w:tcPr>
                <w:p>
                  <w:pPr>
                    <w:pStyle w:val="49"/>
                    <w:adjustRightInd w:val="0"/>
                    <w:snapToGrid w:val="0"/>
                    <w:jc w:val="center"/>
                    <w:rPr>
                      <w:rFonts w:hint="default"/>
                      <w:sz w:val="21"/>
                      <w:szCs w:val="21"/>
                      <w:lang w:eastAsia="zh-CN"/>
                    </w:rPr>
                  </w:pPr>
                  <w:r>
                    <w:rPr>
                      <w:rFonts w:hint="default"/>
                      <w:sz w:val="21"/>
                      <w:szCs w:val="21"/>
                      <w:lang w:eastAsia="zh-CN"/>
                    </w:rPr>
                    <w:t>固废</w:t>
                  </w:r>
                </w:p>
              </w:tc>
              <w:tc>
                <w:tcPr>
                  <w:tcW w:w="1122" w:type="dxa"/>
                  <w:vMerge w:val="restart"/>
                  <w:tcBorders>
                    <w:right w:val="single" w:color="auto" w:sz="4" w:space="0"/>
                  </w:tcBorders>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一般固废</w:t>
                  </w:r>
                </w:p>
              </w:tc>
              <w:tc>
                <w:tcPr>
                  <w:tcW w:w="1415" w:type="dxa"/>
                  <w:gridSpan w:val="2"/>
                  <w:tcBorders>
                    <w:bottom w:val="single" w:color="auto" w:sz="4" w:space="0"/>
                    <w:right w:val="single" w:color="auto" w:sz="4" w:space="0"/>
                  </w:tcBorders>
                  <w:noWrap w:val="0"/>
                  <w:vAlign w:val="center"/>
                </w:tcPr>
                <w:p>
                  <w:pPr>
                    <w:pStyle w:val="49"/>
                    <w:adjustRightInd w:val="0"/>
                    <w:snapToGrid w:val="0"/>
                    <w:jc w:val="center"/>
                    <w:rPr>
                      <w:rFonts w:hint="eastAsia"/>
                      <w:sz w:val="21"/>
                      <w:szCs w:val="21"/>
                      <w:lang w:val="en-US" w:eastAsia="zh-CN"/>
                    </w:rPr>
                  </w:pPr>
                  <w:r>
                    <w:rPr>
                      <w:rFonts w:hint="eastAsia"/>
                      <w:sz w:val="21"/>
                      <w:szCs w:val="21"/>
                      <w:lang w:val="en-US" w:eastAsia="zh-CN"/>
                    </w:rPr>
                    <w:t>废边角料、</w:t>
                  </w:r>
                  <w:r>
                    <w:rPr>
                      <w:rFonts w:hint="default"/>
                      <w:sz w:val="21"/>
                      <w:szCs w:val="21"/>
                      <w:lang w:eastAsia="zh-CN"/>
                    </w:rPr>
                    <w:t>不合格产品</w:t>
                  </w:r>
                </w:p>
              </w:tc>
              <w:tc>
                <w:tcPr>
                  <w:tcW w:w="1077" w:type="dxa"/>
                  <w:vMerge w:val="restart"/>
                  <w:tcBorders>
                    <w:left w:val="single" w:color="auto" w:sz="4" w:space="0"/>
                    <w:right w:val="single" w:color="auto" w:sz="4" w:space="0"/>
                  </w:tcBorders>
                  <w:noWrap w:val="0"/>
                  <w:vAlign w:val="center"/>
                </w:tcPr>
                <w:p>
                  <w:pPr>
                    <w:pStyle w:val="49"/>
                    <w:adjustRightInd w:val="0"/>
                    <w:snapToGrid w:val="0"/>
                    <w:jc w:val="center"/>
                    <w:rPr>
                      <w:rFonts w:hint="default"/>
                      <w:sz w:val="21"/>
                      <w:szCs w:val="21"/>
                      <w:lang w:eastAsia="zh-CN"/>
                    </w:rPr>
                  </w:pPr>
                  <w:r>
                    <w:rPr>
                      <w:rFonts w:hint="default"/>
                      <w:sz w:val="21"/>
                      <w:szCs w:val="21"/>
                      <w:lang w:eastAsia="zh-CN"/>
                    </w:rPr>
                    <w:t>建设</w:t>
                  </w:r>
                  <w:r>
                    <w:rPr>
                      <w:rFonts w:hint="eastAsia"/>
                      <w:sz w:val="21"/>
                      <w:szCs w:val="21"/>
                      <w:lang w:val="en-US" w:eastAsia="zh-CN"/>
                    </w:rPr>
                    <w:t>一般</w:t>
                  </w:r>
                  <w:r>
                    <w:rPr>
                      <w:rFonts w:hint="default"/>
                      <w:sz w:val="21"/>
                      <w:szCs w:val="21"/>
                      <w:lang w:eastAsia="zh-CN"/>
                    </w:rPr>
                    <w:t>固废暂存间（不</w:t>
                  </w:r>
                  <w:r>
                    <w:rPr>
                      <w:rFonts w:hint="eastAsia"/>
                      <w:sz w:val="21"/>
                      <w:szCs w:val="21"/>
                      <w:lang w:val="en-US" w:eastAsia="zh-CN"/>
                    </w:rPr>
                    <w:t>小</w:t>
                  </w:r>
                  <w:r>
                    <w:rPr>
                      <w:rFonts w:hint="default"/>
                      <w:sz w:val="21"/>
                      <w:szCs w:val="21"/>
                      <w:lang w:eastAsia="zh-CN"/>
                    </w:rPr>
                    <w:t>于</w:t>
                  </w:r>
                  <w:r>
                    <w:rPr>
                      <w:rFonts w:hint="eastAsia"/>
                      <w:sz w:val="21"/>
                      <w:szCs w:val="21"/>
                      <w:lang w:val="en-US" w:eastAsia="zh-CN"/>
                    </w:rPr>
                    <w:t>10</w:t>
                  </w:r>
                  <w:r>
                    <w:rPr>
                      <w:rFonts w:hint="default"/>
                      <w:sz w:val="21"/>
                      <w:szCs w:val="21"/>
                      <w:lang w:val="en-US" w:eastAsia="zh-CN"/>
                    </w:rPr>
                    <w:t>m</w:t>
                  </w:r>
                  <w:r>
                    <w:rPr>
                      <w:rFonts w:hint="default"/>
                      <w:sz w:val="21"/>
                      <w:szCs w:val="21"/>
                      <w:vertAlign w:val="superscript"/>
                      <w:lang w:val="en-US" w:eastAsia="zh-CN"/>
                    </w:rPr>
                    <w:t>2</w:t>
                  </w:r>
                  <w:r>
                    <w:rPr>
                      <w:rFonts w:hint="default"/>
                      <w:sz w:val="21"/>
                      <w:szCs w:val="21"/>
                      <w:lang w:eastAsia="zh-CN"/>
                    </w:rPr>
                    <w:t>）</w:t>
                  </w:r>
                </w:p>
              </w:tc>
              <w:tc>
                <w:tcPr>
                  <w:tcW w:w="1556" w:type="dxa"/>
                  <w:tcBorders>
                    <w:left w:val="single" w:color="auto" w:sz="4" w:space="0"/>
                  </w:tcBorders>
                  <w:noWrap w:val="0"/>
                  <w:vAlign w:val="center"/>
                </w:tcPr>
                <w:p>
                  <w:pPr>
                    <w:pStyle w:val="49"/>
                    <w:adjustRightInd w:val="0"/>
                    <w:snapToGrid w:val="0"/>
                    <w:jc w:val="center"/>
                    <w:rPr>
                      <w:rFonts w:hint="default"/>
                      <w:sz w:val="21"/>
                      <w:szCs w:val="21"/>
                      <w:lang w:eastAsia="zh-CN"/>
                    </w:rPr>
                  </w:pPr>
                  <w:r>
                    <w:rPr>
                      <w:rFonts w:hint="default"/>
                      <w:sz w:val="21"/>
                      <w:szCs w:val="21"/>
                      <w:lang w:eastAsia="zh-CN"/>
                    </w:rPr>
                    <w:t>回用于生产</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49" w:hRule="atLeast"/>
                <w:jc w:val="center"/>
              </w:trPr>
              <w:tc>
                <w:tcPr>
                  <w:tcW w:w="1215" w:type="dxa"/>
                  <w:vMerge w:val="continue"/>
                  <w:noWrap w:val="0"/>
                  <w:vAlign w:val="center"/>
                </w:tcPr>
                <w:p>
                  <w:pPr>
                    <w:pStyle w:val="49"/>
                    <w:adjustRightInd w:val="0"/>
                    <w:snapToGrid w:val="0"/>
                    <w:jc w:val="center"/>
                    <w:rPr>
                      <w:rFonts w:hint="default"/>
                      <w:sz w:val="21"/>
                      <w:szCs w:val="21"/>
                      <w:lang w:eastAsia="zh-CN"/>
                    </w:rPr>
                  </w:pPr>
                </w:p>
              </w:tc>
              <w:tc>
                <w:tcPr>
                  <w:tcW w:w="1353" w:type="dxa"/>
                  <w:vMerge w:val="continue"/>
                  <w:noWrap w:val="0"/>
                  <w:vAlign w:val="center"/>
                </w:tcPr>
                <w:p>
                  <w:pPr>
                    <w:pStyle w:val="49"/>
                    <w:adjustRightInd w:val="0"/>
                    <w:snapToGrid w:val="0"/>
                    <w:jc w:val="center"/>
                    <w:rPr>
                      <w:rFonts w:hint="default"/>
                      <w:sz w:val="21"/>
                      <w:szCs w:val="21"/>
                      <w:lang w:eastAsia="zh-CN"/>
                    </w:rPr>
                  </w:pPr>
                </w:p>
              </w:tc>
              <w:tc>
                <w:tcPr>
                  <w:tcW w:w="1122" w:type="dxa"/>
                  <w:vMerge w:val="continue"/>
                  <w:tcBorders>
                    <w:right w:val="single" w:color="auto" w:sz="4" w:space="0"/>
                  </w:tcBorders>
                  <w:noWrap w:val="0"/>
                  <w:vAlign w:val="center"/>
                </w:tcPr>
                <w:p>
                  <w:pPr>
                    <w:pStyle w:val="49"/>
                    <w:adjustRightInd w:val="0"/>
                    <w:snapToGrid w:val="0"/>
                    <w:jc w:val="center"/>
                    <w:rPr>
                      <w:rFonts w:hint="default"/>
                      <w:sz w:val="21"/>
                      <w:szCs w:val="21"/>
                      <w:lang w:eastAsia="zh-CN"/>
                    </w:rPr>
                  </w:pPr>
                </w:p>
              </w:tc>
              <w:tc>
                <w:tcPr>
                  <w:tcW w:w="1415" w:type="dxa"/>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sz w:val="21"/>
                      <w:szCs w:val="21"/>
                      <w:lang w:eastAsia="zh-CN"/>
                    </w:rPr>
                  </w:pPr>
                  <w:r>
                    <w:rPr>
                      <w:rFonts w:hint="default"/>
                      <w:sz w:val="21"/>
                      <w:szCs w:val="21"/>
                      <w:lang w:eastAsia="zh-CN"/>
                    </w:rPr>
                    <w:t>袋式除尘器收集的粉尘</w:t>
                  </w:r>
                </w:p>
              </w:tc>
              <w:tc>
                <w:tcPr>
                  <w:tcW w:w="1077" w:type="dxa"/>
                  <w:vMerge w:val="continue"/>
                  <w:tcBorders>
                    <w:left w:val="single" w:color="auto" w:sz="4" w:space="0"/>
                    <w:right w:val="single" w:color="auto" w:sz="4" w:space="0"/>
                  </w:tcBorders>
                  <w:noWrap w:val="0"/>
                  <w:vAlign w:val="center"/>
                </w:tcPr>
                <w:p>
                  <w:pPr>
                    <w:pStyle w:val="49"/>
                    <w:adjustRightInd w:val="0"/>
                    <w:snapToGrid w:val="0"/>
                    <w:ind w:firstLine="420" w:firstLineChars="200"/>
                    <w:jc w:val="center"/>
                    <w:rPr>
                      <w:rFonts w:hint="default"/>
                      <w:sz w:val="21"/>
                      <w:szCs w:val="21"/>
                      <w:lang w:eastAsia="zh-CN"/>
                    </w:rPr>
                  </w:pPr>
                </w:p>
              </w:tc>
              <w:tc>
                <w:tcPr>
                  <w:tcW w:w="1556" w:type="dxa"/>
                  <w:tcBorders>
                    <w:left w:val="single" w:color="auto" w:sz="4" w:space="0"/>
                  </w:tcBorders>
                  <w:noWrap w:val="0"/>
                  <w:vAlign w:val="center"/>
                </w:tcPr>
                <w:p>
                  <w:pPr>
                    <w:pStyle w:val="49"/>
                    <w:adjustRightInd w:val="0"/>
                    <w:snapToGrid w:val="0"/>
                    <w:jc w:val="center"/>
                    <w:rPr>
                      <w:rFonts w:hint="default"/>
                      <w:sz w:val="21"/>
                      <w:szCs w:val="21"/>
                      <w:lang w:eastAsia="zh-CN"/>
                    </w:rPr>
                  </w:pPr>
                  <w:r>
                    <w:rPr>
                      <w:rFonts w:hint="eastAsia" w:cs="Times New Roman"/>
                      <w:sz w:val="21"/>
                      <w:szCs w:val="21"/>
                      <w:lang w:val="en-US" w:eastAsia="zh-CN"/>
                    </w:rPr>
                    <w:t>收集后出售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2" w:hRule="atLeast"/>
                <w:jc w:val="center"/>
              </w:trPr>
              <w:tc>
                <w:tcPr>
                  <w:tcW w:w="1215" w:type="dxa"/>
                  <w:vMerge w:val="continue"/>
                  <w:noWrap w:val="0"/>
                  <w:vAlign w:val="center"/>
                </w:tcPr>
                <w:p>
                  <w:pPr>
                    <w:pStyle w:val="49"/>
                    <w:adjustRightInd w:val="0"/>
                    <w:snapToGrid w:val="0"/>
                    <w:jc w:val="center"/>
                    <w:rPr>
                      <w:rFonts w:hint="default"/>
                      <w:sz w:val="21"/>
                      <w:szCs w:val="21"/>
                      <w:lang w:eastAsia="zh-CN"/>
                    </w:rPr>
                  </w:pPr>
                </w:p>
              </w:tc>
              <w:tc>
                <w:tcPr>
                  <w:tcW w:w="1353" w:type="dxa"/>
                  <w:vMerge w:val="continue"/>
                  <w:noWrap w:val="0"/>
                  <w:vAlign w:val="center"/>
                </w:tcPr>
                <w:p>
                  <w:pPr>
                    <w:pStyle w:val="49"/>
                    <w:adjustRightInd w:val="0"/>
                    <w:snapToGrid w:val="0"/>
                    <w:jc w:val="center"/>
                    <w:rPr>
                      <w:rFonts w:hint="default"/>
                      <w:sz w:val="21"/>
                      <w:szCs w:val="21"/>
                      <w:lang w:eastAsia="zh-CN"/>
                    </w:rPr>
                  </w:pPr>
                </w:p>
              </w:tc>
              <w:tc>
                <w:tcPr>
                  <w:tcW w:w="1122" w:type="dxa"/>
                  <w:vMerge w:val="continue"/>
                  <w:tcBorders>
                    <w:right w:val="single" w:color="auto" w:sz="4" w:space="0"/>
                  </w:tcBorders>
                  <w:noWrap w:val="0"/>
                  <w:vAlign w:val="center"/>
                </w:tcPr>
                <w:p>
                  <w:pPr>
                    <w:pStyle w:val="49"/>
                    <w:adjustRightInd w:val="0"/>
                    <w:snapToGrid w:val="0"/>
                    <w:jc w:val="center"/>
                    <w:rPr>
                      <w:rFonts w:hint="default"/>
                      <w:sz w:val="21"/>
                      <w:szCs w:val="21"/>
                      <w:lang w:eastAsia="zh-CN"/>
                    </w:rPr>
                  </w:pPr>
                </w:p>
              </w:tc>
              <w:tc>
                <w:tcPr>
                  <w:tcW w:w="1415" w:type="dxa"/>
                  <w:gridSpan w:val="2"/>
                  <w:tcBorders>
                    <w:top w:val="single" w:color="auto" w:sz="4" w:space="0"/>
                    <w:bottom w:val="single" w:color="auto" w:sz="4" w:space="0"/>
                    <w:right w:val="single" w:color="auto" w:sz="4" w:space="0"/>
                  </w:tcBorders>
                  <w:noWrap w:val="0"/>
                  <w:vAlign w:val="center"/>
                </w:tcPr>
                <w:p>
                  <w:pPr>
                    <w:pStyle w:val="49"/>
                    <w:adjustRightInd w:val="0"/>
                    <w:snapToGrid w:val="0"/>
                    <w:jc w:val="center"/>
                    <w:rPr>
                      <w:rFonts w:hint="default"/>
                      <w:sz w:val="21"/>
                      <w:szCs w:val="21"/>
                      <w:lang w:eastAsia="zh-CN"/>
                    </w:rPr>
                  </w:pPr>
                  <w:r>
                    <w:rPr>
                      <w:rFonts w:hint="default"/>
                      <w:sz w:val="21"/>
                      <w:szCs w:val="21"/>
                      <w:lang w:eastAsia="zh-CN"/>
                    </w:rPr>
                    <w:t>废包装物</w:t>
                  </w:r>
                </w:p>
              </w:tc>
              <w:tc>
                <w:tcPr>
                  <w:tcW w:w="1077" w:type="dxa"/>
                  <w:vMerge w:val="continue"/>
                  <w:tcBorders>
                    <w:left w:val="single" w:color="auto" w:sz="4" w:space="0"/>
                    <w:right w:val="single" w:color="auto" w:sz="4" w:space="0"/>
                  </w:tcBorders>
                  <w:noWrap w:val="0"/>
                  <w:vAlign w:val="center"/>
                </w:tcPr>
                <w:p>
                  <w:pPr>
                    <w:pStyle w:val="49"/>
                    <w:adjustRightInd w:val="0"/>
                    <w:snapToGrid w:val="0"/>
                    <w:ind w:firstLine="420" w:firstLineChars="200"/>
                    <w:jc w:val="center"/>
                    <w:rPr>
                      <w:rFonts w:hint="default"/>
                      <w:sz w:val="21"/>
                      <w:szCs w:val="21"/>
                      <w:lang w:eastAsia="zh-CN"/>
                    </w:rPr>
                  </w:pPr>
                </w:p>
              </w:tc>
              <w:tc>
                <w:tcPr>
                  <w:tcW w:w="1556" w:type="dxa"/>
                  <w:tcBorders>
                    <w:left w:val="single" w:color="auto" w:sz="4" w:space="0"/>
                    <w:bottom w:val="single" w:color="auto" w:sz="4" w:space="0"/>
                  </w:tcBorders>
                  <w:noWrap w:val="0"/>
                  <w:vAlign w:val="center"/>
                </w:tcPr>
                <w:p>
                  <w:pPr>
                    <w:pStyle w:val="49"/>
                    <w:adjustRightInd w:val="0"/>
                    <w:snapToGrid w:val="0"/>
                    <w:jc w:val="center"/>
                    <w:rPr>
                      <w:rFonts w:hint="default"/>
                      <w:sz w:val="21"/>
                      <w:szCs w:val="21"/>
                      <w:lang w:eastAsia="zh-CN"/>
                    </w:rPr>
                  </w:pPr>
                  <w:r>
                    <w:rPr>
                      <w:rFonts w:hint="default"/>
                      <w:sz w:val="21"/>
                      <w:szCs w:val="21"/>
                      <w:lang w:eastAsia="zh-CN"/>
                    </w:rPr>
                    <w:t>暂存后统一外售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46" w:hRule="atLeast"/>
                <w:jc w:val="center"/>
              </w:trPr>
              <w:tc>
                <w:tcPr>
                  <w:tcW w:w="1215" w:type="dxa"/>
                  <w:vMerge w:val="continue"/>
                  <w:noWrap w:val="0"/>
                  <w:vAlign w:val="top"/>
                </w:tcPr>
                <w:p>
                  <w:pPr>
                    <w:pStyle w:val="49"/>
                    <w:adjustRightInd w:val="0"/>
                    <w:snapToGrid w:val="0"/>
                    <w:jc w:val="center"/>
                    <w:rPr>
                      <w:rFonts w:hint="default"/>
                      <w:sz w:val="21"/>
                      <w:szCs w:val="21"/>
                      <w:lang w:eastAsia="zh-CN"/>
                    </w:rPr>
                  </w:pPr>
                </w:p>
              </w:tc>
              <w:tc>
                <w:tcPr>
                  <w:tcW w:w="1353" w:type="dxa"/>
                  <w:vMerge w:val="continue"/>
                  <w:noWrap w:val="0"/>
                  <w:vAlign w:val="top"/>
                </w:tcPr>
                <w:p>
                  <w:pPr>
                    <w:pStyle w:val="49"/>
                    <w:adjustRightInd w:val="0"/>
                    <w:snapToGrid w:val="0"/>
                    <w:jc w:val="center"/>
                    <w:rPr>
                      <w:rFonts w:hint="default"/>
                      <w:sz w:val="21"/>
                      <w:szCs w:val="21"/>
                      <w:lang w:eastAsia="zh-CN"/>
                    </w:rPr>
                  </w:pPr>
                </w:p>
              </w:tc>
              <w:tc>
                <w:tcPr>
                  <w:tcW w:w="1122" w:type="dxa"/>
                  <w:vMerge w:val="continue"/>
                  <w:tcBorders>
                    <w:right w:val="single" w:color="auto" w:sz="4" w:space="0"/>
                  </w:tcBorders>
                  <w:noWrap w:val="0"/>
                  <w:vAlign w:val="center"/>
                </w:tcPr>
                <w:p>
                  <w:pPr>
                    <w:pStyle w:val="49"/>
                    <w:adjustRightInd w:val="0"/>
                    <w:snapToGrid w:val="0"/>
                    <w:jc w:val="center"/>
                    <w:rPr>
                      <w:rFonts w:hint="default"/>
                      <w:sz w:val="21"/>
                      <w:szCs w:val="21"/>
                      <w:lang w:val="en-US" w:eastAsia="zh-CN"/>
                    </w:rPr>
                  </w:pPr>
                </w:p>
              </w:tc>
              <w:tc>
                <w:tcPr>
                  <w:tcW w:w="1415" w:type="dxa"/>
                  <w:gridSpan w:val="2"/>
                  <w:noWrap w:val="0"/>
                  <w:vAlign w:val="center"/>
                </w:tcPr>
                <w:p>
                  <w:pPr>
                    <w:pStyle w:val="49"/>
                    <w:adjustRightInd w:val="0"/>
                    <w:snapToGrid w:val="0"/>
                    <w:jc w:val="center"/>
                    <w:rPr>
                      <w:rFonts w:hint="eastAsia"/>
                      <w:sz w:val="21"/>
                      <w:szCs w:val="21"/>
                      <w:lang w:eastAsia="zh-CN"/>
                    </w:rPr>
                  </w:pPr>
                  <w:r>
                    <w:rPr>
                      <w:rFonts w:hint="eastAsia"/>
                      <w:sz w:val="21"/>
                      <w:szCs w:val="21"/>
                      <w:lang w:eastAsia="zh-CN"/>
                    </w:rPr>
                    <w:t>废</w:t>
                  </w:r>
                  <w:r>
                    <w:rPr>
                      <w:rFonts w:hint="eastAsia"/>
                      <w:sz w:val="21"/>
                      <w:szCs w:val="21"/>
                      <w:lang w:val="en-US" w:eastAsia="zh-CN"/>
                    </w:rPr>
                    <w:t>催化剂</w:t>
                  </w:r>
                </w:p>
              </w:tc>
              <w:tc>
                <w:tcPr>
                  <w:tcW w:w="1077" w:type="dxa"/>
                  <w:vMerge w:val="continue"/>
                  <w:tcBorders>
                    <w:left w:val="single" w:color="auto" w:sz="4" w:space="0"/>
                    <w:right w:val="single" w:color="auto" w:sz="4" w:space="0"/>
                  </w:tcBorders>
                  <w:noWrap w:val="0"/>
                  <w:vAlign w:val="top"/>
                </w:tcPr>
                <w:p>
                  <w:pPr>
                    <w:adjustRightInd w:val="0"/>
                    <w:snapToGrid w:val="0"/>
                    <w:jc w:val="center"/>
                    <w:rPr>
                      <w:rFonts w:hint="default"/>
                      <w:sz w:val="21"/>
                      <w:szCs w:val="21"/>
                      <w:lang w:eastAsia="zh-CN"/>
                    </w:rPr>
                  </w:pPr>
                </w:p>
              </w:tc>
              <w:tc>
                <w:tcPr>
                  <w:tcW w:w="155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sz w:val="21"/>
                      <w:szCs w:val="21"/>
                      <w:lang w:val="en-US" w:eastAsia="zh-CN"/>
                    </w:rPr>
                  </w:pPr>
                  <w:r>
                    <w:rPr>
                      <w:rFonts w:hint="eastAsia"/>
                      <w:sz w:val="21"/>
                      <w:szCs w:val="21"/>
                      <w:lang w:val="en-US" w:eastAsia="zh-CN"/>
                    </w:rPr>
                    <w:t>厂家回收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621" w:hRule="atLeast"/>
                <w:jc w:val="center"/>
              </w:trPr>
              <w:tc>
                <w:tcPr>
                  <w:tcW w:w="1215" w:type="dxa"/>
                  <w:vMerge w:val="continue"/>
                  <w:noWrap w:val="0"/>
                  <w:vAlign w:val="top"/>
                </w:tcPr>
                <w:p>
                  <w:pPr>
                    <w:pStyle w:val="49"/>
                    <w:adjustRightInd w:val="0"/>
                    <w:snapToGrid w:val="0"/>
                    <w:jc w:val="center"/>
                    <w:rPr>
                      <w:rFonts w:hint="default"/>
                      <w:sz w:val="21"/>
                      <w:szCs w:val="21"/>
                      <w:lang w:eastAsia="zh-CN"/>
                    </w:rPr>
                  </w:pPr>
                </w:p>
              </w:tc>
              <w:tc>
                <w:tcPr>
                  <w:tcW w:w="1353" w:type="dxa"/>
                  <w:vMerge w:val="continue"/>
                  <w:noWrap w:val="0"/>
                  <w:vAlign w:val="top"/>
                </w:tcPr>
                <w:p>
                  <w:pPr>
                    <w:pStyle w:val="49"/>
                    <w:adjustRightInd w:val="0"/>
                    <w:snapToGrid w:val="0"/>
                    <w:jc w:val="center"/>
                    <w:rPr>
                      <w:rFonts w:hint="default"/>
                      <w:sz w:val="21"/>
                      <w:szCs w:val="21"/>
                      <w:lang w:eastAsia="zh-CN"/>
                    </w:rPr>
                  </w:pPr>
                </w:p>
              </w:tc>
              <w:tc>
                <w:tcPr>
                  <w:tcW w:w="1122" w:type="dxa"/>
                  <w:noWrap w:val="0"/>
                  <w:vAlign w:val="center"/>
                </w:tcPr>
                <w:p>
                  <w:pPr>
                    <w:pStyle w:val="49"/>
                    <w:adjustRightInd w:val="0"/>
                    <w:snapToGrid w:val="0"/>
                    <w:jc w:val="center"/>
                    <w:rPr>
                      <w:rFonts w:hint="default"/>
                      <w:sz w:val="21"/>
                      <w:szCs w:val="21"/>
                      <w:lang w:val="en-US" w:eastAsia="zh-CN"/>
                    </w:rPr>
                  </w:pPr>
                  <w:r>
                    <w:rPr>
                      <w:rFonts w:hint="eastAsia"/>
                      <w:sz w:val="21"/>
                      <w:szCs w:val="21"/>
                      <w:lang w:val="en-US" w:eastAsia="zh-CN"/>
                    </w:rPr>
                    <w:t>危险固废</w:t>
                  </w:r>
                </w:p>
              </w:tc>
              <w:tc>
                <w:tcPr>
                  <w:tcW w:w="1415" w:type="dxa"/>
                  <w:gridSpan w:val="2"/>
                  <w:noWrap w:val="0"/>
                  <w:vAlign w:val="center"/>
                </w:tcPr>
                <w:p>
                  <w:pPr>
                    <w:pStyle w:val="49"/>
                    <w:adjustRightInd w:val="0"/>
                    <w:snapToGrid w:val="0"/>
                    <w:jc w:val="center"/>
                    <w:rPr>
                      <w:rFonts w:hint="default"/>
                      <w:sz w:val="21"/>
                      <w:szCs w:val="21"/>
                      <w:lang w:eastAsia="zh-CN"/>
                    </w:rPr>
                  </w:pPr>
                  <w:r>
                    <w:rPr>
                      <w:rFonts w:hint="default"/>
                      <w:sz w:val="21"/>
                      <w:szCs w:val="21"/>
                      <w:lang w:eastAsia="zh-CN"/>
                    </w:rPr>
                    <w:t>废活性炭</w:t>
                  </w:r>
                </w:p>
              </w:tc>
              <w:tc>
                <w:tcPr>
                  <w:tcW w:w="2633" w:type="dxa"/>
                  <w:gridSpan w:val="2"/>
                  <w:noWrap w:val="0"/>
                  <w:vAlign w:val="top"/>
                </w:tcPr>
                <w:p>
                  <w:pPr>
                    <w:adjustRightInd w:val="0"/>
                    <w:snapToGrid w:val="0"/>
                    <w:jc w:val="center"/>
                    <w:rPr>
                      <w:rFonts w:hint="default"/>
                      <w:sz w:val="21"/>
                      <w:szCs w:val="21"/>
                      <w:lang w:eastAsia="zh-CN"/>
                    </w:rPr>
                  </w:pPr>
                  <w:r>
                    <w:rPr>
                      <w:rFonts w:hint="default"/>
                      <w:sz w:val="21"/>
                      <w:szCs w:val="21"/>
                      <w:lang w:eastAsia="zh-CN"/>
                    </w:rPr>
                    <w:t>危险废物，建设危废暂存间（不小于</w:t>
                  </w:r>
                  <w:r>
                    <w:rPr>
                      <w:rFonts w:hint="eastAsia"/>
                      <w:sz w:val="21"/>
                      <w:szCs w:val="21"/>
                      <w:lang w:val="en-US" w:eastAsia="zh-CN"/>
                    </w:rPr>
                    <w:t>5</w:t>
                  </w:r>
                  <w:r>
                    <w:rPr>
                      <w:rFonts w:hint="default"/>
                      <w:sz w:val="21"/>
                      <w:szCs w:val="21"/>
                      <w:lang w:val="en-US" w:eastAsia="zh-CN"/>
                    </w:rPr>
                    <w:t>m</w:t>
                  </w:r>
                  <w:r>
                    <w:rPr>
                      <w:rFonts w:hint="default"/>
                      <w:sz w:val="21"/>
                      <w:szCs w:val="21"/>
                      <w:vertAlign w:val="superscript"/>
                      <w:lang w:val="en-US" w:eastAsia="zh-CN"/>
                    </w:rPr>
                    <w:t>2</w:t>
                  </w:r>
                  <w:r>
                    <w:rPr>
                      <w:rFonts w:hint="default"/>
                      <w:sz w:val="21"/>
                      <w:szCs w:val="21"/>
                      <w:lang w:eastAsia="zh-CN"/>
                    </w:rPr>
                    <w:t>），危废暂存间</w:t>
                  </w:r>
                  <w:r>
                    <w:rPr>
                      <w:rFonts w:hint="eastAsia"/>
                      <w:sz w:val="21"/>
                      <w:szCs w:val="21"/>
                      <w:lang w:val="en-US" w:eastAsia="zh-CN"/>
                    </w:rPr>
                    <w:t>暂存后，</w:t>
                  </w:r>
                  <w:r>
                    <w:rPr>
                      <w:rFonts w:hint="default"/>
                      <w:sz w:val="21"/>
                      <w:szCs w:val="21"/>
                      <w:lang w:val="en-US" w:eastAsia="zh-CN"/>
                    </w:rPr>
                    <w:t>交由具有危废处理资质的单位处理</w:t>
                  </w:r>
                </w:p>
              </w:tc>
            </w:tr>
          </w:tbl>
          <w:p>
            <w:pPr>
              <w:pStyle w:val="49"/>
              <w:keepNext w:val="0"/>
              <w:keepLines w:val="0"/>
              <w:pageBreakBefore w:val="0"/>
              <w:widowControl w:val="0"/>
              <w:numPr>
                <w:ilvl w:val="0"/>
                <w:numId w:val="3"/>
              </w:numPr>
              <w:kinsoku/>
              <w:wordWrap/>
              <w:overflowPunct/>
              <w:topLinePunct w:val="0"/>
              <w:autoSpaceDE/>
              <w:autoSpaceDN/>
              <w:bidi w:val="0"/>
              <w:adjustRightInd w:val="0"/>
              <w:snapToGrid w:val="0"/>
              <w:spacing w:before="157" w:beforeLines="50" w:line="360" w:lineRule="auto"/>
              <w:ind w:left="0" w:leftChars="0" w:firstLine="480" w:firstLineChars="200"/>
              <w:textAlignment w:val="auto"/>
              <w:outlineLvl w:val="9"/>
              <w:rPr>
                <w:rFonts w:hint="default"/>
                <w:sz w:val="24"/>
                <w:szCs w:val="24"/>
                <w:lang w:val="en-US" w:eastAsia="zh-CN"/>
              </w:rPr>
            </w:pPr>
            <w:r>
              <w:rPr>
                <w:rFonts w:hint="default"/>
                <w:sz w:val="24"/>
                <w:szCs w:val="24"/>
                <w:lang w:val="en-US" w:eastAsia="zh-CN"/>
              </w:rPr>
              <w:t>产品种类及用途</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rPr>
              <w:t>本项目主要产品塑料包装</w:t>
            </w:r>
            <w:r>
              <w:rPr>
                <w:rFonts w:hint="eastAsia"/>
                <w:sz w:val="24"/>
                <w:szCs w:val="24"/>
                <w:lang w:val="en-US" w:eastAsia="zh-CN"/>
              </w:rPr>
              <w:t>容器</w:t>
            </w:r>
            <w:r>
              <w:rPr>
                <w:rFonts w:hint="default"/>
                <w:sz w:val="24"/>
                <w:szCs w:val="24"/>
                <w:lang w:val="en-US" w:eastAsia="zh-CN"/>
              </w:rPr>
              <w:t>，</w:t>
            </w:r>
            <w:r>
              <w:rPr>
                <w:rFonts w:hint="default"/>
                <w:sz w:val="24"/>
                <w:szCs w:val="24"/>
              </w:rPr>
              <w:t>市场前景广阔，经济效益显著</w:t>
            </w:r>
            <w:r>
              <w:rPr>
                <w:rFonts w:hint="eastAsia"/>
                <w:sz w:val="24"/>
                <w:szCs w:val="24"/>
                <w:lang w:eastAsia="zh-CN"/>
              </w:rPr>
              <w:t>，主要用于化工、医药、新能源汽车等行业</w:t>
            </w:r>
            <w:r>
              <w:rPr>
                <w:rFonts w:hint="default"/>
                <w:sz w:val="24"/>
                <w:szCs w:val="24"/>
              </w:rPr>
              <w:t>。</w:t>
            </w:r>
            <w:r>
              <w:rPr>
                <w:rFonts w:hint="eastAsia"/>
                <w:sz w:val="24"/>
                <w:szCs w:val="24"/>
                <w:lang w:val="en-US" w:eastAsia="zh-CN"/>
              </w:rPr>
              <w:t>本项目主要产品见下表。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rPr>
            </w:pPr>
            <w:r>
              <w:rPr>
                <w:rFonts w:hint="default"/>
              </w:rPr>
              <w:t>表</w:t>
            </w:r>
            <w:r>
              <w:rPr>
                <w:rFonts w:hint="eastAsia"/>
                <w:lang w:val="en-US" w:eastAsia="zh-CN"/>
              </w:rPr>
              <w:t>9</w:t>
            </w:r>
            <w:r>
              <w:rPr>
                <w:rFonts w:hint="default"/>
              </w:rPr>
              <w:t xml:space="preserve">  </w:t>
            </w:r>
            <w:r>
              <w:rPr>
                <w:rFonts w:hint="eastAsia"/>
                <w:lang w:val="en-US" w:eastAsia="zh-CN"/>
              </w:rPr>
              <w:t xml:space="preserve">     </w:t>
            </w:r>
            <w:r>
              <w:rPr>
                <w:rFonts w:hint="default"/>
              </w:rPr>
              <w:t>项目主要产品一览表</w:t>
            </w:r>
          </w:p>
          <w:tbl>
            <w:tblPr>
              <w:tblStyle w:val="22"/>
              <w:tblW w:w="779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954"/>
              <w:gridCol w:w="2261"/>
              <w:gridCol w:w="23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rPr>
                  </w:pPr>
                  <w:r>
                    <w:rPr>
                      <w:rFonts w:hint="default"/>
                    </w:rPr>
                    <w:t>编号</w:t>
                  </w:r>
                </w:p>
              </w:tc>
              <w:tc>
                <w:tcPr>
                  <w:tcW w:w="1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eastAsia="zh-CN"/>
                    </w:rPr>
                  </w:pPr>
                  <w:r>
                    <w:rPr>
                      <w:rFonts w:hint="default"/>
                    </w:rPr>
                    <w:t>产品名称</w:t>
                  </w:r>
                </w:p>
              </w:tc>
              <w:tc>
                <w:tcPr>
                  <w:tcW w:w="144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eastAsia="zh-CN"/>
                    </w:rPr>
                  </w:pPr>
                  <w:r>
                    <w:rPr>
                      <w:rFonts w:hint="eastAsia"/>
                      <w:lang w:val="en-US" w:eastAsia="zh-CN"/>
                    </w:rPr>
                    <w:t>本项目</w:t>
                  </w:r>
                  <w:r>
                    <w:rPr>
                      <w:rFonts w:hint="default"/>
                      <w:lang w:eastAsia="zh-CN"/>
                    </w:rPr>
                    <w:t>年产量</w:t>
                  </w:r>
                  <w:r>
                    <w:rPr>
                      <w:rFonts w:hint="default"/>
                      <w:lang w:val="en-US" w:eastAsia="zh-CN"/>
                    </w:rPr>
                    <w:t>（万只）</w:t>
                  </w:r>
                </w:p>
              </w:tc>
              <w:tc>
                <w:tcPr>
                  <w:tcW w:w="14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eastAsia="zh-CN"/>
                    </w:rPr>
                  </w:pPr>
                  <w:r>
                    <w:rPr>
                      <w:rFonts w:hint="default"/>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9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default"/>
                      <w:lang w:val="en-US" w:eastAsia="zh-CN"/>
                    </w:rPr>
                    <w:t>1</w:t>
                  </w:r>
                </w:p>
              </w:tc>
              <w:tc>
                <w:tcPr>
                  <w:tcW w:w="12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塑料包装容器</w:t>
                  </w:r>
                </w:p>
              </w:tc>
              <w:tc>
                <w:tcPr>
                  <w:tcW w:w="144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13</w:t>
                  </w:r>
                </w:p>
              </w:tc>
              <w:tc>
                <w:tcPr>
                  <w:tcW w:w="14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按照客户需求定制（工业用塑料桶、新能源汽车用电瓶箱）</w:t>
                  </w:r>
                </w:p>
              </w:tc>
            </w:tr>
          </w:tbl>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jc w:val="center"/>
              <w:textAlignment w:val="auto"/>
              <w:outlineLvl w:val="9"/>
              <w:rPr>
                <w:rFonts w:hint="default"/>
                <w:sz w:val="21"/>
                <w:szCs w:val="21"/>
                <w:lang w:val="en-US" w:eastAsia="zh-CN"/>
              </w:rPr>
            </w:pPr>
            <w:r>
              <w:rPr>
                <w:rFonts w:hint="default"/>
                <w:sz w:val="21"/>
                <w:szCs w:val="21"/>
                <w:lang w:val="en-US" w:eastAsia="zh-CN"/>
              </w:rPr>
              <w:t>表</w:t>
            </w:r>
            <w:r>
              <w:rPr>
                <w:rFonts w:hint="eastAsia"/>
                <w:sz w:val="21"/>
                <w:szCs w:val="21"/>
                <w:lang w:val="en-US" w:eastAsia="zh-CN"/>
              </w:rPr>
              <w:t>10</w:t>
            </w:r>
            <w:r>
              <w:rPr>
                <w:rFonts w:hint="default"/>
                <w:sz w:val="21"/>
                <w:szCs w:val="21"/>
                <w:lang w:val="en-US" w:eastAsia="zh-CN"/>
              </w:rPr>
              <w:t xml:space="preserve"> </w:t>
            </w:r>
            <w:r>
              <w:rPr>
                <w:rFonts w:hint="eastAsia"/>
                <w:sz w:val="21"/>
                <w:szCs w:val="21"/>
                <w:lang w:val="en-US" w:eastAsia="zh-CN"/>
              </w:rPr>
              <w:t xml:space="preserve">    </w:t>
            </w:r>
            <w:r>
              <w:rPr>
                <w:rFonts w:hint="default"/>
                <w:sz w:val="21"/>
                <w:szCs w:val="21"/>
                <w:lang w:val="en-US" w:eastAsia="zh-CN"/>
              </w:rPr>
              <w:t>改建</w:t>
            </w:r>
            <w:r>
              <w:rPr>
                <w:rFonts w:hint="eastAsia"/>
                <w:sz w:val="21"/>
                <w:szCs w:val="21"/>
                <w:lang w:val="en-US" w:eastAsia="zh-CN"/>
              </w:rPr>
              <w:t>前</w:t>
            </w:r>
            <w:r>
              <w:rPr>
                <w:rFonts w:hint="default"/>
                <w:sz w:val="21"/>
                <w:szCs w:val="21"/>
                <w:lang w:val="en-US" w:eastAsia="zh-CN"/>
              </w:rPr>
              <w:t>后全公司产品一览表</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11"/>
              <w:gridCol w:w="1114"/>
              <w:gridCol w:w="1273"/>
              <w:gridCol w:w="1266"/>
              <w:gridCol w:w="22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1275"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项目名称</w:t>
                  </w:r>
                </w:p>
              </w:tc>
              <w:tc>
                <w:tcPr>
                  <w:tcW w:w="706"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产品名称</w:t>
                  </w:r>
                </w:p>
              </w:tc>
              <w:tc>
                <w:tcPr>
                  <w:tcW w:w="807"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生产规模（万套/年）（改建前）</w:t>
                  </w:r>
                </w:p>
              </w:tc>
              <w:tc>
                <w:tcPr>
                  <w:tcW w:w="802"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生产规模（万套/年）（改建后）</w:t>
                  </w:r>
                </w:p>
              </w:tc>
              <w:tc>
                <w:tcPr>
                  <w:tcW w:w="1408"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1275"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现有</w:t>
                  </w:r>
                  <w:r>
                    <w:rPr>
                      <w:rFonts w:hint="eastAsia"/>
                      <w:sz w:val="21"/>
                      <w:szCs w:val="21"/>
                      <w:lang w:eastAsia="zh-CN"/>
                    </w:rPr>
                    <w:t>年产200套模具、200万套汽车（电器）零部件项目</w:t>
                  </w:r>
                </w:p>
              </w:tc>
              <w:tc>
                <w:tcPr>
                  <w:tcW w:w="706"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模具、</w:t>
                  </w:r>
                  <w:r>
                    <w:rPr>
                      <w:rFonts w:hint="eastAsia"/>
                      <w:sz w:val="21"/>
                      <w:szCs w:val="21"/>
                      <w:lang w:eastAsia="zh-CN"/>
                    </w:rPr>
                    <w:t>汽车（电器）零部件</w:t>
                  </w:r>
                </w:p>
              </w:tc>
              <w:tc>
                <w:tcPr>
                  <w:tcW w:w="807"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default"/>
                      <w:sz w:val="21"/>
                      <w:szCs w:val="21"/>
                      <w:lang w:val="en-US" w:eastAsia="zh-CN"/>
                    </w:rPr>
                    <w:t>180套模具、170万套汽车（电器）零部件</w:t>
                  </w:r>
                </w:p>
              </w:tc>
              <w:tc>
                <w:tcPr>
                  <w:tcW w:w="802"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default"/>
                      <w:sz w:val="21"/>
                      <w:szCs w:val="21"/>
                      <w:lang w:val="en-US" w:eastAsia="zh-CN"/>
                    </w:rPr>
                    <w:t>180套模具</w:t>
                  </w:r>
                </w:p>
              </w:tc>
              <w:tc>
                <w:tcPr>
                  <w:tcW w:w="1408"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default"/>
                      <w:sz w:val="21"/>
                      <w:szCs w:val="21"/>
                      <w:lang w:val="en-US" w:eastAsia="zh-CN"/>
                    </w:rPr>
                    <w:t>2018年7月已验收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1275"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现有</w:t>
                  </w:r>
                  <w:r>
                    <w:rPr>
                      <w:rFonts w:hint="eastAsia"/>
                      <w:sz w:val="21"/>
                      <w:szCs w:val="21"/>
                      <w:lang w:eastAsia="zh-CN"/>
                    </w:rPr>
                    <w:t>年产2000万套汽车（电器）零部件项目（</w:t>
                  </w:r>
                  <w:r>
                    <w:rPr>
                      <w:rFonts w:hint="eastAsia"/>
                      <w:sz w:val="21"/>
                      <w:szCs w:val="21"/>
                      <w:lang w:val="en-US" w:eastAsia="zh-CN"/>
                    </w:rPr>
                    <w:t>一期）</w:t>
                  </w:r>
                </w:p>
              </w:tc>
              <w:tc>
                <w:tcPr>
                  <w:tcW w:w="706"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eastAsia="zh-CN"/>
                    </w:rPr>
                    <w:t>汽车（电器）零部件</w:t>
                  </w:r>
                </w:p>
              </w:tc>
              <w:tc>
                <w:tcPr>
                  <w:tcW w:w="807"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600</w:t>
                  </w:r>
                </w:p>
              </w:tc>
              <w:tc>
                <w:tcPr>
                  <w:tcW w:w="802"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600</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2022年6月</w:t>
                  </w:r>
                  <w:r>
                    <w:rPr>
                      <w:rFonts w:hint="eastAsia"/>
                      <w:sz w:val="21"/>
                      <w:szCs w:val="21"/>
                      <w:lang w:eastAsia="zh-CN"/>
                    </w:rPr>
                    <w:t>已自主验收；</w:t>
                  </w:r>
                  <w:r>
                    <w:rPr>
                      <w:rFonts w:hint="eastAsia"/>
                      <w:sz w:val="21"/>
                      <w:szCs w:val="21"/>
                      <w:lang w:val="en-US" w:eastAsia="zh-CN"/>
                    </w:rPr>
                    <w:t>纸箱包装，以座椅配件等较小零部件为主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1275"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现有</w:t>
                  </w:r>
                  <w:r>
                    <w:rPr>
                      <w:rFonts w:hint="eastAsia"/>
                      <w:sz w:val="21"/>
                      <w:szCs w:val="21"/>
                      <w:lang w:eastAsia="zh-CN"/>
                    </w:rPr>
                    <w:t>年产2000万套汽车（电器）零部件项目（</w:t>
                  </w:r>
                  <w:r>
                    <w:rPr>
                      <w:rFonts w:hint="eastAsia"/>
                      <w:sz w:val="21"/>
                      <w:szCs w:val="21"/>
                      <w:lang w:val="en-US" w:eastAsia="zh-CN"/>
                    </w:rPr>
                    <w:t>二期）</w:t>
                  </w:r>
                </w:p>
              </w:tc>
              <w:tc>
                <w:tcPr>
                  <w:tcW w:w="706"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eastAsia="zh-CN"/>
                    </w:rPr>
                    <w:t>汽车（电器）零部件</w:t>
                  </w:r>
                </w:p>
              </w:tc>
              <w:tc>
                <w:tcPr>
                  <w:tcW w:w="807"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600</w:t>
                  </w:r>
                </w:p>
              </w:tc>
              <w:tc>
                <w:tcPr>
                  <w:tcW w:w="802"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600</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未建设；纸箱包装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1275"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bookmarkStart w:id="2" w:name="OLE_LINK6"/>
                  <w:r>
                    <w:rPr>
                      <w:rFonts w:hint="eastAsia"/>
                      <w:sz w:val="21"/>
                      <w:szCs w:val="21"/>
                      <w:lang w:val="en-US" w:eastAsia="zh-CN"/>
                    </w:rPr>
                    <w:t>现有</w:t>
                  </w:r>
                  <w:r>
                    <w:rPr>
                      <w:rFonts w:hint="eastAsia"/>
                      <w:sz w:val="21"/>
                      <w:szCs w:val="21"/>
                      <w:lang w:eastAsia="zh-CN"/>
                    </w:rPr>
                    <w:t>年产2000万套汽车（电器）零部件项目（</w:t>
                  </w:r>
                  <w:r>
                    <w:rPr>
                      <w:rFonts w:hint="eastAsia"/>
                      <w:sz w:val="21"/>
                      <w:szCs w:val="21"/>
                      <w:lang w:val="en-US" w:eastAsia="zh-CN"/>
                    </w:rPr>
                    <w:t>三期）</w:t>
                  </w:r>
                  <w:bookmarkEnd w:id="2"/>
                </w:p>
              </w:tc>
              <w:tc>
                <w:tcPr>
                  <w:tcW w:w="706"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eastAsia="zh-CN"/>
                    </w:rPr>
                    <w:t>汽车（电器）零部件</w:t>
                  </w:r>
                </w:p>
              </w:tc>
              <w:tc>
                <w:tcPr>
                  <w:tcW w:w="807"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800</w:t>
                  </w:r>
                </w:p>
              </w:tc>
              <w:tc>
                <w:tcPr>
                  <w:tcW w:w="802" w:type="pc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500</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未建设；纸箱包装，以挡板等较大零部件为主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3" w:hRule="atLeast"/>
                <w:jc w:val="center"/>
              </w:trPr>
              <w:tc>
                <w:tcPr>
                  <w:tcW w:w="1275" w:type="pct"/>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r>
                    <w:rPr>
                      <w:rFonts w:hint="eastAsia"/>
                      <w:sz w:val="21"/>
                      <w:szCs w:val="21"/>
                      <w:lang w:val="en-US" w:eastAsia="zh-CN"/>
                    </w:rPr>
                    <w:t>本次项目年产13万只塑料包装容器项目及原三期工程改建项目</w:t>
                  </w:r>
                </w:p>
              </w:tc>
              <w:tc>
                <w:tcPr>
                  <w:tcW w:w="70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sz w:val="21"/>
                      <w:szCs w:val="21"/>
                      <w:lang w:val="en-US" w:eastAsia="zh-CN"/>
                    </w:rPr>
                  </w:pPr>
                  <w:r>
                    <w:rPr>
                      <w:rFonts w:hint="eastAsia"/>
                      <w:sz w:val="21"/>
                      <w:szCs w:val="21"/>
                      <w:lang w:val="en-US" w:eastAsia="zh-CN"/>
                    </w:rPr>
                    <w:t>塑料包装容器</w:t>
                  </w:r>
                </w:p>
              </w:tc>
              <w:tc>
                <w:tcPr>
                  <w:tcW w:w="8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8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13万只</w:t>
                  </w:r>
                </w:p>
              </w:tc>
              <w:tc>
                <w:tcPr>
                  <w:tcW w:w="1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sz w:val="21"/>
                      <w:szCs w:val="21"/>
                      <w:lang w:val="en-US" w:eastAsia="zh-CN"/>
                    </w:rPr>
                  </w:pPr>
                  <w:r>
                    <w:rPr>
                      <w:rFonts w:hint="eastAsia"/>
                      <w:sz w:val="21"/>
                      <w:szCs w:val="21"/>
                      <w:lang w:val="en-US" w:eastAsia="zh-CN"/>
                    </w:rPr>
                    <w:t>本次新增；按照客户需求定制（工业用塑料桶、新能源汽车用电瓶箱）</w:t>
                  </w:r>
                </w:p>
              </w:tc>
            </w:tr>
          </w:tbl>
          <w:p>
            <w:pPr>
              <w:pStyle w:val="49"/>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sz w:val="24"/>
                <w:szCs w:val="24"/>
                <w:lang w:val="en-US" w:eastAsia="zh-CN"/>
              </w:rPr>
            </w:pPr>
            <w:r>
              <w:rPr>
                <w:rFonts w:hint="default"/>
                <w:sz w:val="24"/>
                <w:szCs w:val="24"/>
                <w:lang w:val="en-US" w:eastAsia="zh-CN"/>
              </w:rPr>
              <w:t>原辅材料用量和能耗量</w:t>
            </w:r>
          </w:p>
          <w:p>
            <w:pPr>
              <w:pStyle w:val="5"/>
              <w:pageBreakBefore w:val="0"/>
              <w:kinsoku/>
              <w:overflowPunct/>
              <w:topLinePunct w:val="0"/>
              <w:bidi w:val="0"/>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项目主要原辅材料及用量见</w:t>
            </w:r>
            <w:r>
              <w:rPr>
                <w:rFonts w:hint="eastAsia"/>
                <w:sz w:val="24"/>
                <w:szCs w:val="24"/>
                <w:lang w:val="en-US" w:eastAsia="zh-CN"/>
              </w:rPr>
              <w:t>下</w:t>
            </w:r>
            <w:r>
              <w:rPr>
                <w:rFonts w:hint="default"/>
                <w:sz w:val="24"/>
                <w:szCs w:val="24"/>
                <w:lang w:val="en-US" w:eastAsia="zh-CN"/>
              </w:rPr>
              <w:t>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rPr>
            </w:pPr>
            <w:r>
              <w:rPr>
                <w:rFonts w:hint="default"/>
              </w:rPr>
              <w:t>表</w:t>
            </w:r>
            <w:r>
              <w:rPr>
                <w:rFonts w:hint="eastAsia"/>
                <w:lang w:val="en-US" w:eastAsia="zh-CN"/>
              </w:rPr>
              <w:t>11</w:t>
            </w:r>
            <w:r>
              <w:rPr>
                <w:rFonts w:hint="default"/>
              </w:rPr>
              <w:t xml:space="preserve">  项目原辅材料及其用量一览表</w:t>
            </w:r>
          </w:p>
          <w:tbl>
            <w:tblPr>
              <w:tblStyle w:val="22"/>
              <w:tblpPr w:leftFromText="180" w:rightFromText="180" w:vertAnchor="text" w:horzAnchor="page" w:tblpXSpec="center" w:tblpY="126"/>
              <w:tblOverlap w:val="never"/>
              <w:tblW w:w="7879" w:type="dxa"/>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539"/>
              <w:gridCol w:w="2169"/>
              <w:gridCol w:w="1459"/>
              <w:gridCol w:w="2712"/>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87" w:hRule="atLeast"/>
                <w:jc w:val="center"/>
              </w:trPr>
              <w:tc>
                <w:tcPr>
                  <w:tcW w:w="153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rPr>
                  </w:pPr>
                  <w:r>
                    <w:rPr>
                      <w:rFonts w:hint="default"/>
                      <w:sz w:val="21"/>
                      <w:szCs w:val="21"/>
                    </w:rPr>
                    <w:t>序号</w:t>
                  </w:r>
                </w:p>
              </w:tc>
              <w:tc>
                <w:tcPr>
                  <w:tcW w:w="216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rPr>
                  </w:pPr>
                  <w:r>
                    <w:rPr>
                      <w:rFonts w:hint="default"/>
                      <w:sz w:val="21"/>
                      <w:szCs w:val="21"/>
                    </w:rPr>
                    <w:t>名称</w:t>
                  </w:r>
                </w:p>
              </w:tc>
              <w:tc>
                <w:tcPr>
                  <w:tcW w:w="14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rPr>
                  </w:pPr>
                  <w:r>
                    <w:rPr>
                      <w:rFonts w:hint="default"/>
                      <w:sz w:val="21"/>
                      <w:szCs w:val="21"/>
                    </w:rPr>
                    <w:t>年用量</w:t>
                  </w:r>
                </w:p>
              </w:tc>
              <w:tc>
                <w:tcPr>
                  <w:tcW w:w="271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rPr>
                  </w:pPr>
                  <w:r>
                    <w:rPr>
                      <w:rFonts w:hint="default"/>
                      <w:sz w:val="21"/>
                      <w:szCs w:val="21"/>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06" w:hRule="atLeast"/>
                <w:jc w:val="center"/>
              </w:trPr>
              <w:tc>
                <w:tcPr>
                  <w:tcW w:w="153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sz w:val="21"/>
                      <w:szCs w:val="21"/>
                      <w:lang w:val="en-US" w:eastAsia="zh-CN"/>
                    </w:rPr>
                  </w:pPr>
                  <w:r>
                    <w:rPr>
                      <w:rFonts w:hint="eastAsia"/>
                      <w:sz w:val="21"/>
                      <w:szCs w:val="21"/>
                      <w:lang w:val="en-US" w:eastAsia="zh-CN"/>
                    </w:rPr>
                    <w:t>1</w:t>
                  </w:r>
                </w:p>
              </w:tc>
              <w:tc>
                <w:tcPr>
                  <w:tcW w:w="216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高密度</w:t>
                  </w:r>
                  <w:r>
                    <w:rPr>
                      <w:rFonts w:hint="default"/>
                      <w:sz w:val="21"/>
                      <w:szCs w:val="21"/>
                      <w:lang w:val="en-US" w:eastAsia="zh-CN"/>
                    </w:rPr>
                    <w:t>聚乙烯</w:t>
                  </w:r>
                  <w:r>
                    <w:rPr>
                      <w:rFonts w:hint="eastAsia"/>
                      <w:sz w:val="21"/>
                      <w:szCs w:val="21"/>
                      <w:lang w:val="en-US" w:eastAsia="zh-CN"/>
                    </w:rPr>
                    <w:t>颗粒</w:t>
                  </w:r>
                </w:p>
              </w:tc>
              <w:tc>
                <w:tcPr>
                  <w:tcW w:w="14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1500t/a</w:t>
                  </w:r>
                </w:p>
              </w:tc>
              <w:tc>
                <w:tcPr>
                  <w:tcW w:w="2712"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外购，袋装，颗粒物</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38" w:hRule="atLeast"/>
                <w:jc w:val="center"/>
              </w:trPr>
              <w:tc>
                <w:tcPr>
                  <w:tcW w:w="153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sz w:val="21"/>
                      <w:szCs w:val="21"/>
                      <w:lang w:val="en-US" w:eastAsia="zh-CN"/>
                    </w:rPr>
                  </w:pPr>
                  <w:r>
                    <w:rPr>
                      <w:rFonts w:hint="eastAsia"/>
                      <w:sz w:val="21"/>
                      <w:szCs w:val="21"/>
                      <w:lang w:val="en-US" w:eastAsia="zh-CN"/>
                    </w:rPr>
                    <w:t>2</w:t>
                  </w:r>
                </w:p>
              </w:tc>
              <w:tc>
                <w:tcPr>
                  <w:tcW w:w="216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rPr>
                  </w:pPr>
                  <w:r>
                    <w:rPr>
                      <w:rFonts w:hint="default"/>
                      <w:sz w:val="21"/>
                      <w:szCs w:val="21"/>
                    </w:rPr>
                    <w:t>电</w:t>
                  </w:r>
                </w:p>
              </w:tc>
              <w:tc>
                <w:tcPr>
                  <w:tcW w:w="14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500kW·h/a</w:t>
                  </w:r>
                </w:p>
              </w:tc>
              <w:tc>
                <w:tcPr>
                  <w:tcW w:w="271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522" w:hRule="atLeast"/>
                <w:jc w:val="center"/>
              </w:trPr>
              <w:tc>
                <w:tcPr>
                  <w:tcW w:w="153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3</w:t>
                  </w:r>
                </w:p>
              </w:tc>
              <w:tc>
                <w:tcPr>
                  <w:tcW w:w="216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sz w:val="21"/>
                      <w:szCs w:val="21"/>
                      <w:lang w:val="en-US" w:eastAsia="zh-CN"/>
                    </w:rPr>
                  </w:pPr>
                  <w:r>
                    <w:rPr>
                      <w:rFonts w:hint="eastAsia"/>
                      <w:sz w:val="21"/>
                      <w:szCs w:val="21"/>
                      <w:lang w:val="en-US" w:eastAsia="zh-CN"/>
                    </w:rPr>
                    <w:t>水</w:t>
                  </w:r>
                </w:p>
              </w:tc>
              <w:tc>
                <w:tcPr>
                  <w:tcW w:w="1459"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120t/a</w:t>
                  </w:r>
                </w:p>
              </w:tc>
              <w:tc>
                <w:tcPr>
                  <w:tcW w:w="271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sz w:val="21"/>
                      <w:szCs w:val="21"/>
                      <w:lang w:val="en-US" w:eastAsia="zh-CN"/>
                    </w:rPr>
                  </w:pPr>
                  <w:r>
                    <w:rPr>
                      <w:rFonts w:hint="eastAsia"/>
                      <w:sz w:val="21"/>
                      <w:szCs w:val="21"/>
                      <w:lang w:val="en-US" w:eastAsia="zh-CN"/>
                    </w:rPr>
                    <w:t>/</w:t>
                  </w:r>
                </w:p>
              </w:tc>
            </w:tr>
          </w:tbl>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ind w:leftChars="0" w:firstLine="0" w:firstLineChars="0"/>
              <w:jc w:val="center"/>
              <w:textAlignment w:val="auto"/>
              <w:outlineLvl w:val="9"/>
              <w:rPr>
                <w:rFonts w:hint="default"/>
                <w:sz w:val="21"/>
                <w:szCs w:val="21"/>
                <w:lang w:val="en-US" w:eastAsia="zh-CN"/>
              </w:rPr>
            </w:pPr>
            <w:r>
              <w:rPr>
                <w:rFonts w:hint="default"/>
                <w:sz w:val="21"/>
                <w:szCs w:val="21"/>
                <w:lang w:val="en-US" w:eastAsia="zh-CN"/>
              </w:rPr>
              <w:t>表12   改建前后原辅料及其用量一览表</w:t>
            </w:r>
          </w:p>
          <w:tbl>
            <w:tblPr>
              <w:tblStyle w:val="23"/>
              <w:tblW w:w="79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4"/>
              <w:gridCol w:w="553"/>
              <w:gridCol w:w="595"/>
              <w:gridCol w:w="581"/>
              <w:gridCol w:w="680"/>
              <w:gridCol w:w="581"/>
              <w:gridCol w:w="596"/>
              <w:gridCol w:w="747"/>
              <w:gridCol w:w="734"/>
              <w:gridCol w:w="791"/>
              <w:gridCol w:w="12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854" w:type="dxa"/>
                  <w:vMerge w:val="restar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p>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r>
                    <w:rPr>
                      <w:rFonts w:hint="eastAsia"/>
                      <w:sz w:val="21"/>
                      <w:szCs w:val="21"/>
                      <w:lang w:val="en-US" w:eastAsia="zh-CN"/>
                    </w:rPr>
                    <w:t>名称</w:t>
                  </w:r>
                </w:p>
              </w:tc>
              <w:tc>
                <w:tcPr>
                  <w:tcW w:w="2409" w:type="dxa"/>
                  <w:gridSpan w:val="4"/>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r>
                    <w:rPr>
                      <w:rFonts w:hint="eastAsia"/>
                      <w:sz w:val="21"/>
                      <w:szCs w:val="21"/>
                      <w:lang w:val="en-US" w:eastAsia="zh-CN"/>
                    </w:rPr>
                    <w:t>改建前原辅材料使用量</w:t>
                  </w:r>
                </w:p>
              </w:tc>
              <w:tc>
                <w:tcPr>
                  <w:tcW w:w="3449" w:type="dxa"/>
                  <w:gridSpan w:val="5"/>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r>
                    <w:rPr>
                      <w:rFonts w:hint="eastAsia"/>
                      <w:sz w:val="21"/>
                      <w:szCs w:val="21"/>
                      <w:lang w:val="en-US" w:eastAsia="zh-CN"/>
                    </w:rPr>
                    <w:t>改建后原辅材料使用量</w:t>
                  </w:r>
                </w:p>
              </w:tc>
              <w:tc>
                <w:tcPr>
                  <w:tcW w:w="1207" w:type="dxa"/>
                  <w:vMerge w:val="restart"/>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9" w:hRule="atLeast"/>
              </w:trPr>
              <w:tc>
                <w:tcPr>
                  <w:tcW w:w="854" w:type="dxa"/>
                  <w:vMerge w:val="continue"/>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p>
              </w:tc>
              <w:tc>
                <w:tcPr>
                  <w:tcW w:w="553"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一期</w:t>
                  </w:r>
                </w:p>
              </w:tc>
              <w:tc>
                <w:tcPr>
                  <w:tcW w:w="595"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二期</w:t>
                  </w:r>
                </w:p>
              </w:tc>
              <w:tc>
                <w:tcPr>
                  <w:tcW w:w="581"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三期</w:t>
                  </w:r>
                </w:p>
              </w:tc>
              <w:tc>
                <w:tcPr>
                  <w:tcW w:w="680"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总体</w:t>
                  </w:r>
                </w:p>
              </w:tc>
              <w:tc>
                <w:tcPr>
                  <w:tcW w:w="581"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一期</w:t>
                  </w:r>
                </w:p>
              </w:tc>
              <w:tc>
                <w:tcPr>
                  <w:tcW w:w="596"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二期</w:t>
                  </w:r>
                </w:p>
              </w:tc>
              <w:tc>
                <w:tcPr>
                  <w:tcW w:w="747"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三期</w:t>
                  </w:r>
                </w:p>
              </w:tc>
              <w:tc>
                <w:tcPr>
                  <w:tcW w:w="734"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sz w:val="21"/>
                      <w:szCs w:val="21"/>
                      <w:lang w:val="en-US" w:eastAsia="zh-CN"/>
                    </w:rPr>
                  </w:pPr>
                  <w:r>
                    <w:rPr>
                      <w:rFonts w:hint="eastAsia"/>
                      <w:sz w:val="21"/>
                      <w:szCs w:val="21"/>
                      <w:lang w:val="en-US" w:eastAsia="zh-CN"/>
                    </w:rPr>
                    <w:t>总体</w:t>
                  </w:r>
                </w:p>
              </w:tc>
              <w:tc>
                <w:tcPr>
                  <w:tcW w:w="791"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eastAsia="宋体"/>
                      <w:sz w:val="21"/>
                      <w:szCs w:val="21"/>
                      <w:lang w:val="en-US" w:eastAsia="zh-CN"/>
                    </w:rPr>
                  </w:pPr>
                  <w:r>
                    <w:rPr>
                      <w:rFonts w:hint="eastAsia"/>
                      <w:sz w:val="21"/>
                      <w:szCs w:val="21"/>
                      <w:lang w:val="en-US" w:eastAsia="zh-CN"/>
                    </w:rPr>
                    <w:t>本次项目</w:t>
                  </w:r>
                </w:p>
              </w:tc>
              <w:tc>
                <w:tcPr>
                  <w:tcW w:w="1207" w:type="dxa"/>
                  <w:vMerge w:val="continue"/>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PP颗粒（t/a）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400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600</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1300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400</w:t>
                  </w:r>
                </w:p>
              </w:tc>
              <w:tc>
                <w:tcPr>
                  <w:tcW w:w="7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375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1075</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袋装，固体颗粒；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ABS颗粒（t/a）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500</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1000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7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321.5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821.5</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袋装，固体颗粒；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PS颗粒（t/a）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500</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1000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300</w:t>
                  </w:r>
                </w:p>
              </w:tc>
              <w:tc>
                <w:tcPr>
                  <w:tcW w:w="7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312.5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821.5</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袋装，固体颗粒；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PA66颗粒（t/a）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100</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500</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800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100</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200</w:t>
                  </w:r>
                </w:p>
              </w:tc>
              <w:tc>
                <w:tcPr>
                  <w:tcW w:w="7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312.5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621.5</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袋装，固体颗粒；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色母粒</w:t>
                  </w:r>
                  <w:r>
                    <w:rPr>
                      <w:rFonts w:hint="eastAsia"/>
                      <w:sz w:val="21"/>
                      <w:szCs w:val="21"/>
                      <w:lang w:val="en-US" w:eastAsia="zh-CN"/>
                    </w:rPr>
                    <w:t>（t/a）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6</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12</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w:t>
                  </w:r>
                </w:p>
              </w:tc>
              <w:tc>
                <w:tcPr>
                  <w:tcW w:w="74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3.75</w:t>
                  </w:r>
                </w:p>
              </w:tc>
              <w:tc>
                <w:tcPr>
                  <w:tcW w:w="7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9.75</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袋装，固体颗粒；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导热油（吨/次）</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1.5</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2.5</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3.5</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7.5</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1.5</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2.5</w:t>
                  </w:r>
                </w:p>
              </w:tc>
              <w:tc>
                <w:tcPr>
                  <w:tcW w:w="747"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2.2</w:t>
                  </w:r>
                </w:p>
              </w:tc>
              <w:tc>
                <w:tcPr>
                  <w:tcW w:w="734"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6.2</w:t>
                  </w:r>
                </w:p>
              </w:tc>
              <w:tc>
                <w:tcPr>
                  <w:tcW w:w="791"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eastAsia"/>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液体，约每6年更换一次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纸箱（万个/年）</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60</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120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800</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980</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60</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120</w:t>
                  </w:r>
                </w:p>
              </w:tc>
              <w:tc>
                <w:tcPr>
                  <w:tcW w:w="747"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500</w:t>
                  </w:r>
                </w:p>
              </w:tc>
              <w:tc>
                <w:tcPr>
                  <w:tcW w:w="734"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680</w:t>
                  </w:r>
                </w:p>
              </w:tc>
              <w:tc>
                <w:tcPr>
                  <w:tcW w:w="791"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eastAsia="zh-CN"/>
                    </w:rPr>
                    <w:t>对成品进行包装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02" w:hRule="atLeast"/>
              </w:trPr>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高密度聚乙烯颗粒（t/a）</w:t>
                  </w:r>
                </w:p>
              </w:tc>
              <w:tc>
                <w:tcPr>
                  <w:tcW w:w="5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5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6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5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5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747"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734"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w:t>
                  </w:r>
                </w:p>
              </w:tc>
              <w:tc>
                <w:tcPr>
                  <w:tcW w:w="791" w:type="dxa"/>
                  <w:tcBorders>
                    <w:tl2br w:val="nil"/>
                    <w:tr2bl w:val="nil"/>
                  </w:tcBorders>
                  <w:vAlign w:val="center"/>
                </w:tcPr>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outlineLvl w:val="9"/>
                    <w:rPr>
                      <w:rFonts w:hint="default"/>
                      <w:sz w:val="21"/>
                      <w:szCs w:val="21"/>
                      <w:lang w:val="en-US" w:eastAsia="zh-CN"/>
                    </w:rPr>
                  </w:pPr>
                  <w:r>
                    <w:rPr>
                      <w:rFonts w:hint="eastAsia"/>
                      <w:sz w:val="21"/>
                      <w:szCs w:val="21"/>
                      <w:lang w:val="en-US" w:eastAsia="zh-CN"/>
                    </w:rPr>
                    <w:t>1500</w:t>
                  </w:r>
                </w:p>
              </w:tc>
              <w:tc>
                <w:tcPr>
                  <w:tcW w:w="120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sz w:val="21"/>
                      <w:szCs w:val="21"/>
                      <w:lang w:eastAsia="zh-CN"/>
                    </w:rPr>
                  </w:pPr>
                  <w:r>
                    <w:rPr>
                      <w:rFonts w:hint="eastAsia"/>
                      <w:sz w:val="21"/>
                      <w:szCs w:val="21"/>
                      <w:lang w:val="en-US" w:eastAsia="zh-CN"/>
                    </w:rPr>
                    <w:t>外购，袋装，颗粒物</w:t>
                  </w:r>
                </w:p>
              </w:tc>
            </w:tr>
          </w:tbl>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leftChars="0" w:firstLine="480" w:firstLineChars="200"/>
              <w:textAlignment w:val="auto"/>
              <w:outlineLvl w:val="9"/>
              <w:rPr>
                <w:rFonts w:hint="default"/>
                <w:sz w:val="24"/>
                <w:szCs w:val="24"/>
                <w:lang w:val="en-US" w:eastAsia="zh-CN"/>
              </w:rPr>
            </w:pPr>
            <w:r>
              <w:rPr>
                <w:rFonts w:hint="default"/>
                <w:sz w:val="24"/>
                <w:szCs w:val="24"/>
                <w:lang w:val="en-US" w:eastAsia="zh-CN"/>
              </w:rPr>
              <w:t>原辅材料理化性质：</w:t>
            </w:r>
          </w:p>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outlineLvl w:val="9"/>
              <w:rPr>
                <w:rFonts w:hint="default"/>
                <w:sz w:val="24"/>
                <w:szCs w:val="24"/>
                <w:lang w:val="en-US" w:eastAsia="zh-CN"/>
              </w:rPr>
            </w:pPr>
            <w:r>
              <w:rPr>
                <w:rFonts w:hint="default"/>
                <w:sz w:val="24"/>
                <w:szCs w:val="24"/>
                <w:lang w:val="en-US" w:eastAsia="zh-CN"/>
              </w:rPr>
              <w:t>高密度聚乙烯：简称 HDPE，为白色粉末或颗粒状产品。无毒，无味，结晶度为80%～90%，软化点为125～l 35℃，使用温度可达100℃，分解温度约在300℃以上；硬度、拉伸强度和蠕变性优于低密度聚乙烯；耐磨性、电绝缘性、韧性及耐寒性较好；化学稳定性好，在室温条件下，不溶于任何有机溶剂，耐酸、碱和各种盐类的腐蚀；薄膜对水蒸气和空气的渗透性小，吸水性低；</w:t>
            </w:r>
            <w:r>
              <w:rPr>
                <w:rFonts w:hint="default"/>
                <w:sz w:val="24"/>
                <w:szCs w:val="24"/>
              </w:rPr>
              <w:t>目前也可用挤出、注塑和吹塑方法加工。</w:t>
            </w:r>
          </w:p>
          <w:p>
            <w:pPr>
              <w:pStyle w:val="49"/>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sz w:val="24"/>
                <w:szCs w:val="24"/>
                <w:lang w:val="en-US" w:eastAsia="zh-CN"/>
              </w:rPr>
            </w:pPr>
            <w:r>
              <w:rPr>
                <w:rFonts w:hint="default"/>
                <w:sz w:val="24"/>
                <w:szCs w:val="24"/>
                <w:lang w:val="en-US" w:eastAsia="zh-CN"/>
              </w:rPr>
              <w:t>主要生产设备设施</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sz w:val="24"/>
                <w:szCs w:val="24"/>
              </w:rPr>
            </w:pPr>
            <w:r>
              <w:rPr>
                <w:rFonts w:hint="default"/>
                <w:sz w:val="24"/>
                <w:szCs w:val="24"/>
              </w:rPr>
              <w:t>主要生产设备见表</w:t>
            </w:r>
            <w:r>
              <w:rPr>
                <w:rFonts w:hint="eastAsia"/>
                <w:sz w:val="24"/>
                <w:szCs w:val="24"/>
                <w:lang w:val="en-US" w:eastAsia="zh-CN"/>
              </w:rPr>
              <w:t>13</w:t>
            </w:r>
            <w:r>
              <w:rPr>
                <w:rFonts w:hint="default"/>
                <w:sz w:val="24"/>
                <w:szCs w:val="24"/>
              </w:rPr>
              <w:t>。</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rPr>
            </w:pPr>
            <w:r>
              <w:rPr>
                <w:rFonts w:hint="default"/>
              </w:rPr>
              <w:t>表</w:t>
            </w:r>
            <w:r>
              <w:rPr>
                <w:rFonts w:hint="eastAsia"/>
                <w:lang w:val="en-US" w:eastAsia="zh-CN"/>
              </w:rPr>
              <w:t xml:space="preserve">13     </w:t>
            </w:r>
            <w:r>
              <w:rPr>
                <w:rFonts w:hint="default"/>
              </w:rPr>
              <w:t>项目主要生产设备一览表</w:t>
            </w:r>
          </w:p>
          <w:tbl>
            <w:tblPr>
              <w:tblStyle w:val="22"/>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fixed"/>
              <w:tblCellMar>
                <w:top w:w="0" w:type="dxa"/>
                <w:left w:w="108" w:type="dxa"/>
                <w:bottom w:w="0" w:type="dxa"/>
                <w:right w:w="108" w:type="dxa"/>
              </w:tblCellMar>
            </w:tblPr>
            <w:tblGrid>
              <w:gridCol w:w="592"/>
              <w:gridCol w:w="2055"/>
              <w:gridCol w:w="1223"/>
              <w:gridCol w:w="39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71"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rPr>
                  </w:pPr>
                  <w:r>
                    <w:rPr>
                      <w:rFonts w:hint="default"/>
                    </w:rPr>
                    <w:t>序号</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lang w:val="en-US" w:eastAsia="zh-CN"/>
                    </w:rPr>
                  </w:pPr>
                  <w:r>
                    <w:rPr>
                      <w:rFonts w:hint="eastAsia"/>
                      <w:lang w:val="en-US" w:eastAsia="zh-CN"/>
                    </w:rPr>
                    <w:t>本项目</w:t>
                  </w:r>
                  <w:r>
                    <w:rPr>
                      <w:rFonts w:hint="default"/>
                    </w:rPr>
                    <w:t>设备名称</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lang w:val="en-US" w:eastAsia="zh-CN"/>
                    </w:rPr>
                  </w:pPr>
                  <w:r>
                    <w:rPr>
                      <w:rFonts w:hint="default"/>
                    </w:rPr>
                    <w:t>数量</w:t>
                  </w:r>
                  <w:r>
                    <w:rPr>
                      <w:rFonts w:hint="default"/>
                      <w:lang w:eastAsia="zh-CN"/>
                    </w:rPr>
                    <w:t>（台）</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lang w:val="en-US" w:eastAsia="zh-CN"/>
                    </w:rPr>
                  </w:pPr>
                  <w:r>
                    <w:rPr>
                      <w:rFonts w:hint="eastAsia"/>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51"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default"/>
                      <w:lang w:val="en-US" w:eastAsia="zh-CN"/>
                    </w:rPr>
                    <w:t>1</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lang w:val="en-US" w:eastAsia="zh-CN"/>
                    </w:rPr>
                  </w:pPr>
                  <w:r>
                    <w:rPr>
                      <w:rFonts w:hint="eastAsia"/>
                      <w:lang w:val="en-US" w:eastAsia="zh-CN"/>
                    </w:rPr>
                    <w:t>全自动中空吹塑机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val="en-US" w:eastAsia="zh-CN"/>
                    </w:rPr>
                    <w:t>4</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eastAsia="zh-CN"/>
                    </w:rPr>
                    <w:t>将</w:t>
                  </w:r>
                  <w:r>
                    <w:rPr>
                      <w:rFonts w:hint="eastAsia"/>
                      <w:lang w:val="en-US" w:eastAsia="zh-CN"/>
                    </w:rPr>
                    <w:t>原三期设备注塑机减少4台，更换为4台自动中空吹塑机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51"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default"/>
                      <w:lang w:val="en-US" w:eastAsia="zh-CN"/>
                    </w:rPr>
                    <w:t>2</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lang w:val="en-US" w:eastAsia="zh-CN"/>
                    </w:rPr>
                  </w:pPr>
                  <w:r>
                    <w:rPr>
                      <w:rFonts w:hint="eastAsia"/>
                      <w:lang w:val="en-US" w:eastAsia="zh-CN"/>
                    </w:rPr>
                    <w:t>注塑机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lang w:val="en-US" w:eastAsia="zh-CN"/>
                    </w:rPr>
                  </w:pPr>
                  <w:r>
                    <w:rPr>
                      <w:rFonts w:hint="eastAsia"/>
                      <w:lang w:val="en-US" w:eastAsia="zh-CN"/>
                    </w:rPr>
                    <w:t>2</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eastAsia="zh-CN"/>
                    </w:rPr>
                    <w:t>本次项目保留使用原</w:t>
                  </w:r>
                  <w:r>
                    <w:rPr>
                      <w:rFonts w:hint="eastAsia"/>
                      <w:lang w:val="en-US" w:eastAsia="zh-CN"/>
                    </w:rPr>
                    <w:t>三期设备注塑机2台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51"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default"/>
                      <w:lang w:val="en-US" w:eastAsia="zh-CN"/>
                    </w:rPr>
                    <w:t>3</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val="en-US" w:eastAsia="zh-CN"/>
                    </w:rPr>
                    <w:t>挤出机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val="en-US" w:eastAsia="zh-CN"/>
                    </w:rPr>
                    <w:t>4</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eastAsia="zh-CN"/>
                    </w:rPr>
                    <w:t>将</w:t>
                  </w:r>
                  <w:r>
                    <w:rPr>
                      <w:rFonts w:hint="eastAsia"/>
                      <w:lang w:val="en-US" w:eastAsia="zh-CN"/>
                    </w:rPr>
                    <w:t>原三期设备注塑机减少4台，更换为4台挤出机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650"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4</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21"/>
                      <w:szCs w:val="24"/>
                      <w:lang w:val="en-US" w:eastAsia="zh-CN" w:bidi="ar-SA"/>
                    </w:rPr>
                  </w:pPr>
                  <w:r>
                    <w:rPr>
                      <w:rFonts w:hint="eastAsia"/>
                      <w:lang w:val="en-US" w:eastAsia="zh-CN"/>
                    </w:rPr>
                    <w:t>塑料撕装机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本次新增；用于大的废边角料、不合格品撕成小块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75"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5</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21"/>
                      <w:szCs w:val="24"/>
                      <w:lang w:val="en-US" w:eastAsia="zh-CN" w:bidi="ar-SA"/>
                    </w:rPr>
                  </w:pPr>
                  <w:r>
                    <w:rPr>
                      <w:rFonts w:hint="eastAsia"/>
                      <w:lang w:val="en-US" w:eastAsia="zh-CN"/>
                    </w:rPr>
                    <w:t>塑料破碎机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3</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本次新增；用于废边角料。不合格品破碎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68"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6</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21"/>
                      <w:szCs w:val="24"/>
                      <w:lang w:val="en-US" w:eastAsia="zh-CN" w:bidi="ar-SA"/>
                    </w:rPr>
                  </w:pPr>
                  <w:r>
                    <w:rPr>
                      <w:rFonts w:hint="eastAsia"/>
                      <w:lang w:val="en-US" w:eastAsia="zh-CN"/>
                    </w:rPr>
                    <w:t>螺杆空压机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2</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26"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7</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模具</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若干</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294" w:hRule="atLeast"/>
                <w:jc w:val="center"/>
              </w:trPr>
              <w:tc>
                <w:tcPr>
                  <w:tcW w:w="5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8</w:t>
                  </w:r>
                </w:p>
              </w:tc>
              <w:tc>
                <w:tcPr>
                  <w:tcW w:w="20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lang w:val="en-US" w:eastAsia="zh-CN"/>
                    </w:rPr>
                  </w:pPr>
                  <w:r>
                    <w:rPr>
                      <w:rFonts w:hint="eastAsia"/>
                      <w:lang w:val="en-US" w:eastAsia="zh-CN"/>
                    </w:rPr>
                    <w:t>自动循环冷却机</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3</w:t>
                  </w:r>
                </w:p>
              </w:tc>
              <w:tc>
                <w:tcPr>
                  <w:tcW w:w="39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新增</w:t>
                  </w:r>
                </w:p>
              </w:tc>
            </w:tr>
          </w:tbl>
          <w:p>
            <w:pPr>
              <w:pStyle w:val="5"/>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outlineLvl w:val="9"/>
              <w:rPr>
                <w:rFonts w:hint="default"/>
                <w:sz w:val="24"/>
                <w:szCs w:val="24"/>
                <w:lang w:val="en-US" w:eastAsia="zh-CN"/>
              </w:rPr>
            </w:pPr>
            <w:r>
              <w:rPr>
                <w:rFonts w:hint="eastAsia"/>
                <w:sz w:val="24"/>
                <w:szCs w:val="24"/>
                <w:lang w:val="en-US" w:eastAsia="zh-CN"/>
              </w:rPr>
              <w:t>注：项目完成后年产2000万套汽车（电器）零部件项目的三期工程减少10台注塑机。</w:t>
            </w:r>
          </w:p>
          <w:p>
            <w:pPr>
              <w:pStyle w:val="49"/>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sz w:val="24"/>
                <w:szCs w:val="24"/>
              </w:rPr>
            </w:pPr>
            <w:r>
              <w:rPr>
                <w:rFonts w:hint="default"/>
                <w:sz w:val="24"/>
                <w:szCs w:val="24"/>
              </w:rPr>
              <w:t>项目平面布置合理性分析</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sz w:val="24"/>
                <w:szCs w:val="24"/>
              </w:rPr>
            </w:pPr>
            <w:r>
              <w:rPr>
                <w:rFonts w:hint="eastAsia"/>
                <w:sz w:val="24"/>
                <w:szCs w:val="24"/>
                <w:lang w:eastAsia="zh-CN"/>
              </w:rPr>
              <w:t>河南省永丰模具有限公司根据厂区</w:t>
            </w:r>
            <w:r>
              <w:rPr>
                <w:rFonts w:hint="eastAsia"/>
                <w:sz w:val="24"/>
                <w:szCs w:val="24"/>
              </w:rPr>
              <w:t>“分区合理、工艺流畅、物流短捷；突出环保与安全”</w:t>
            </w:r>
            <w:r>
              <w:rPr>
                <w:rFonts w:hint="default"/>
                <w:sz w:val="24"/>
                <w:szCs w:val="24"/>
              </w:rPr>
              <w:t>的原则，结合场地的用地条件及生产工艺，综合考虑环保、消防、绿化、劳动卫生等要求，对选址进行了统筹安排。</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sz w:val="24"/>
                <w:szCs w:val="24"/>
                <w:lang w:eastAsia="zh-CN"/>
              </w:rPr>
            </w:pPr>
            <w:r>
              <w:rPr>
                <w:rFonts w:hint="default"/>
                <w:sz w:val="24"/>
                <w:szCs w:val="24"/>
                <w:lang w:eastAsia="zh-CN"/>
              </w:rPr>
              <w:t>本项目位于</w:t>
            </w:r>
            <w:r>
              <w:rPr>
                <w:rFonts w:hint="eastAsia"/>
                <w:sz w:val="24"/>
                <w:szCs w:val="24"/>
                <w:lang w:eastAsia="zh-CN"/>
              </w:rPr>
              <w:t>新乡市新乡县合河乡贾桥工业区</w:t>
            </w:r>
            <w:r>
              <w:rPr>
                <w:rFonts w:hint="default"/>
                <w:sz w:val="24"/>
                <w:szCs w:val="24"/>
                <w:lang w:eastAsia="zh-CN"/>
              </w:rPr>
              <w:t>，</w:t>
            </w:r>
            <w:r>
              <w:rPr>
                <w:rFonts w:hint="eastAsia"/>
                <w:sz w:val="24"/>
                <w:szCs w:val="24"/>
                <w:lang w:val="en-US" w:eastAsia="zh-CN"/>
              </w:rPr>
              <w:t>利用公司现有空厂房</w:t>
            </w:r>
            <w:r>
              <w:rPr>
                <w:rFonts w:hint="default"/>
                <w:sz w:val="24"/>
                <w:szCs w:val="24"/>
                <w:lang w:val="en-US" w:eastAsia="zh-CN"/>
              </w:rPr>
              <w:t>建设生产</w:t>
            </w:r>
            <w:r>
              <w:rPr>
                <w:rFonts w:hint="default"/>
                <w:sz w:val="24"/>
                <w:szCs w:val="24"/>
                <w:lang w:eastAsia="zh-CN"/>
              </w:rPr>
              <w:t>。</w:t>
            </w:r>
            <w:r>
              <w:rPr>
                <w:rFonts w:hint="eastAsia"/>
                <w:sz w:val="24"/>
                <w:szCs w:val="24"/>
                <w:lang w:eastAsia="zh-CN"/>
              </w:rPr>
              <w:t>运营期</w:t>
            </w:r>
            <w:r>
              <w:rPr>
                <w:rFonts w:hint="default"/>
                <w:sz w:val="24"/>
                <w:szCs w:val="24"/>
                <w:lang w:eastAsia="zh-CN"/>
              </w:rPr>
              <w:t>项目产生的废气污染物较少，可达标排放，</w:t>
            </w:r>
            <w:r>
              <w:rPr>
                <w:rFonts w:hint="eastAsia"/>
                <w:sz w:val="24"/>
                <w:szCs w:val="24"/>
                <w:lang w:val="en-US" w:eastAsia="zh-CN"/>
              </w:rPr>
              <w:t>不会</w:t>
            </w:r>
            <w:r>
              <w:rPr>
                <w:rFonts w:hint="default"/>
                <w:sz w:val="24"/>
                <w:szCs w:val="24"/>
                <w:lang w:eastAsia="zh-CN"/>
              </w:rPr>
              <w:t>对周围环境</w:t>
            </w:r>
            <w:r>
              <w:rPr>
                <w:rFonts w:hint="eastAsia"/>
                <w:sz w:val="24"/>
                <w:szCs w:val="24"/>
                <w:lang w:val="en-US" w:eastAsia="zh-CN"/>
              </w:rPr>
              <w:t>造成</w:t>
            </w:r>
            <w:r>
              <w:rPr>
                <w:rFonts w:hint="default"/>
                <w:sz w:val="24"/>
                <w:szCs w:val="24"/>
                <w:lang w:eastAsia="zh-CN"/>
              </w:rPr>
              <w:t>影响；</w:t>
            </w:r>
            <w:r>
              <w:rPr>
                <w:rFonts w:hint="eastAsia"/>
                <w:sz w:val="24"/>
                <w:szCs w:val="24"/>
                <w:lang w:val="en-US" w:eastAsia="zh-CN"/>
              </w:rPr>
              <w:t>员工从现有项目调剂6人，</w:t>
            </w:r>
            <w:r>
              <w:rPr>
                <w:rFonts w:hint="default"/>
                <w:sz w:val="24"/>
                <w:szCs w:val="24"/>
                <w:lang w:val="en-US" w:eastAsia="zh-CN"/>
              </w:rPr>
              <w:t>不新增员工，</w:t>
            </w:r>
            <w:r>
              <w:rPr>
                <w:rFonts w:hint="eastAsia"/>
                <w:sz w:val="24"/>
                <w:szCs w:val="24"/>
                <w:lang w:val="en-US" w:eastAsia="zh-CN"/>
              </w:rPr>
              <w:t>不新增生活污水</w:t>
            </w:r>
            <w:r>
              <w:rPr>
                <w:rFonts w:hint="default"/>
                <w:sz w:val="24"/>
                <w:szCs w:val="24"/>
                <w:lang w:eastAsia="zh-CN"/>
              </w:rPr>
              <w:t>。</w:t>
            </w:r>
          </w:p>
          <w:p>
            <w:pPr>
              <w:pStyle w:val="49"/>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outlineLvl w:val="9"/>
              <w:rPr>
                <w:rFonts w:hint="default"/>
                <w:sz w:val="24"/>
                <w:szCs w:val="24"/>
              </w:rPr>
            </w:pPr>
            <w:r>
              <w:rPr>
                <w:rFonts w:hint="default"/>
                <w:sz w:val="24"/>
                <w:szCs w:val="24"/>
              </w:rPr>
              <w:t>综上所述，</w:t>
            </w:r>
            <w:r>
              <w:rPr>
                <w:rFonts w:hint="default"/>
                <w:sz w:val="24"/>
                <w:szCs w:val="24"/>
                <w:lang w:val="en-US" w:eastAsia="zh-CN"/>
              </w:rPr>
              <w:t>河南省永丰模具有限公司年产13万只塑料包装容器项目及原三期工程改建项目</w:t>
            </w:r>
            <w:r>
              <w:rPr>
                <w:rFonts w:hint="default"/>
                <w:sz w:val="24"/>
                <w:szCs w:val="24"/>
                <w:lang w:eastAsia="zh-CN"/>
              </w:rPr>
              <w:t>，</w:t>
            </w:r>
            <w:r>
              <w:rPr>
                <w:rFonts w:hint="default"/>
                <w:sz w:val="24"/>
                <w:szCs w:val="24"/>
              </w:rPr>
              <w:t>总平面布置功能分区清晰，工艺流程顺畅，物流短捷，人流、物流互不交叉干扰，有机的协调了投入与产出、建设与保护的关系。评价认为，本项目总图布置从环保角度而言合理可行。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sz w:val="24"/>
                <w:szCs w:val="24"/>
              </w:rPr>
            </w:pPr>
            <w:r>
              <w:rPr>
                <w:rFonts w:hint="eastAsia"/>
                <w:sz w:val="24"/>
                <w:szCs w:val="24"/>
                <w:lang w:val="en-US" w:eastAsia="zh-CN"/>
              </w:rPr>
              <w:t>7</w:t>
            </w:r>
            <w:r>
              <w:rPr>
                <w:rFonts w:hint="default"/>
                <w:sz w:val="24"/>
                <w:szCs w:val="24"/>
              </w:rPr>
              <w:t>、劳动定员及工作制度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sz w:val="24"/>
                <w:szCs w:val="24"/>
              </w:rPr>
            </w:pPr>
            <w:r>
              <w:rPr>
                <w:rFonts w:hint="default"/>
                <w:sz w:val="24"/>
                <w:szCs w:val="24"/>
              </w:rPr>
              <w:t>本项目</w:t>
            </w:r>
            <w:r>
              <w:rPr>
                <w:rFonts w:hint="default"/>
                <w:sz w:val="24"/>
                <w:szCs w:val="24"/>
                <w:lang w:val="en-US" w:eastAsia="zh-CN"/>
              </w:rPr>
              <w:t>不新增员工，</w:t>
            </w:r>
            <w:r>
              <w:rPr>
                <w:rFonts w:hint="eastAsia"/>
                <w:sz w:val="24"/>
                <w:szCs w:val="24"/>
                <w:lang w:val="en-US" w:eastAsia="zh-CN"/>
              </w:rPr>
              <w:t>从现有</w:t>
            </w:r>
            <w:r>
              <w:rPr>
                <w:rFonts w:hint="default"/>
                <w:sz w:val="24"/>
                <w:szCs w:val="24"/>
                <w:lang w:val="en-US" w:eastAsia="zh-CN"/>
              </w:rPr>
              <w:t>员工</w:t>
            </w:r>
            <w:r>
              <w:rPr>
                <w:rFonts w:hint="eastAsia"/>
                <w:sz w:val="24"/>
                <w:szCs w:val="24"/>
                <w:lang w:val="en-US" w:eastAsia="zh-CN"/>
              </w:rPr>
              <w:t>调剂6人</w:t>
            </w:r>
            <w:r>
              <w:rPr>
                <w:rFonts w:hint="default"/>
                <w:sz w:val="24"/>
                <w:szCs w:val="24"/>
                <w:lang w:eastAsia="zh-CN"/>
              </w:rPr>
              <w:t>，员工</w:t>
            </w:r>
            <w:r>
              <w:rPr>
                <w:rFonts w:hint="default"/>
                <w:sz w:val="24"/>
                <w:szCs w:val="24"/>
              </w:rPr>
              <w:t>每天工作</w:t>
            </w:r>
            <w:r>
              <w:rPr>
                <w:rFonts w:hint="eastAsia"/>
                <w:sz w:val="24"/>
                <w:szCs w:val="24"/>
                <w:lang w:val="en-US" w:eastAsia="zh-CN"/>
              </w:rPr>
              <w:t>8</w:t>
            </w:r>
            <w:r>
              <w:rPr>
                <w:rFonts w:hint="default"/>
                <w:sz w:val="24"/>
                <w:szCs w:val="24"/>
              </w:rPr>
              <w:t>小时，</w:t>
            </w:r>
            <w:r>
              <w:rPr>
                <w:rFonts w:hint="default"/>
                <w:sz w:val="24"/>
                <w:szCs w:val="24"/>
                <w:lang w:val="en-US" w:eastAsia="zh-CN"/>
              </w:rPr>
              <w:t>一</w:t>
            </w:r>
            <w:r>
              <w:rPr>
                <w:rFonts w:hint="default"/>
                <w:sz w:val="24"/>
                <w:szCs w:val="24"/>
              </w:rPr>
              <w:t>班制，年有效工作日</w:t>
            </w:r>
            <w:r>
              <w:rPr>
                <w:rFonts w:hint="eastAsia"/>
                <w:sz w:val="24"/>
                <w:szCs w:val="24"/>
                <w:lang w:val="en-US" w:eastAsia="zh-CN"/>
              </w:rPr>
              <w:t>260</w:t>
            </w:r>
            <w:r>
              <w:rPr>
                <w:rFonts w:hint="default"/>
                <w:sz w:val="24"/>
                <w:szCs w:val="24"/>
              </w:rPr>
              <w:t>天。</w:t>
            </w:r>
          </w:p>
          <w:p>
            <w:pPr>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sz w:val="24"/>
                <w:szCs w:val="24"/>
              </w:rPr>
            </w:pPr>
            <w:r>
              <w:rPr>
                <w:rFonts w:hint="default"/>
                <w:sz w:val="24"/>
                <w:szCs w:val="24"/>
              </w:rPr>
              <w:t>公用设施</w:t>
            </w:r>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sz w:val="24"/>
                <w:szCs w:val="24"/>
                <w:lang w:val="en-US" w:eastAsia="zh-CN"/>
              </w:rPr>
            </w:pPr>
            <w:r>
              <w:rPr>
                <w:rFonts w:hint="eastAsia"/>
                <w:sz w:val="24"/>
                <w:szCs w:val="24"/>
                <w:lang w:val="en-US" w:eastAsia="zh-CN"/>
              </w:rPr>
              <w:t>供水</w:t>
            </w:r>
          </w:p>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sz w:val="24"/>
                <w:szCs w:val="24"/>
                <w:lang w:val="en-US" w:eastAsia="zh-CN"/>
              </w:rPr>
            </w:pPr>
            <w:r>
              <w:rPr>
                <w:rFonts w:hint="default"/>
                <w:sz w:val="24"/>
                <w:szCs w:val="24"/>
              </w:rPr>
              <w:t>项目</w:t>
            </w:r>
            <w:r>
              <w:rPr>
                <w:rFonts w:hint="eastAsia"/>
                <w:sz w:val="24"/>
                <w:szCs w:val="24"/>
                <w:lang w:val="en-US" w:eastAsia="zh-CN"/>
              </w:rPr>
              <w:t>3t</w:t>
            </w:r>
            <w:r>
              <w:rPr>
                <w:rFonts w:hint="default"/>
                <w:sz w:val="24"/>
                <w:szCs w:val="24"/>
              </w:rPr>
              <w:t>冷却水循环使用，</w:t>
            </w:r>
            <w:r>
              <w:rPr>
                <w:rFonts w:hint="eastAsia"/>
                <w:sz w:val="24"/>
                <w:szCs w:val="24"/>
                <w:lang w:val="en-US" w:eastAsia="zh-CN"/>
              </w:rPr>
              <w:t>根据企业提供资料，</w:t>
            </w:r>
            <w:r>
              <w:rPr>
                <w:rFonts w:hint="default"/>
                <w:sz w:val="24"/>
                <w:szCs w:val="24"/>
              </w:rPr>
              <w:t>仅需定期补充蒸发损耗</w:t>
            </w:r>
            <w:r>
              <w:rPr>
                <w:rFonts w:hint="eastAsia"/>
                <w:sz w:val="24"/>
                <w:szCs w:val="24"/>
                <w:lang w:val="en-US" w:eastAsia="zh-CN"/>
              </w:rPr>
              <w:t>0.3t/d</w:t>
            </w:r>
            <w:r>
              <w:rPr>
                <w:rFonts w:hint="default"/>
                <w:sz w:val="24"/>
                <w:szCs w:val="24"/>
              </w:rPr>
              <w:t>，年补充用水量为</w:t>
            </w:r>
            <w:r>
              <w:rPr>
                <w:rFonts w:hint="eastAsia"/>
                <w:sz w:val="24"/>
                <w:szCs w:val="24"/>
                <w:lang w:val="en-US" w:eastAsia="zh-CN"/>
              </w:rPr>
              <w:t>78t</w:t>
            </w:r>
            <w:r>
              <w:rPr>
                <w:rFonts w:hint="default"/>
                <w:sz w:val="24"/>
                <w:szCs w:val="24"/>
              </w:rPr>
              <w:t>；本项目</w:t>
            </w:r>
            <w:r>
              <w:rPr>
                <w:rFonts w:hint="default"/>
                <w:sz w:val="24"/>
                <w:szCs w:val="24"/>
                <w:lang w:val="en-US" w:eastAsia="zh-CN"/>
              </w:rPr>
              <w:t>不新增员工，</w:t>
            </w:r>
            <w:r>
              <w:rPr>
                <w:rFonts w:hint="eastAsia"/>
                <w:sz w:val="24"/>
                <w:szCs w:val="24"/>
                <w:lang w:val="en-US" w:eastAsia="zh-CN"/>
              </w:rPr>
              <w:t>从现有员工调剂6人</w:t>
            </w:r>
            <w:r>
              <w:rPr>
                <w:rFonts w:hint="default"/>
                <w:sz w:val="24"/>
                <w:szCs w:val="24"/>
                <w:lang w:eastAsia="zh-CN"/>
              </w:rPr>
              <w:t>，</w:t>
            </w:r>
            <w:r>
              <w:rPr>
                <w:rFonts w:hint="eastAsia"/>
                <w:sz w:val="24"/>
                <w:szCs w:val="24"/>
                <w:lang w:val="en-US" w:eastAsia="zh-CN"/>
              </w:rPr>
              <w:t>不在厂区食宿</w:t>
            </w:r>
            <w:r>
              <w:rPr>
                <w:rFonts w:hint="default"/>
                <w:sz w:val="24"/>
                <w:szCs w:val="24"/>
                <w:lang w:val="en-US" w:eastAsia="zh-CN"/>
              </w:rPr>
              <w:t>故无新增生活用水量产生</w:t>
            </w:r>
            <w:r>
              <w:rPr>
                <w:rFonts w:hint="default"/>
                <w:sz w:val="24"/>
                <w:szCs w:val="24"/>
                <w:lang w:eastAsia="zh-CN"/>
              </w:rPr>
              <w:t>。厂区</w:t>
            </w:r>
            <w:r>
              <w:rPr>
                <w:rFonts w:hint="eastAsia"/>
                <w:sz w:val="24"/>
                <w:szCs w:val="24"/>
                <w:lang w:eastAsia="zh-CN"/>
              </w:rPr>
              <w:t>供水由</w:t>
            </w:r>
            <w:r>
              <w:rPr>
                <w:rFonts w:hint="default"/>
                <w:sz w:val="24"/>
                <w:szCs w:val="24"/>
                <w:lang w:val="en-US" w:eastAsia="zh-CN"/>
              </w:rPr>
              <w:t>新乡县</w:t>
            </w:r>
            <w:r>
              <w:rPr>
                <w:rFonts w:hint="eastAsia"/>
                <w:sz w:val="24"/>
                <w:szCs w:val="24"/>
                <w:lang w:val="en-US" w:eastAsia="zh-CN"/>
              </w:rPr>
              <w:t>合河乡提供</w:t>
            </w:r>
            <w:r>
              <w:rPr>
                <w:rFonts w:hint="default"/>
                <w:sz w:val="24"/>
                <w:szCs w:val="24"/>
              </w:rPr>
              <w:t>，能够满足本项目用水需要</w:t>
            </w:r>
            <w:r>
              <w:rPr>
                <w:rFonts w:hint="default"/>
                <w:sz w:val="24"/>
                <w:szCs w:val="24"/>
                <w:lang w:eastAsia="zh-CN"/>
              </w:rPr>
              <w:t>。</w:t>
            </w:r>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eastAsia"/>
                <w:sz w:val="24"/>
                <w:szCs w:val="24"/>
                <w:lang w:val="en-US" w:eastAsia="zh-CN"/>
              </w:rPr>
              <w:t>排水</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rPr>
            </w:pPr>
            <w:r>
              <w:rPr>
                <w:rFonts w:hint="default"/>
                <w:sz w:val="24"/>
                <w:szCs w:val="24"/>
                <w:lang w:val="en-US" w:eastAsia="zh-CN"/>
              </w:rPr>
              <w:t>注塑</w:t>
            </w:r>
            <w:r>
              <w:rPr>
                <w:rFonts w:hint="eastAsia"/>
                <w:sz w:val="24"/>
                <w:szCs w:val="24"/>
                <w:lang w:eastAsia="zh-CN"/>
              </w:rPr>
              <w:t>、</w:t>
            </w:r>
            <w:r>
              <w:rPr>
                <w:rFonts w:hint="eastAsia"/>
                <w:sz w:val="24"/>
                <w:szCs w:val="24"/>
                <w:lang w:val="en-US" w:eastAsia="zh-CN"/>
              </w:rPr>
              <w:t>吹塑</w:t>
            </w:r>
            <w:r>
              <w:rPr>
                <w:rFonts w:hint="default"/>
                <w:sz w:val="24"/>
                <w:szCs w:val="24"/>
                <w:lang w:val="en-US" w:eastAsia="zh-CN"/>
              </w:rPr>
              <w:t>过程冷却水循环使用，不外排，由于本项目员工</w:t>
            </w:r>
            <w:r>
              <w:rPr>
                <w:rFonts w:hint="eastAsia"/>
                <w:sz w:val="24"/>
                <w:szCs w:val="24"/>
                <w:lang w:val="en-US" w:eastAsia="zh-CN"/>
              </w:rPr>
              <w:t>从现有员工调剂6人</w:t>
            </w:r>
            <w:r>
              <w:rPr>
                <w:rFonts w:hint="default"/>
                <w:sz w:val="24"/>
                <w:szCs w:val="24"/>
                <w:lang w:val="en-US" w:eastAsia="zh-CN"/>
              </w:rPr>
              <w:t>，不新增员工</w:t>
            </w:r>
            <w:r>
              <w:rPr>
                <w:rFonts w:hint="default"/>
                <w:sz w:val="24"/>
                <w:szCs w:val="24"/>
                <w:lang w:eastAsia="zh-CN"/>
              </w:rPr>
              <w:t>，</w:t>
            </w:r>
            <w:r>
              <w:rPr>
                <w:rFonts w:hint="default"/>
                <w:sz w:val="24"/>
                <w:szCs w:val="24"/>
                <w:lang w:val="en-US" w:eastAsia="zh-CN"/>
              </w:rPr>
              <w:t>故无新增生活污水产生</w:t>
            </w:r>
            <w:r>
              <w:rPr>
                <w:rFonts w:hint="default"/>
                <w:sz w:val="24"/>
                <w:szCs w:val="24"/>
              </w:rPr>
              <w:t>。</w:t>
            </w:r>
          </w:p>
          <w:p>
            <w:pPr>
              <w:pStyle w:val="5"/>
              <w:pageBreakBefore w:val="0"/>
              <w:kinsoku/>
              <w:overflowPunct/>
              <w:topLinePunct w:val="0"/>
              <w:bidi w:val="0"/>
              <w:adjustRightInd w:val="0"/>
              <w:snapToGrid w:val="0"/>
              <w:spacing w:line="360" w:lineRule="auto"/>
              <w:jc w:val="center"/>
              <w:rPr>
                <w:rFonts w:hint="default"/>
                <w:lang w:val="en-US" w:eastAsia="zh-CN"/>
              </w:rPr>
            </w:pPr>
            <w:r>
              <w:rPr>
                <w:rFonts w:hint="default"/>
                <w:lang w:val="en-US" w:eastAsia="zh-CN"/>
              </w:rPr>
              <w:object>
                <v:shape id="_x0000_i1025" o:spt="75" type="#_x0000_t75" style="height:90.95pt;width:274.65pt;" o:ole="t" filled="f" o:preferrelative="t" stroked="f" coordsize="21600,21600">
                  <v:path/>
                  <v:fill on="f" focussize="0,0"/>
                  <v:stroke on="f"/>
                  <v:imagedata r:id="rId18" o:title=""/>
                  <o:lock v:ext="edit" aspectratio="f"/>
                  <w10:wrap type="none"/>
                  <w10:anchorlock/>
                </v:shape>
                <o:OLEObject Type="Embed" ProgID="Visio.Drawing.11" ShapeID="_x0000_i1025" DrawAspect="Content" ObjectID="_1468075725" r:id="rId17">
                  <o:LockedField>false</o:LockedField>
                </o:OLEObject>
              </w:objec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lang w:val="en-US" w:eastAsia="zh-CN"/>
              </w:rPr>
            </w:pPr>
            <w:r>
              <w:rPr>
                <w:rFonts w:hint="eastAsia"/>
                <w:lang w:val="en-US" w:eastAsia="zh-CN"/>
              </w:rPr>
              <w:t>图1 本项目水平衡图      单位：t/d</w:t>
            </w:r>
          </w:p>
          <w:p>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eastAsia"/>
                <w:sz w:val="24"/>
                <w:szCs w:val="24"/>
                <w:lang w:val="en-US" w:eastAsia="zh-CN"/>
              </w:rPr>
              <w:t>供电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default"/>
                <w:sz w:val="24"/>
                <w:szCs w:val="24"/>
                <w:lang w:val="en-US" w:eastAsia="zh-CN"/>
              </w:rPr>
              <w:t>本项目用电量约为</w:t>
            </w:r>
            <w:r>
              <w:rPr>
                <w:rFonts w:hint="eastAsia"/>
                <w:sz w:val="24"/>
                <w:szCs w:val="24"/>
                <w:lang w:val="en-US" w:eastAsia="zh-CN"/>
              </w:rPr>
              <w:t>500</w:t>
            </w:r>
            <w:r>
              <w:rPr>
                <w:rFonts w:hint="default"/>
                <w:sz w:val="24"/>
                <w:szCs w:val="24"/>
                <w:lang w:val="en-US" w:eastAsia="zh-CN"/>
              </w:rPr>
              <w:t>kW·h/a，由新乡县</w:t>
            </w:r>
            <w:r>
              <w:rPr>
                <w:rFonts w:hint="eastAsia"/>
                <w:sz w:val="24"/>
                <w:szCs w:val="24"/>
                <w:lang w:val="en-US" w:eastAsia="zh-CN"/>
              </w:rPr>
              <w:t>合河乡供电所提供</w:t>
            </w:r>
            <w:r>
              <w:rPr>
                <w:rFonts w:hint="default"/>
                <w:sz w:val="24"/>
                <w:szCs w:val="24"/>
                <w:lang w:val="en-US" w:eastAsia="zh-CN"/>
              </w:rPr>
              <w:t>，主要用于项目设备运转、日常办公等，可满足项目需求。</w:t>
            </w:r>
          </w:p>
          <w:p>
            <w:pPr>
              <w:pStyle w:val="2"/>
            </w:pPr>
          </w:p>
          <w:p/>
          <w:p>
            <w:pPr>
              <w:pStyle w:val="2"/>
            </w:pPr>
          </w:p>
          <w:p>
            <w:pPr>
              <w:pStyle w:val="2"/>
              <w:ind w:left="0" w:leftChars="0" w:firstLine="0" w:firstLineChars="0"/>
            </w:pPr>
          </w:p>
        </w:tc>
      </w:tr>
    </w:tbl>
    <w:p>
      <w:pPr>
        <w:pStyle w:val="18"/>
        <w:adjustRightInd w:val="0"/>
        <w:snapToGrid w:val="0"/>
        <w:spacing w:before="0" w:beforeAutospacing="0" w:after="0" w:afterAutospacing="0"/>
        <w:jc w:val="both"/>
        <w:rPr>
          <w:rFonts w:hint="eastAsia"/>
        </w:rPr>
      </w:pPr>
    </w:p>
    <w:tbl>
      <w:tblPr>
        <w:tblStyle w:val="22"/>
        <w:tblW w:w="879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3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3" w:type="dxa"/>
            <w:noWrap w:val="0"/>
            <w:vAlign w:val="center"/>
          </w:tcPr>
          <w:p>
            <w:pPr>
              <w:pStyle w:val="18"/>
              <w:adjustRightInd w:val="0"/>
              <w:snapToGrid w:val="0"/>
              <w:spacing w:before="0" w:beforeAutospacing="0" w:after="0" w:afterAutospacing="0"/>
              <w:jc w:val="center"/>
              <w:rPr>
                <w:rFonts w:cs="宋体"/>
                <w:sz w:val="24"/>
                <w:szCs w:val="24"/>
              </w:rPr>
            </w:pPr>
            <w:r>
              <w:rPr>
                <w:rFonts w:hint="eastAsia" w:cs="宋体"/>
                <w:sz w:val="24"/>
                <w:szCs w:val="24"/>
              </w:rPr>
              <w:t>工艺流程和产排污环节</w:t>
            </w:r>
          </w:p>
        </w:tc>
        <w:tc>
          <w:tcPr>
            <w:tcW w:w="8341" w:type="dxa"/>
            <w:noWrap w:val="0"/>
            <w:vAlign w:val="top"/>
          </w:tcPr>
          <w:p>
            <w:pPr>
              <w:keepLines w:val="0"/>
              <w:pageBreakBefore w:val="0"/>
              <w:widowControl w:val="0"/>
              <w:numPr>
                <w:ilvl w:val="0"/>
                <w:numId w:val="6"/>
              </w:numPr>
              <w:kinsoku/>
              <w:wordWrap/>
              <w:topLinePunct w:val="0"/>
              <w:autoSpaceDE/>
              <w:autoSpaceDN/>
              <w:bidi w:val="0"/>
              <w:adjustRightInd/>
              <w:spacing w:line="360" w:lineRule="auto"/>
              <w:ind w:left="0" w:leftChars="0" w:firstLine="400" w:firstLineChars="0"/>
              <w:textAlignment w:val="baseline"/>
              <w:rPr>
                <w:rFonts w:hint="default"/>
                <w:sz w:val="24"/>
                <w:szCs w:val="24"/>
              </w:rPr>
            </w:pPr>
            <w:r>
              <w:rPr>
                <w:rFonts w:hint="default"/>
                <w:sz w:val="24"/>
                <w:szCs w:val="24"/>
              </w:rPr>
              <w:t>项目主要生产工艺流程及产污环节见图</w:t>
            </w:r>
            <w:r>
              <w:rPr>
                <w:rFonts w:hint="eastAsia"/>
                <w:sz w:val="24"/>
                <w:szCs w:val="24"/>
                <w:lang w:val="en-US" w:eastAsia="zh-CN"/>
              </w:rPr>
              <w:t>2</w:t>
            </w:r>
            <w:r>
              <w:rPr>
                <w:rFonts w:hint="default"/>
                <w:sz w:val="24"/>
                <w:szCs w:val="24"/>
              </w:rPr>
              <w:t>。</w:t>
            </w:r>
          </w:p>
          <w:p>
            <w:pPr>
              <w:keepNext/>
              <w:keepLines w:val="0"/>
              <w:pageBreakBefore w:val="0"/>
              <w:widowControl w:val="0"/>
              <w:numPr>
                <w:ilvl w:val="0"/>
                <w:numId w:val="7"/>
              </w:numPr>
              <w:kinsoku/>
              <w:wordWrap/>
              <w:overflowPunct w:val="0"/>
              <w:topLinePunct w:val="0"/>
              <w:autoSpaceDE/>
              <w:autoSpaceDN/>
              <w:bidi w:val="0"/>
              <w:adjustRightInd/>
              <w:snapToGrid w:val="0"/>
              <w:spacing w:before="0" w:after="0" w:line="360" w:lineRule="auto"/>
              <w:ind w:left="845" w:leftChars="0" w:hanging="425" w:firstLineChars="0"/>
              <w:textAlignment w:val="auto"/>
              <w:outlineLvl w:val="9"/>
              <w:rPr>
                <w:rFonts w:hint="default" w:ascii="Times New Roman" w:hAnsi="Times New Roman" w:eastAsia="宋体" w:cs="Times New Roman"/>
                <w:b w:val="0"/>
                <w:bCs w:val="0"/>
                <w:sz w:val="24"/>
                <w:szCs w:val="24"/>
                <w:lang w:val="en-US" w:eastAsia="zh-CN"/>
              </w:rPr>
            </w:pPr>
            <w:r>
              <w:rPr>
                <w:rFonts w:hint="eastAsia" w:cs="Times New Roman"/>
                <w:b w:val="0"/>
                <w:bCs w:val="0"/>
                <w:sz w:val="24"/>
                <w:szCs w:val="24"/>
                <w:lang w:val="en-US" w:eastAsia="zh-CN"/>
              </w:rPr>
              <w:t>塑料包装容器</w:t>
            </w:r>
            <w:r>
              <w:rPr>
                <w:rFonts w:hint="default" w:ascii="Times New Roman" w:hAnsi="Times New Roman" w:eastAsia="宋体" w:cs="Times New Roman"/>
                <w:b w:val="0"/>
                <w:bCs w:val="0"/>
                <w:sz w:val="24"/>
                <w:szCs w:val="24"/>
                <w:lang w:val="en-US" w:eastAsia="zh-CN"/>
              </w:rPr>
              <w:t>生产工艺流程及产污环节示意图</w:t>
            </w:r>
          </w:p>
          <w:p>
            <w:pPr>
              <w:adjustRightInd w:val="0"/>
              <w:snapToGrid w:val="0"/>
              <w:spacing w:line="360" w:lineRule="auto"/>
              <w:jc w:val="both"/>
              <w:textAlignment w:val="baseline"/>
              <w:rPr>
                <w:rFonts w:hint="eastAsia" w:eastAsia="宋体"/>
                <w:lang w:eastAsia="zh-CN"/>
              </w:rPr>
            </w:pPr>
            <w:r>
              <w:rPr>
                <w:rFonts w:hint="eastAsia" w:eastAsia="宋体"/>
                <w:lang w:eastAsia="zh-CN"/>
              </w:rPr>
              <w:object>
                <v:shape id="_x0000_i1026" o:spt="75" type="#_x0000_t75" style="height:122.35pt;width:408pt;" o:ole="t" filled="f" o:preferrelative="t" stroked="f" coordsize="21600,21600">
                  <v:path/>
                  <v:fill on="f" focussize="0,0"/>
                  <v:stroke on="f"/>
                  <v:imagedata r:id="rId20" o:title=""/>
                  <o:lock v:ext="edit" aspectratio="f"/>
                  <w10:wrap type="none"/>
                  <w10:anchorlock/>
                </v:shape>
                <o:OLEObject Type="Embed" ProgID="Visio.Drawing.11" ShapeID="_x0000_i1026" DrawAspect="Content" ObjectID="_1468075726" r:id="rId19">
                  <o:LockedField>false</o:LockedField>
                </o:OLEObject>
              </w:object>
            </w:r>
          </w:p>
          <w:p>
            <w:pPr>
              <w:adjustRightInd w:val="0"/>
              <w:snapToGrid w:val="0"/>
              <w:spacing w:line="36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图</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 xml:space="preserve">     </w:t>
            </w:r>
            <w:r>
              <w:rPr>
                <w:rFonts w:hint="eastAsia" w:cs="Times New Roman"/>
                <w:sz w:val="21"/>
                <w:szCs w:val="21"/>
                <w:lang w:val="en-US" w:eastAsia="zh-CN"/>
              </w:rPr>
              <w:t>塑料包装容器</w:t>
            </w:r>
            <w:r>
              <w:rPr>
                <w:rFonts w:hint="default" w:ascii="Times New Roman" w:hAnsi="Times New Roman" w:cs="Times New Roman"/>
                <w:sz w:val="21"/>
                <w:szCs w:val="21"/>
              </w:rPr>
              <w:t>生产工艺流程及产污环节示意图</w:t>
            </w:r>
          </w:p>
          <w:p>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ind w:left="0" w:leftChars="0" w:firstLine="482" w:firstLineChars="200"/>
              <w:textAlignment w:val="auto"/>
            </w:pPr>
            <w:r>
              <w:rPr>
                <w:rFonts w:hint="eastAsia"/>
                <w:b/>
                <w:bCs/>
                <w:sz w:val="24"/>
                <w:szCs w:val="24"/>
                <w:lang w:val="en-US" w:eastAsia="zh-CN"/>
              </w:rPr>
              <w:t>工艺流程简述</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（1）混料：将</w:t>
            </w:r>
            <w:r>
              <w:rPr>
                <w:rFonts w:hint="eastAsia" w:cs="Times New Roman"/>
                <w:sz w:val="24"/>
                <w:szCs w:val="24"/>
                <w:lang w:val="en-US" w:eastAsia="zh-CN"/>
              </w:rPr>
              <w:t>高密度</w:t>
            </w:r>
            <w:r>
              <w:rPr>
                <w:rFonts w:hint="default" w:ascii="Times New Roman" w:hAnsi="Times New Roman" w:eastAsia="宋体" w:cs="Times New Roman"/>
                <w:sz w:val="24"/>
                <w:szCs w:val="24"/>
              </w:rPr>
              <w:t>聚乙烯颗粒</w:t>
            </w:r>
            <w:r>
              <w:rPr>
                <w:rFonts w:hint="eastAsia" w:cs="Times New Roman"/>
                <w:sz w:val="24"/>
                <w:szCs w:val="24"/>
                <w:lang w:val="en-US" w:eastAsia="zh-CN"/>
              </w:rPr>
              <w:t>经人工拆包后，采用</w:t>
            </w:r>
            <w:r>
              <w:rPr>
                <w:rFonts w:hint="eastAsia"/>
                <w:color w:val="000000" w:themeColor="text1"/>
                <w:spacing w:val="-2"/>
                <w:sz w:val="24"/>
                <w:szCs w:val="24"/>
                <w14:textFill>
                  <w14:solidFill>
                    <w14:schemeClr w14:val="tx1"/>
                  </w14:solidFill>
                </w14:textFill>
              </w:rPr>
              <w:t>自动投料器</w:t>
            </w:r>
            <w:r>
              <w:rPr>
                <w:rFonts w:hint="default" w:ascii="Times New Roman" w:hAnsi="Times New Roman" w:eastAsia="宋体" w:cs="Times New Roman"/>
                <w:sz w:val="24"/>
                <w:szCs w:val="24"/>
              </w:rPr>
              <w:t>加入混料机内自动搅拌均匀，此过程中混料机为密闭型</w:t>
            </w:r>
            <w:r>
              <w:rPr>
                <w:rFonts w:hint="eastAsia" w:cs="Times New Roman"/>
                <w:sz w:val="24"/>
                <w:szCs w:val="24"/>
                <w:lang w:val="en-US" w:eastAsia="zh-CN"/>
              </w:rPr>
              <w:t>设备</w:t>
            </w:r>
            <w:r>
              <w:rPr>
                <w:rFonts w:hint="default" w:ascii="Times New Roman" w:hAnsi="Times New Roman" w:eastAsia="宋体" w:cs="Times New Roman"/>
                <w:sz w:val="24"/>
                <w:szCs w:val="24"/>
              </w:rPr>
              <w:t xml:space="preserve">，且所用的原料均为粒径2mm以上的颗粒，故此过程中无粉尘产生及排放。 </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（2）上料：混料后的原材料经过上料机输送至中空</w:t>
            </w:r>
            <w:r>
              <w:rPr>
                <w:rFonts w:hint="eastAsia" w:cs="Times New Roman"/>
                <w:sz w:val="24"/>
                <w:szCs w:val="24"/>
                <w:lang w:val="en-US" w:eastAsia="zh-CN"/>
              </w:rPr>
              <w:t>吹塑机</w:t>
            </w:r>
            <w:r>
              <w:rPr>
                <w:rFonts w:hint="default" w:ascii="Times New Roman" w:hAnsi="Times New Roman" w:eastAsia="宋体" w:cs="Times New Roman"/>
                <w:sz w:val="24"/>
                <w:szCs w:val="24"/>
              </w:rPr>
              <w:t>。本项目使用的上料机为螺旋上料机，外壳是由钢管通过法兰将各段连接为整体，输送时由管道进行输送，具有良好的密封性，故上料过程中无粉尘产生。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b w:val="0"/>
                <w:bCs w:val="0"/>
                <w:sz w:val="24"/>
                <w:szCs w:val="24"/>
              </w:rPr>
            </w:pPr>
            <w:r>
              <w:rPr>
                <w:rFonts w:hint="default" w:ascii="Times New Roman" w:hAnsi="Times New Roman" w:eastAsia="宋体" w:cs="Times New Roman"/>
                <w:sz w:val="24"/>
                <w:szCs w:val="24"/>
              </w:rPr>
              <w:t>（3）</w:t>
            </w:r>
            <w:r>
              <w:rPr>
                <w:rFonts w:hint="eastAsia" w:cs="Times New Roman"/>
                <w:sz w:val="24"/>
                <w:szCs w:val="24"/>
                <w:lang w:val="en-US" w:eastAsia="zh-CN"/>
              </w:rPr>
              <w:t>加热挤出</w:t>
            </w:r>
            <w:r>
              <w:rPr>
                <w:rFonts w:hint="default" w:ascii="Times New Roman" w:hAnsi="Times New Roman" w:eastAsia="宋体" w:cs="Times New Roman"/>
                <w:sz w:val="24"/>
                <w:szCs w:val="24"/>
              </w:rPr>
              <w:t>：</w:t>
            </w:r>
            <w:r>
              <w:rPr>
                <w:bCs/>
                <w:color w:val="000000"/>
                <w:sz w:val="24"/>
                <w:szCs w:val="24"/>
              </w:rPr>
              <w:t>料仓内的原料</w:t>
            </w:r>
            <w:r>
              <w:rPr>
                <w:color w:val="000000"/>
                <w:sz w:val="24"/>
                <w:szCs w:val="24"/>
              </w:rPr>
              <w:t>经电子计量后进入加热筒进行分段式电</w:t>
            </w:r>
            <w:r>
              <w:rPr>
                <w:rFonts w:hint="eastAsia"/>
                <w:color w:val="000000"/>
                <w:sz w:val="24"/>
                <w:szCs w:val="24"/>
                <w:lang w:eastAsia="zh-CN"/>
              </w:rPr>
              <w:t>加热挤出</w:t>
            </w:r>
            <w:r>
              <w:rPr>
                <w:color w:val="000000"/>
                <w:sz w:val="24"/>
                <w:szCs w:val="24"/>
              </w:rPr>
              <w:t>，加热温度为210~230℃，熔融后的物料经加热筒喷嘴注射至模具型腔中进行压制成型</w:t>
            </w:r>
            <w:r>
              <w:rPr>
                <w:rFonts w:hint="eastAsia"/>
                <w:color w:val="000000"/>
                <w:sz w:val="24"/>
                <w:szCs w:val="24"/>
                <w:lang w:eastAsia="zh-CN"/>
              </w:rPr>
              <w:t>。</w:t>
            </w:r>
            <w:r>
              <w:rPr>
                <w:rFonts w:hAnsi="宋体"/>
                <w:color w:val="000000"/>
                <w:sz w:val="24"/>
                <w:szCs w:val="24"/>
              </w:rPr>
              <w:t>该工序会产生有机废气和噪声。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（4）</w:t>
            </w:r>
            <w:r>
              <w:rPr>
                <w:rFonts w:hint="eastAsia" w:cs="Times New Roman"/>
                <w:sz w:val="24"/>
                <w:szCs w:val="24"/>
                <w:lang w:val="en-US" w:eastAsia="zh-CN"/>
              </w:rPr>
              <w:t>注塑：</w:t>
            </w:r>
            <w:r>
              <w:rPr>
                <w:rFonts w:hint="default" w:ascii="Times New Roman" w:hAnsi="Times New Roman" w:eastAsia="宋体" w:cs="Times New Roman"/>
                <w:b w:val="0"/>
                <w:bCs/>
                <w:sz w:val="24"/>
                <w:szCs w:val="24"/>
                <w:highlight w:val="none"/>
                <w:lang w:val="en-US" w:eastAsia="zh-CN"/>
              </w:rPr>
              <w:t>混合后的物料进入料斗内后，进行加热至熔融状态，使物料塑化。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eastAsia" w:cs="Times New Roman"/>
                <w:color w:val="000000"/>
                <w:sz w:val="24"/>
                <w:szCs w:val="24"/>
                <w:lang w:eastAsia="zh-CN"/>
              </w:rPr>
              <w:t>（</w:t>
            </w:r>
            <w:r>
              <w:rPr>
                <w:rFonts w:hint="eastAsia" w:cs="Times New Roman"/>
                <w:color w:val="000000"/>
                <w:sz w:val="24"/>
                <w:szCs w:val="24"/>
                <w:lang w:val="en-US" w:eastAsia="zh-CN"/>
              </w:rPr>
              <w:t>5）</w:t>
            </w:r>
            <w:r>
              <w:rPr>
                <w:rFonts w:hint="default" w:ascii="Times New Roman" w:hAnsi="Times New Roman" w:eastAsia="宋体" w:cs="Times New Roman"/>
                <w:color w:val="000000"/>
                <w:sz w:val="24"/>
                <w:szCs w:val="24"/>
              </w:rPr>
              <w:t>吹塑</w:t>
            </w:r>
            <w:r>
              <w:rPr>
                <w:rFonts w:hint="eastAsia"/>
                <w:sz w:val="24"/>
                <w:szCs w:val="24"/>
                <w:lang w:eastAsia="zh-CN"/>
              </w:rPr>
              <w:t>、</w:t>
            </w:r>
            <w:r>
              <w:rPr>
                <w:rFonts w:hint="default" w:ascii="Times New Roman" w:hAnsi="Times New Roman" w:eastAsia="宋体" w:cs="Times New Roman"/>
                <w:color w:val="000000"/>
                <w:sz w:val="24"/>
                <w:szCs w:val="24"/>
                <w:lang w:val="en-US" w:eastAsia="zh-CN"/>
              </w:rPr>
              <w:t>冷却</w:t>
            </w:r>
            <w:r>
              <w:rPr>
                <w:rFonts w:hint="default" w:ascii="Times New Roman" w:hAnsi="Times New Roman" w:eastAsia="宋体" w:cs="Times New Roman"/>
                <w:color w:val="000000"/>
                <w:sz w:val="24"/>
                <w:szCs w:val="24"/>
              </w:rPr>
              <w:t>：合模终止后由模具的吹气口注入0.5~0.6MPa压缩空气，使管状料坯快速吹胀拉伸贴紧吹塑模具保压冷却，在模具的型腔外布满了冷却水道，使料坯在吹塑成型后快速冷却定型，到达设定时间后放气、开模，机械手钳取成型制品出模。冷却采用冷却塔降低水温，循环利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sz w:val="24"/>
                <w:szCs w:val="24"/>
              </w:rPr>
              <w:t>（</w:t>
            </w:r>
            <w:r>
              <w:rPr>
                <w:rFonts w:hint="eastAsia" w:cs="Times New Roman"/>
                <w:sz w:val="24"/>
                <w:szCs w:val="24"/>
                <w:lang w:val="en-US" w:eastAsia="zh-CN"/>
              </w:rPr>
              <w:t>6</w:t>
            </w:r>
            <w:r>
              <w:rPr>
                <w:rFonts w:hint="default" w:ascii="Times New Roman" w:hAnsi="Times New Roman" w:eastAsia="宋体" w:cs="Times New Roman"/>
                <w:sz w:val="24"/>
                <w:szCs w:val="24"/>
              </w:rPr>
              <w:t>）</w:t>
            </w:r>
            <w:r>
              <w:rPr>
                <w:rFonts w:hint="default" w:ascii="Times New Roman" w:hAnsi="Times New Roman" w:eastAsia="宋体" w:cs="Times New Roman"/>
                <w:color w:val="000000"/>
                <w:sz w:val="24"/>
                <w:szCs w:val="24"/>
              </w:rPr>
              <w:t>修边：成型后的</w:t>
            </w:r>
            <w:r>
              <w:rPr>
                <w:rFonts w:hint="eastAsia" w:cs="Times New Roman"/>
                <w:color w:val="000000"/>
                <w:sz w:val="24"/>
                <w:szCs w:val="24"/>
                <w:lang w:eastAsia="zh-CN"/>
              </w:rPr>
              <w:t>塑料包装容器</w:t>
            </w:r>
            <w:r>
              <w:rPr>
                <w:rFonts w:hint="default" w:ascii="Times New Roman" w:hAnsi="Times New Roman" w:eastAsia="宋体" w:cs="Times New Roman"/>
                <w:color w:val="000000"/>
                <w:sz w:val="24"/>
                <w:szCs w:val="24"/>
              </w:rPr>
              <w:t>通过</w:t>
            </w:r>
            <w:r>
              <w:rPr>
                <w:rFonts w:hint="eastAsia" w:cs="Times New Roman"/>
                <w:color w:val="000000"/>
                <w:sz w:val="24"/>
                <w:szCs w:val="24"/>
                <w:lang w:val="en-US" w:eastAsia="zh-CN"/>
              </w:rPr>
              <w:t>人工</w:t>
            </w:r>
            <w:r>
              <w:rPr>
                <w:rFonts w:hint="default" w:ascii="Times New Roman" w:hAnsi="Times New Roman" w:eastAsia="宋体" w:cs="Times New Roman"/>
                <w:color w:val="000000"/>
                <w:sz w:val="24"/>
                <w:szCs w:val="24"/>
              </w:rPr>
              <w:t>对产品周边毛边进行</w:t>
            </w:r>
            <w:r>
              <w:rPr>
                <w:rFonts w:hint="eastAsia" w:cs="Times New Roman"/>
                <w:color w:val="000000"/>
                <w:sz w:val="24"/>
                <w:szCs w:val="24"/>
                <w:lang w:val="en-US" w:eastAsia="zh-CN"/>
              </w:rPr>
              <w:t>修剪</w:t>
            </w:r>
            <w:r>
              <w:rPr>
                <w:rFonts w:hint="default" w:ascii="Times New Roman" w:hAnsi="Times New Roman" w:eastAsia="宋体" w:cs="Times New Roman"/>
                <w:color w:val="000000"/>
                <w:sz w:val="24"/>
                <w:szCs w:val="24"/>
              </w:rPr>
              <w:t>，此过程有边角料及不合格品产生，本项目边角料及不合格品经</w:t>
            </w:r>
            <w:r>
              <w:rPr>
                <w:rFonts w:hint="eastAsia" w:cs="Times New Roman"/>
                <w:color w:val="000000"/>
                <w:sz w:val="24"/>
                <w:szCs w:val="24"/>
                <w:lang w:val="en-US" w:eastAsia="zh-CN"/>
              </w:rPr>
              <w:t>破</w:t>
            </w:r>
            <w:r>
              <w:rPr>
                <w:rFonts w:hint="default" w:ascii="Times New Roman" w:hAnsi="Times New Roman" w:eastAsia="宋体" w:cs="Times New Roman"/>
                <w:color w:val="000000"/>
                <w:sz w:val="24"/>
                <w:szCs w:val="24"/>
              </w:rPr>
              <w:t>碎机</w:t>
            </w:r>
            <w:r>
              <w:rPr>
                <w:rFonts w:hint="eastAsia" w:cs="Times New Roman"/>
                <w:color w:val="000000"/>
                <w:sz w:val="24"/>
                <w:szCs w:val="24"/>
                <w:lang w:val="en-US" w:eastAsia="zh-CN"/>
              </w:rPr>
              <w:t>破</w:t>
            </w:r>
            <w:r>
              <w:rPr>
                <w:rFonts w:hint="default" w:ascii="Times New Roman" w:hAnsi="Times New Roman" w:eastAsia="宋体" w:cs="Times New Roman"/>
                <w:color w:val="000000"/>
                <w:sz w:val="24"/>
                <w:szCs w:val="24"/>
              </w:rPr>
              <w:t>碎后回用于原料混料过程，循环使用。</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eastAsia" w:cs="Times New Roman"/>
                <w:sz w:val="24"/>
                <w:szCs w:val="24"/>
                <w:lang w:val="en-US" w:eastAsia="zh-CN"/>
              </w:rPr>
              <w:t>7</w:t>
            </w:r>
            <w:r>
              <w:rPr>
                <w:rFonts w:hint="default" w:ascii="Times New Roman" w:hAnsi="Times New Roman" w:eastAsia="宋体" w:cs="Times New Roman"/>
                <w:sz w:val="24"/>
                <w:szCs w:val="24"/>
              </w:rPr>
              <w:t>）包装</w:t>
            </w:r>
            <w:r>
              <w:rPr>
                <w:rFonts w:hint="eastAsia" w:cs="Times New Roman"/>
                <w:sz w:val="24"/>
                <w:szCs w:val="24"/>
                <w:lang w:val="en-US" w:eastAsia="zh-CN"/>
              </w:rPr>
              <w:t>入库</w:t>
            </w:r>
            <w:r>
              <w:rPr>
                <w:rFonts w:hint="default" w:ascii="Times New Roman" w:hAnsi="Times New Roman" w:eastAsia="宋体" w:cs="Times New Roman"/>
                <w:sz w:val="24"/>
                <w:szCs w:val="24"/>
              </w:rPr>
              <w:t>：在传送带上经检验合格的</w:t>
            </w:r>
            <w:r>
              <w:rPr>
                <w:rFonts w:hint="eastAsia" w:cs="Times New Roman"/>
                <w:sz w:val="24"/>
                <w:szCs w:val="24"/>
                <w:lang w:eastAsia="zh-CN"/>
              </w:rPr>
              <w:t>塑料包装容器</w:t>
            </w:r>
            <w:r>
              <w:rPr>
                <w:rFonts w:hint="default" w:ascii="Times New Roman" w:hAnsi="Times New Roman" w:eastAsia="宋体" w:cs="Times New Roman"/>
                <w:sz w:val="24"/>
                <w:szCs w:val="24"/>
              </w:rPr>
              <w:t>，按设计要求进行包装，即为成品</w:t>
            </w:r>
            <w:r>
              <w:rPr>
                <w:rFonts w:hint="eastAsia" w:cs="Times New Roman"/>
                <w:sz w:val="24"/>
                <w:szCs w:val="24"/>
                <w:lang w:val="en-US" w:eastAsia="zh-CN"/>
              </w:rPr>
              <w:t>放入仓库</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lang w:val="en-US" w:eastAsia="zh-CN"/>
              </w:rPr>
            </w:pPr>
            <w:r>
              <w:rPr>
                <w:rFonts w:hint="default" w:ascii="Times New Roman" w:hAnsi="Times New Roman" w:eastAsia="宋体" w:cs="Times New Roman"/>
                <w:sz w:val="24"/>
                <w:szCs w:val="24"/>
              </w:rPr>
              <w:t>（</w:t>
            </w:r>
            <w:r>
              <w:rPr>
                <w:rFonts w:hint="eastAsia" w:cs="Times New Roman"/>
                <w:sz w:val="24"/>
                <w:szCs w:val="24"/>
                <w:lang w:val="en-US" w:eastAsia="zh-CN"/>
              </w:rPr>
              <w:t>8</w:t>
            </w:r>
            <w:r>
              <w:rPr>
                <w:rFonts w:hint="default" w:ascii="Times New Roman" w:hAnsi="Times New Roman" w:eastAsia="宋体" w:cs="Times New Roman"/>
                <w:sz w:val="24"/>
                <w:szCs w:val="24"/>
              </w:rPr>
              <w:t>）</w:t>
            </w:r>
            <w:r>
              <w:rPr>
                <w:rFonts w:hint="eastAsia" w:cs="Times New Roman"/>
                <w:sz w:val="24"/>
                <w:szCs w:val="24"/>
                <w:lang w:val="en-US" w:eastAsia="zh-CN"/>
              </w:rPr>
              <w:t>破</w:t>
            </w:r>
            <w:r>
              <w:rPr>
                <w:rFonts w:hint="default" w:ascii="Times New Roman" w:hAnsi="Times New Roman" w:eastAsia="宋体" w:cs="Times New Roman"/>
                <w:sz w:val="24"/>
                <w:szCs w:val="24"/>
              </w:rPr>
              <w:t>碎：本项目对边角料、不合格品等进行破碎回用，回用于原料混料过程</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破碎过程会产生粉尘及噪声。</w:t>
            </w:r>
          </w:p>
          <w:p>
            <w:pPr>
              <w:keepNext w:val="0"/>
              <w:keepLines w:val="0"/>
              <w:pageBreakBefore w:val="0"/>
              <w:widowControl w:val="0"/>
              <w:kinsoku/>
              <w:wordWrap/>
              <w:overflowPunct/>
              <w:topLinePunct w:val="0"/>
              <w:bidi w:val="0"/>
              <w:adjustRightInd w:val="0"/>
              <w:snapToGrid w:val="0"/>
              <w:spacing w:line="360" w:lineRule="auto"/>
              <w:textAlignment w:val="auto"/>
              <w:rPr>
                <w:rFonts w:hint="default"/>
              </w:rPr>
            </w:pPr>
            <w:r>
              <w:rPr>
                <w:rFonts w:hint="default" w:ascii="Times New Roman" w:hAnsi="Times New Roman" w:eastAsia="宋体" w:cs="Times New Roman"/>
                <w:b/>
                <w:sz w:val="28"/>
                <w:szCs w:val="28"/>
                <w:highlight w:val="none"/>
              </w:rPr>
              <w:t>主要污染工序</w:t>
            </w:r>
          </w:p>
          <w:p>
            <w:pPr>
              <w:pStyle w:val="14"/>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rFonts w:hint="default" w:ascii="Times New Roman" w:hAnsi="Times New Roman" w:eastAsia="宋体" w:cs="Times New Roman"/>
                <w:b/>
                <w:kern w:val="2"/>
                <w:sz w:val="24"/>
                <w:highlight w:val="none"/>
                <w:lang w:val="en-US" w:eastAsia="zh-CN"/>
              </w:rPr>
            </w:pPr>
            <w:r>
              <w:rPr>
                <w:rFonts w:hint="default" w:ascii="Times New Roman" w:hAnsi="Times New Roman" w:eastAsia="宋体" w:cs="Times New Roman"/>
                <w:b/>
                <w:kern w:val="2"/>
                <w:sz w:val="24"/>
                <w:highlight w:val="none"/>
                <w:lang w:val="en-US" w:eastAsia="zh-CN"/>
              </w:rPr>
              <w:t>（一）施工期</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u w:val="none"/>
              </w:rPr>
            </w:pPr>
            <w:r>
              <w:rPr>
                <w:rFonts w:hint="default" w:ascii="Times New Roman" w:hAnsi="Times New Roman" w:eastAsia="宋体" w:cs="Times New Roman"/>
                <w:sz w:val="24"/>
                <w:highlight w:val="none"/>
              </w:rPr>
              <w:t>本项目生产</w:t>
            </w:r>
            <w:r>
              <w:rPr>
                <w:rFonts w:hint="eastAsia" w:cs="Times New Roman"/>
                <w:sz w:val="24"/>
                <w:highlight w:val="none"/>
                <w:lang w:val="en-US" w:eastAsia="zh-CN"/>
              </w:rPr>
              <w:t>利用现有空</w:t>
            </w:r>
            <w:r>
              <w:rPr>
                <w:rFonts w:hint="default" w:ascii="Times New Roman" w:hAnsi="Times New Roman" w:eastAsia="宋体" w:cs="Times New Roman"/>
                <w:sz w:val="24"/>
                <w:highlight w:val="none"/>
              </w:rPr>
              <w:t>厂房</w:t>
            </w:r>
            <w:r>
              <w:rPr>
                <w:rFonts w:hint="default" w:ascii="Times New Roman" w:hAnsi="Times New Roman" w:eastAsia="宋体" w:cs="Times New Roman"/>
                <w:b w:val="0"/>
                <w:bCs w:val="0"/>
                <w:sz w:val="24"/>
                <w:highlight w:val="none"/>
                <w:u w:val="none"/>
              </w:rPr>
              <w:t>，</w:t>
            </w:r>
            <w:r>
              <w:rPr>
                <w:rFonts w:hint="eastAsia"/>
                <w:sz w:val="24"/>
                <w:szCs w:val="24"/>
                <w:lang w:val="en-US" w:eastAsia="zh-CN"/>
              </w:rPr>
              <w:t>施工期仅对设备进行安装，</w:t>
            </w:r>
            <w:r>
              <w:rPr>
                <w:rFonts w:hint="default" w:ascii="Times New Roman" w:hAnsi="Times New Roman" w:eastAsia="宋体" w:cs="Times New Roman"/>
                <w:b w:val="0"/>
                <w:bCs w:val="0"/>
                <w:sz w:val="24"/>
                <w:highlight w:val="none"/>
                <w:u w:val="none"/>
              </w:rPr>
              <w:t>故</w:t>
            </w:r>
            <w:r>
              <w:rPr>
                <w:rFonts w:hint="default" w:ascii="Times New Roman" w:hAnsi="Times New Roman" w:eastAsia="宋体" w:cs="Times New Roman"/>
                <w:b w:val="0"/>
                <w:bCs w:val="0"/>
                <w:sz w:val="24"/>
                <w:highlight w:val="none"/>
                <w:u w:val="none"/>
                <w:lang w:eastAsia="zh-CN"/>
              </w:rPr>
              <w:t>不再</w:t>
            </w:r>
            <w:r>
              <w:rPr>
                <w:rFonts w:hint="eastAsia" w:cs="Times New Roman"/>
                <w:b w:val="0"/>
                <w:bCs w:val="0"/>
                <w:sz w:val="24"/>
                <w:highlight w:val="none"/>
                <w:u w:val="none"/>
                <w:lang w:val="en-US" w:eastAsia="zh-CN"/>
              </w:rPr>
              <w:t>对</w:t>
            </w:r>
            <w:r>
              <w:rPr>
                <w:rFonts w:hint="default" w:ascii="Times New Roman" w:hAnsi="Times New Roman" w:eastAsia="宋体" w:cs="Times New Roman"/>
                <w:b w:val="0"/>
                <w:bCs w:val="0"/>
                <w:sz w:val="24"/>
                <w:highlight w:val="none"/>
                <w:u w:val="none"/>
                <w:lang w:eastAsia="zh-CN"/>
              </w:rPr>
              <w:t>施工期环境影响</w:t>
            </w:r>
            <w:r>
              <w:rPr>
                <w:rFonts w:hint="eastAsia"/>
                <w:sz w:val="24"/>
                <w:szCs w:val="24"/>
                <w:lang w:val="en-US" w:eastAsia="zh-CN"/>
              </w:rPr>
              <w:t>展开</w:t>
            </w:r>
            <w:r>
              <w:rPr>
                <w:rFonts w:hint="default" w:ascii="Times New Roman" w:hAnsi="Times New Roman" w:eastAsia="宋体" w:cs="Times New Roman"/>
                <w:b w:val="0"/>
                <w:bCs w:val="0"/>
                <w:sz w:val="24"/>
                <w:highlight w:val="none"/>
                <w:u w:val="none"/>
                <w:lang w:eastAsia="zh-CN"/>
              </w:rPr>
              <w:t>分析</w:t>
            </w:r>
            <w:r>
              <w:rPr>
                <w:rFonts w:hint="default" w:ascii="Times New Roman" w:hAnsi="Times New Roman" w:eastAsia="宋体" w:cs="Times New Roman"/>
                <w:b w:val="0"/>
                <w:bCs w:val="0"/>
                <w:sz w:val="24"/>
                <w:highlight w:val="none"/>
                <w:u w:val="none"/>
              </w:rPr>
              <w:t>。</w:t>
            </w:r>
          </w:p>
          <w:p>
            <w:pPr>
              <w:pStyle w:val="14"/>
              <w:keepNext w:val="0"/>
              <w:keepLines w:val="0"/>
              <w:pageBreakBefore w:val="0"/>
              <w:widowControl w:val="0"/>
              <w:kinsoku/>
              <w:wordWrap/>
              <w:overflowPunct/>
              <w:topLinePunct w:val="0"/>
              <w:bidi w:val="0"/>
              <w:adjustRightInd w:val="0"/>
              <w:snapToGrid w:val="0"/>
              <w:spacing w:line="360" w:lineRule="auto"/>
              <w:ind w:firstLine="472" w:firstLineChars="196"/>
              <w:textAlignment w:val="auto"/>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b/>
                <w:kern w:val="2"/>
                <w:sz w:val="24"/>
                <w:szCs w:val="24"/>
                <w:highlight w:val="none"/>
                <w:lang w:val="en-US" w:eastAsia="zh-CN"/>
              </w:rPr>
              <w:t>（二）</w:t>
            </w:r>
            <w:r>
              <w:rPr>
                <w:rFonts w:hint="eastAsia" w:ascii="Times New Roman" w:hAnsi="Times New Roman" w:eastAsia="宋体" w:cs="Times New Roman"/>
                <w:b/>
                <w:kern w:val="2"/>
                <w:sz w:val="24"/>
                <w:szCs w:val="24"/>
                <w:highlight w:val="none"/>
                <w:lang w:val="en-US" w:eastAsia="zh-CN"/>
              </w:rPr>
              <w:t>运营期</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sz w:val="24"/>
                <w:highlight w:val="none"/>
                <w:lang w:eastAsia="zh-CN"/>
              </w:rPr>
            </w:pPr>
            <w:r>
              <w:rPr>
                <w:rFonts w:hint="default" w:ascii="Times New Roman" w:hAnsi="Times New Roman" w:eastAsia="宋体" w:cs="Times New Roman"/>
                <w:sz w:val="24"/>
                <w:highlight w:val="none"/>
              </w:rPr>
              <w:t>本项目</w:t>
            </w:r>
            <w:r>
              <w:rPr>
                <w:rFonts w:hint="eastAsia"/>
                <w:lang w:eastAsia="zh-CN"/>
              </w:rPr>
              <w:t>运营期产生的主要污染物有</w:t>
            </w:r>
            <w:r>
              <w:rPr>
                <w:rFonts w:hint="default" w:ascii="Times New Roman" w:hAnsi="Times New Roman" w:eastAsia="宋体" w:cs="Times New Roman"/>
                <w:sz w:val="24"/>
                <w:highlight w:val="none"/>
              </w:rPr>
              <w:t>废气、噪声及固体废物</w:t>
            </w:r>
            <w:r>
              <w:rPr>
                <w:rFonts w:hint="eastAsia" w:cs="Times New Roman"/>
                <w:sz w:val="24"/>
                <w:highlight w:val="none"/>
                <w:lang w:eastAsia="zh-CN"/>
              </w:rPr>
              <w:t>。</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主要污染工序汇总见表</w:t>
            </w:r>
            <w:r>
              <w:rPr>
                <w:rFonts w:hint="eastAsia" w:cs="Times New Roman"/>
                <w:sz w:val="24"/>
                <w:highlight w:val="none"/>
                <w:lang w:val="en-US" w:eastAsia="zh-CN"/>
              </w:rPr>
              <w:t>14</w:t>
            </w:r>
            <w:r>
              <w:rPr>
                <w:rFonts w:hint="default" w:ascii="Times New Roman" w:hAnsi="Times New Roman" w:eastAsia="宋体"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sz w:val="21"/>
                <w:szCs w:val="21"/>
                <w:lang w:val="en-US" w:eastAsia="zh-CN"/>
              </w:rPr>
              <w:t>表</w:t>
            </w:r>
            <w:r>
              <w:rPr>
                <w:rFonts w:hint="eastAsia" w:ascii="Times New Roman" w:hAnsi="Times New Roman" w:cs="Times New Roman"/>
                <w:color w:val="auto"/>
                <w:sz w:val="21"/>
                <w:szCs w:val="21"/>
                <w:lang w:val="en-US" w:eastAsia="zh-CN"/>
              </w:rPr>
              <w:t>1</w:t>
            </w:r>
            <w:r>
              <w:rPr>
                <w:rFonts w:hint="eastAsia" w:cs="Times New Roman"/>
                <w:color w:val="auto"/>
                <w:sz w:val="21"/>
                <w:szCs w:val="21"/>
                <w:lang w:val="en-US" w:eastAsia="zh-CN"/>
              </w:rPr>
              <w:t xml:space="preserve">4  </w:t>
            </w:r>
            <w:r>
              <w:rPr>
                <w:rFonts w:hint="default" w:ascii="Times New Roman" w:hAnsi="Times New Roman" w:cs="Times New Roman"/>
                <w:sz w:val="21"/>
                <w:szCs w:val="21"/>
                <w:lang w:val="en-US" w:eastAsia="zh-CN"/>
              </w:rPr>
              <w:t>过程产污环节汇总情况一览表</w:t>
            </w:r>
          </w:p>
          <w:tbl>
            <w:tblPr>
              <w:tblStyle w:val="23"/>
              <w:tblW w:w="813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2885"/>
              <w:gridCol w:w="2363"/>
              <w:gridCol w:w="15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污染类别</w:t>
                  </w:r>
                </w:p>
              </w:tc>
              <w:tc>
                <w:tcPr>
                  <w:tcW w:w="17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污染源</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产污环节</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177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w:t>
                  </w:r>
                  <w:r>
                    <w:rPr>
                      <w:rFonts w:hint="eastAsia" w:ascii="Times New Roman" w:hAnsi="Times New Roman" w:cs="Times New Roman"/>
                      <w:sz w:val="21"/>
                      <w:szCs w:val="21"/>
                      <w:vertAlign w:val="baseline"/>
                      <w:lang w:val="en-US" w:eastAsia="zh-CN"/>
                    </w:rPr>
                    <w:t>过程</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注塑、</w:t>
                  </w:r>
                  <w:r>
                    <w:rPr>
                      <w:rFonts w:hint="eastAsia" w:cs="Times New Roman"/>
                      <w:sz w:val="21"/>
                      <w:szCs w:val="21"/>
                      <w:vertAlign w:val="baseline"/>
                      <w:lang w:val="en-US" w:eastAsia="zh-CN"/>
                    </w:rPr>
                    <w:t>挤出、</w:t>
                  </w:r>
                  <w:r>
                    <w:rPr>
                      <w:rFonts w:hint="eastAsia" w:ascii="Times New Roman" w:hAnsi="Times New Roman" w:cs="Times New Roman"/>
                      <w:sz w:val="21"/>
                      <w:szCs w:val="21"/>
                      <w:vertAlign w:val="baseline"/>
                      <w:lang w:val="en-US" w:eastAsia="zh-CN"/>
                    </w:rPr>
                    <w:t>吹塑</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77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破碎</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0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177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1772"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eastAsia" w:cs="Times New Roman"/>
                      <w:sz w:val="21"/>
                      <w:szCs w:val="21"/>
                      <w:lang w:val="en-US" w:eastAsia="zh-CN"/>
                    </w:rPr>
                    <w:t>废</w:t>
                  </w:r>
                  <w:r>
                    <w:rPr>
                      <w:rFonts w:hint="eastAsia" w:ascii="Times New Roman" w:hAnsi="Times New Roman" w:cs="Times New Roman"/>
                      <w:sz w:val="21"/>
                      <w:szCs w:val="21"/>
                    </w:rPr>
                    <w:t>边角料、不合格品</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eastAsia" w:cs="Times New Roman"/>
                      <w:sz w:val="21"/>
                      <w:szCs w:val="21"/>
                      <w:lang w:val="en-US" w:eastAsia="zh-CN"/>
                    </w:rPr>
                    <w:t>生产及</w:t>
                  </w:r>
                  <w:r>
                    <w:rPr>
                      <w:rFonts w:hint="eastAsia" w:ascii="Times New Roman" w:hAnsi="Times New Roman" w:cs="Times New Roman"/>
                      <w:sz w:val="21"/>
                      <w:szCs w:val="21"/>
                    </w:rPr>
                    <w:t>修边等过程</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772"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废包装</w:t>
                  </w:r>
                  <w:r>
                    <w:rPr>
                      <w:rFonts w:hint="eastAsia" w:cs="Times New Roman"/>
                      <w:bCs/>
                      <w:color w:val="000000"/>
                      <w:sz w:val="21"/>
                      <w:szCs w:val="21"/>
                      <w:lang w:val="en-US" w:eastAsia="zh-CN"/>
                    </w:rPr>
                    <w:t>袋</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rPr>
                    <w:t>投料</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8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772"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袋式除尘器收集的粉尘</w:t>
                  </w:r>
                </w:p>
              </w:tc>
              <w:tc>
                <w:tcPr>
                  <w:tcW w:w="14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772"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Cs/>
                      <w:color w:val="000000"/>
                      <w:sz w:val="21"/>
                      <w:szCs w:val="21"/>
                      <w:highlight w:val="none"/>
                      <w:lang w:val="en-US" w:eastAsia="zh-CN"/>
                    </w:rPr>
                    <w:t>废催化剂</w:t>
                  </w:r>
                </w:p>
              </w:tc>
              <w:tc>
                <w:tcPr>
                  <w:tcW w:w="145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sz w:val="21"/>
                      <w:szCs w:val="21"/>
                      <w:highlight w:val="none"/>
                      <w:vertAlign w:val="baseline"/>
                      <w:lang w:val="en-US" w:eastAsia="zh-CN"/>
                    </w:rPr>
                    <w:t>有机废气处理过程</w:t>
                  </w: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1772"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Cs/>
                      <w:color w:val="000000"/>
                      <w:sz w:val="21"/>
                      <w:szCs w:val="21"/>
                      <w:highlight w:val="none"/>
                      <w:lang w:val="en-US" w:eastAsia="zh-CN"/>
                    </w:rPr>
                    <w:t>废活性炭</w:t>
                  </w:r>
                </w:p>
              </w:tc>
              <w:tc>
                <w:tcPr>
                  <w:tcW w:w="14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p>
              </w:tc>
              <w:tc>
                <w:tcPr>
                  <w:tcW w:w="96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sz w:val="21"/>
                      <w:szCs w:val="21"/>
                      <w:highlight w:val="none"/>
                      <w:lang w:val="en-US" w:eastAsia="zh-CN"/>
                    </w:rPr>
                    <w:t>危险废物</w:t>
                  </w:r>
                </w:p>
              </w:tc>
            </w:tr>
          </w:tbl>
          <w:p>
            <w:pPr>
              <w:keepNext w:val="0"/>
              <w:keepLines w:val="0"/>
              <w:pageBreakBefore w:val="0"/>
              <w:widowControl w:val="0"/>
              <w:numPr>
                <w:ilvl w:val="0"/>
                <w:numId w:val="8"/>
              </w:numPr>
              <w:kinsoku/>
              <w:wordWrap/>
              <w:overflowPunct/>
              <w:topLinePunct w:val="0"/>
              <w:autoSpaceDE/>
              <w:autoSpaceDN/>
              <w:bidi w:val="0"/>
              <w:adjustRightInd w:val="0"/>
              <w:snapToGrid w:val="0"/>
              <w:spacing w:before="157" w:beforeLines="50" w:line="360" w:lineRule="auto"/>
              <w:ind w:left="0" w:leftChars="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废气</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highlight w:val="none"/>
                <w:lang w:val="en-US" w:eastAsia="zh-CN"/>
              </w:rPr>
              <w:t>项目产生废气为</w:t>
            </w:r>
            <w:r>
              <w:rPr>
                <w:rFonts w:hint="eastAsia"/>
                <w:sz w:val="24"/>
                <w:szCs w:val="24"/>
                <w:lang w:val="en-US" w:eastAsia="zh-CN"/>
              </w:rPr>
              <w:t>加热挤出、注塑</w:t>
            </w:r>
            <w:r>
              <w:rPr>
                <w:rFonts w:hint="default" w:ascii="Times New Roman" w:hAnsi="Times New Roman" w:eastAsia="宋体" w:cs="Times New Roman"/>
                <w:sz w:val="24"/>
                <w:szCs w:val="24"/>
                <w:lang w:val="en-US" w:eastAsia="zh-CN"/>
              </w:rPr>
              <w:t>、吹</w:t>
            </w:r>
            <w:r>
              <w:rPr>
                <w:rFonts w:hint="eastAsia" w:cs="Times New Roman"/>
                <w:sz w:val="24"/>
                <w:szCs w:val="24"/>
                <w:lang w:val="en-US" w:eastAsia="zh-CN"/>
              </w:rPr>
              <w:t>塑</w:t>
            </w:r>
            <w:r>
              <w:rPr>
                <w:rFonts w:hint="default" w:ascii="Times New Roman" w:hAnsi="Times New Roman" w:eastAsia="宋体" w:cs="Times New Roman"/>
                <w:sz w:val="24"/>
                <w:szCs w:val="24"/>
                <w:lang w:val="en-US" w:eastAsia="zh-CN"/>
              </w:rPr>
              <w:t>产生的非甲烷总烃；破碎过程产生的粉尘。</w:t>
            </w:r>
          </w:p>
          <w:p>
            <w:pPr>
              <w:keepNext w:val="0"/>
              <w:keepLines w:val="0"/>
              <w:pageBreakBefore w:val="0"/>
              <w:widowControl w:val="0"/>
              <w:numPr>
                <w:ilvl w:val="0"/>
                <w:numId w:val="8"/>
              </w:numPr>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废水</w:t>
            </w:r>
          </w:p>
          <w:p>
            <w:pPr>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本项目不新增员工，无生活污水；冷却水循环使用，定期补充。</w:t>
            </w:r>
          </w:p>
          <w:p>
            <w:pPr>
              <w:keepNext w:val="0"/>
              <w:keepLines w:val="0"/>
              <w:pageBreakBefore w:val="0"/>
              <w:widowControl w:val="0"/>
              <w:numPr>
                <w:ilvl w:val="0"/>
                <w:numId w:val="8"/>
              </w:numPr>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噪声</w:t>
            </w:r>
          </w:p>
          <w:p>
            <w:pPr>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该项目生产过程中产生的噪声主要是设备运行时产生的噪声，工程噪声源强在</w:t>
            </w:r>
            <w:r>
              <w:rPr>
                <w:rFonts w:hint="default" w:ascii="Times New Roman" w:hAnsi="Times New Roman" w:eastAsia="宋体" w:cs="Times New Roman"/>
                <w:sz w:val="24"/>
                <w:szCs w:val="24"/>
                <w:highlight w:val="none"/>
                <w:lang w:val="en-US" w:eastAsia="zh-CN"/>
              </w:rPr>
              <w:t>70</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8</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dB（A）。</w:t>
            </w:r>
          </w:p>
          <w:p>
            <w:pPr>
              <w:keepNext w:val="0"/>
              <w:keepLines w:val="0"/>
              <w:pageBreakBefore w:val="0"/>
              <w:widowControl w:val="0"/>
              <w:numPr>
                <w:ilvl w:val="0"/>
                <w:numId w:val="8"/>
              </w:numPr>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固体废物</w:t>
            </w:r>
          </w:p>
          <w:p>
            <w:pPr>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both"/>
              <w:textAlignment w:val="auto"/>
              <w:outlineLvl w:val="9"/>
              <w:rPr>
                <w:rFonts w:hint="eastAsia" w:ascii="宋体" w:hAnsi="宋体" w:eastAsia="宋体" w:cs="宋体"/>
                <w:b w:val="0"/>
                <w:bCs/>
                <w:sz w:val="24"/>
                <w:szCs w:val="24"/>
                <w:lang w:val="en-US" w:eastAsia="zh-CN"/>
              </w:rPr>
            </w:pPr>
            <w:r>
              <w:rPr>
                <w:rFonts w:hint="default" w:ascii="Times New Roman" w:hAnsi="Times New Roman" w:eastAsia="宋体" w:cs="Times New Roman"/>
                <w:b w:val="0"/>
                <w:bCs w:val="0"/>
                <w:color w:val="000000"/>
                <w:sz w:val="24"/>
                <w:szCs w:val="24"/>
                <w:highlight w:val="none"/>
              </w:rPr>
              <w:t>该项目生产过程中产生的</w:t>
            </w:r>
            <w:r>
              <w:rPr>
                <w:rFonts w:hint="default" w:ascii="Times New Roman" w:hAnsi="Times New Roman" w:eastAsia="宋体" w:cs="Times New Roman"/>
                <w:b w:val="0"/>
                <w:bCs w:val="0"/>
                <w:color w:val="000000"/>
                <w:sz w:val="24"/>
                <w:szCs w:val="24"/>
                <w:highlight w:val="none"/>
                <w:lang w:val="en-US" w:eastAsia="zh-CN"/>
              </w:rPr>
              <w:t>固废分为</w:t>
            </w:r>
            <w:r>
              <w:rPr>
                <w:rFonts w:hint="default" w:ascii="Times New Roman" w:hAnsi="Times New Roman" w:eastAsia="宋体" w:cs="Times New Roman"/>
                <w:b w:val="0"/>
                <w:bCs w:val="0"/>
                <w:color w:val="000000"/>
                <w:sz w:val="24"/>
                <w:szCs w:val="24"/>
                <w:highlight w:val="none"/>
              </w:rPr>
              <w:t>一般固体废物</w:t>
            </w:r>
            <w:r>
              <w:rPr>
                <w:rFonts w:hint="default" w:ascii="Times New Roman" w:hAnsi="Times New Roman" w:eastAsia="宋体" w:cs="Times New Roman"/>
                <w:b w:val="0"/>
                <w:bCs w:val="0"/>
                <w:color w:val="000000"/>
                <w:sz w:val="24"/>
                <w:szCs w:val="24"/>
                <w:highlight w:val="none"/>
                <w:lang w:val="en-US" w:eastAsia="zh-CN"/>
              </w:rPr>
              <w:t>和危险废物，</w:t>
            </w:r>
            <w:r>
              <w:rPr>
                <w:rFonts w:hint="default" w:ascii="Times New Roman" w:hAnsi="Times New Roman" w:eastAsia="宋体" w:cs="Times New Roman"/>
                <w:b w:val="0"/>
                <w:bCs w:val="0"/>
                <w:color w:val="000000"/>
                <w:sz w:val="24"/>
                <w:szCs w:val="24"/>
                <w:highlight w:val="none"/>
              </w:rPr>
              <w:t>一般固体废物主要是</w:t>
            </w:r>
            <w:r>
              <w:rPr>
                <w:rFonts w:hint="default" w:ascii="Times New Roman" w:hAnsi="Times New Roman" w:eastAsia="宋体" w:cs="Times New Roman"/>
                <w:b w:val="0"/>
                <w:bCs w:val="0"/>
                <w:color w:val="000000"/>
                <w:sz w:val="24"/>
                <w:szCs w:val="24"/>
                <w:highlight w:val="none"/>
                <w:lang w:eastAsia="zh-CN"/>
              </w:rPr>
              <w:t>生产过程中</w:t>
            </w:r>
            <w:r>
              <w:rPr>
                <w:rFonts w:hint="default" w:ascii="Times New Roman" w:hAnsi="Times New Roman" w:eastAsia="宋体" w:cs="Times New Roman"/>
                <w:b w:val="0"/>
                <w:bCs w:val="0"/>
                <w:color w:val="000000"/>
                <w:sz w:val="24"/>
                <w:szCs w:val="24"/>
                <w:highlight w:val="none"/>
              </w:rPr>
              <w:t>产生的</w:t>
            </w:r>
            <w:r>
              <w:rPr>
                <w:rFonts w:hint="default" w:ascii="Times New Roman" w:hAnsi="Times New Roman" w:eastAsia="宋体" w:cs="Times New Roman"/>
                <w:b w:val="0"/>
                <w:bCs w:val="0"/>
                <w:color w:val="000000"/>
                <w:sz w:val="24"/>
                <w:szCs w:val="24"/>
                <w:highlight w:val="none"/>
                <w:lang w:val="en-US" w:eastAsia="zh-CN"/>
              </w:rPr>
              <w:t>边角料、</w:t>
            </w:r>
            <w:r>
              <w:rPr>
                <w:rFonts w:hint="default" w:ascii="Times New Roman" w:hAnsi="Times New Roman" w:eastAsia="宋体" w:cs="Times New Roman"/>
                <w:b w:val="0"/>
                <w:bCs w:val="0"/>
                <w:color w:val="000000"/>
                <w:sz w:val="24"/>
                <w:szCs w:val="24"/>
                <w:highlight w:val="none"/>
              </w:rPr>
              <w:t>不合格产品、废包装袋</w:t>
            </w:r>
            <w:r>
              <w:rPr>
                <w:rFonts w:hint="eastAsia"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lang w:val="en-US" w:eastAsia="zh-CN"/>
              </w:rPr>
              <w:t>袋式除尘器收集的粉尘</w:t>
            </w:r>
            <w:r>
              <w:rPr>
                <w:rFonts w:hint="eastAsia" w:cs="Times New Roman"/>
                <w:color w:val="000000"/>
                <w:sz w:val="24"/>
                <w:szCs w:val="24"/>
                <w:highlight w:val="none"/>
                <w:lang w:val="en-US" w:eastAsia="zh-CN"/>
              </w:rPr>
              <w:t>和</w:t>
            </w:r>
            <w:r>
              <w:rPr>
                <w:rFonts w:hint="default" w:ascii="Times New Roman" w:hAnsi="Times New Roman" w:eastAsia="宋体" w:cs="Times New Roman"/>
                <w:color w:val="000000"/>
                <w:sz w:val="24"/>
                <w:szCs w:val="24"/>
                <w:highlight w:val="none"/>
                <w:lang w:val="en-US" w:eastAsia="zh-CN"/>
              </w:rPr>
              <w:t>废催化剂</w:t>
            </w:r>
            <w:r>
              <w:rPr>
                <w:rFonts w:hint="default" w:ascii="Times New Roman" w:hAnsi="Times New Roman" w:eastAsia="宋体" w:cs="Times New Roman"/>
                <w:b w:val="0"/>
                <w:bCs w:val="0"/>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危险废物主要为有机废气处理过程产生的废活性炭。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53" w:type="dxa"/>
            <w:noWrap w:val="0"/>
            <w:vAlign w:val="center"/>
          </w:tcPr>
          <w:p>
            <w:pPr>
              <w:pStyle w:val="18"/>
              <w:adjustRightInd w:val="0"/>
              <w:snapToGrid w:val="0"/>
              <w:spacing w:before="0" w:beforeAutospacing="0" w:after="0" w:afterAutospacing="0"/>
              <w:jc w:val="center"/>
              <w:rPr>
                <w:rFonts w:cs="宋体"/>
                <w:sz w:val="24"/>
                <w:szCs w:val="24"/>
              </w:rPr>
            </w:pPr>
            <w:r>
              <w:rPr>
                <w:rFonts w:hint="eastAsia" w:cs="宋体"/>
                <w:bCs/>
                <w:kern w:val="2"/>
                <w:sz w:val="24"/>
                <w:szCs w:val="24"/>
              </w:rPr>
              <w:t>与项目有关的原有环境污染问题</w:t>
            </w:r>
          </w:p>
        </w:tc>
        <w:tc>
          <w:tcPr>
            <w:tcW w:w="8341" w:type="dxa"/>
            <w:noWrap w:val="0"/>
            <w:vAlign w:val="top"/>
          </w:tcPr>
          <w:p>
            <w:pPr>
              <w:adjustRightInd w:val="0"/>
              <w:snapToGrid w:val="0"/>
              <w:spacing w:line="360" w:lineRule="auto"/>
              <w:rPr>
                <w:rFonts w:hint="default" w:ascii="Times New Roman" w:hAnsi="Times New Roman" w:eastAsia="宋体" w:cs="Times New Roman"/>
                <w:b/>
                <w:bCs/>
                <w:i w:val="0"/>
                <w:iCs w:val="0"/>
                <w:sz w:val="24"/>
                <w:szCs w:val="24"/>
                <w:highlight w:val="none"/>
                <w:lang w:val="en-US" w:eastAsia="zh-CN"/>
              </w:rPr>
            </w:pPr>
            <w:r>
              <w:rPr>
                <w:rFonts w:hint="default" w:ascii="Times New Roman" w:hAnsi="Times New Roman" w:eastAsia="宋体" w:cs="Times New Roman"/>
                <w:b/>
                <w:bCs/>
                <w:i w:val="0"/>
                <w:iCs w:val="0"/>
                <w:sz w:val="24"/>
                <w:szCs w:val="24"/>
                <w:highlight w:val="none"/>
                <w:lang w:val="en-US" w:eastAsia="zh-CN"/>
              </w:rPr>
              <w:t>本项目有关的原有污染情况及主要问题：</w:t>
            </w:r>
          </w:p>
          <w:p>
            <w:pPr>
              <w:keepNext w:val="0"/>
              <w:keepLines w:val="0"/>
              <w:pageBreakBefore w:val="0"/>
              <w:widowControl w:val="0"/>
              <w:kinsoku/>
              <w:wordWrap/>
              <w:overflowPunct/>
              <w:topLinePunct w:val="0"/>
              <w:autoSpaceDE/>
              <w:autoSpaceDN/>
              <w:bidi w:val="0"/>
              <w:snapToGrid w:val="0"/>
              <w:spacing w:before="0" w:after="0" w:line="360" w:lineRule="auto"/>
              <w:ind w:left="0" w:firstLine="480" w:firstLineChars="200"/>
              <w:textAlignment w:val="auto"/>
              <w:outlineLvl w:val="9"/>
              <w:rPr>
                <w:rFonts w:hint="eastAsia" w:ascii="Times New Roman" w:hAnsi="Times New Roman" w:eastAsia="宋体" w:cs="Times New Roman"/>
                <w:b w:val="0"/>
                <w:bCs w:val="0"/>
                <w:sz w:val="24"/>
                <w:szCs w:val="24"/>
                <w:u w:val="none"/>
                <w:lang w:val="en-US" w:eastAsia="zh-CN"/>
              </w:rPr>
            </w:pPr>
            <w:r>
              <w:rPr>
                <w:rFonts w:hint="eastAsia" w:ascii="宋体" w:hAnsi="宋体"/>
                <w:bCs/>
                <w:sz w:val="24"/>
                <w:szCs w:val="24"/>
                <w:lang w:val="en-US" w:eastAsia="zh-CN"/>
              </w:rPr>
              <w:t>河南永丰模具有限公司南厂区现有</w:t>
            </w:r>
            <w:r>
              <w:rPr>
                <w:rFonts w:hint="eastAsia" w:ascii="Times New Roman" w:hAnsi="Times New Roman" w:eastAsia="宋体" w:cs="Times New Roman"/>
                <w:b w:val="0"/>
                <w:bCs w:val="0"/>
                <w:sz w:val="24"/>
                <w:szCs w:val="24"/>
                <w:u w:val="none"/>
                <w:lang w:eastAsia="zh-CN"/>
              </w:rPr>
              <w:t>年产200套模具、200万套汽车（电器）零部件项目，验收时</w:t>
            </w:r>
            <w:r>
              <w:rPr>
                <w:rFonts w:hint="eastAsia" w:ascii="Times New Roman" w:hAnsi="Times New Roman" w:eastAsia="宋体" w:cs="Times New Roman"/>
                <w:b w:val="0"/>
                <w:bCs w:val="0"/>
                <w:sz w:val="24"/>
                <w:szCs w:val="24"/>
                <w:u w:val="none"/>
                <w:lang w:val="en-US" w:eastAsia="zh-CN"/>
              </w:rPr>
              <w:t>实际仅生产180套模具、170万套汽车电器零部件并已验收，202</w:t>
            </w:r>
            <w:r>
              <w:rPr>
                <w:rFonts w:hint="eastAsia" w:cs="Times New Roman"/>
                <w:b w:val="0"/>
                <w:bCs w:val="0"/>
                <w:sz w:val="24"/>
                <w:szCs w:val="24"/>
                <w:u w:val="none"/>
                <w:lang w:val="en-US" w:eastAsia="zh-CN"/>
              </w:rPr>
              <w:t>1</w:t>
            </w:r>
            <w:r>
              <w:rPr>
                <w:rFonts w:hint="eastAsia" w:ascii="Times New Roman" w:hAnsi="Times New Roman" w:eastAsia="宋体" w:cs="Times New Roman"/>
                <w:b w:val="0"/>
                <w:bCs w:val="0"/>
                <w:sz w:val="24"/>
                <w:szCs w:val="24"/>
                <w:u w:val="none"/>
                <w:lang w:val="en-US" w:eastAsia="zh-CN"/>
              </w:rPr>
              <w:t>年后</w:t>
            </w:r>
            <w:r>
              <w:rPr>
                <w:rFonts w:hint="default" w:ascii="Times New Roman" w:hAnsi="Times New Roman" w:eastAsia="宋体" w:cs="Times New Roman"/>
                <w:b w:val="0"/>
                <w:bCs w:val="0"/>
                <w:sz w:val="24"/>
                <w:szCs w:val="24"/>
                <w:u w:val="none"/>
                <w:lang w:val="en-US" w:eastAsia="zh-CN"/>
              </w:rPr>
              <w:t>其中</w:t>
            </w:r>
            <w:r>
              <w:rPr>
                <w:rFonts w:hint="eastAsia" w:ascii="Times New Roman" w:hAnsi="Times New Roman" w:eastAsia="宋体" w:cs="Times New Roman"/>
                <w:b w:val="0"/>
                <w:bCs w:val="0"/>
                <w:sz w:val="24"/>
                <w:szCs w:val="24"/>
                <w:u w:val="none"/>
                <w:lang w:val="en-US" w:eastAsia="zh-CN"/>
              </w:rPr>
              <w:t>170</w:t>
            </w:r>
            <w:r>
              <w:rPr>
                <w:rFonts w:hint="default" w:ascii="Times New Roman" w:hAnsi="Times New Roman" w:eastAsia="宋体" w:cs="Times New Roman"/>
                <w:b w:val="0"/>
                <w:bCs w:val="0"/>
                <w:sz w:val="24"/>
                <w:szCs w:val="24"/>
                <w:u w:val="none"/>
                <w:lang w:val="en-US" w:eastAsia="zh-CN"/>
              </w:rPr>
              <w:t>万套汽车</w:t>
            </w:r>
            <w:r>
              <w:rPr>
                <w:rFonts w:hint="eastAsia"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电器</w:t>
            </w:r>
            <w:r>
              <w:rPr>
                <w:rFonts w:hint="eastAsia"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零部件项目不在生产</w:t>
            </w:r>
            <w:r>
              <w:rPr>
                <w:rFonts w:hint="eastAsia" w:ascii="Times New Roman" w:hAnsi="Times New Roman" w:eastAsia="宋体"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仅生产</w:t>
            </w:r>
            <w:r>
              <w:rPr>
                <w:rFonts w:hint="eastAsia" w:ascii="Times New Roman" w:hAnsi="Times New Roman" w:eastAsia="宋体" w:cs="Times New Roman"/>
                <w:b w:val="0"/>
                <w:bCs w:val="0"/>
                <w:sz w:val="24"/>
                <w:szCs w:val="24"/>
                <w:u w:val="none"/>
                <w:lang w:val="en-US" w:eastAsia="zh-CN"/>
              </w:rPr>
              <w:t>180</w:t>
            </w:r>
            <w:r>
              <w:rPr>
                <w:rFonts w:hint="default" w:ascii="Times New Roman" w:hAnsi="Times New Roman" w:eastAsia="宋体" w:cs="Times New Roman"/>
                <w:b w:val="0"/>
                <w:bCs w:val="0"/>
                <w:sz w:val="24"/>
                <w:szCs w:val="24"/>
                <w:u w:val="none"/>
                <w:lang w:val="en-US" w:eastAsia="zh-CN"/>
              </w:rPr>
              <w:t>套模具</w:t>
            </w:r>
            <w:r>
              <w:rPr>
                <w:rFonts w:hint="eastAsia" w:ascii="Times New Roman" w:hAnsi="Times New Roman" w:eastAsia="宋体" w:cs="Times New Roman"/>
                <w:b w:val="0"/>
                <w:bCs w:val="0"/>
                <w:sz w:val="24"/>
                <w:szCs w:val="24"/>
                <w:u w:val="none"/>
                <w:lang w:val="en-US" w:eastAsia="zh-CN"/>
              </w:rPr>
              <w:t>），其非甲烷总烃排放量0.002t/a全部作为本次改建项目的</w:t>
            </w:r>
            <w:r>
              <w:rPr>
                <w:rFonts w:hint="eastAsia" w:cs="Times New Roman"/>
                <w:b w:val="0"/>
                <w:bCs w:val="0"/>
                <w:sz w:val="24"/>
                <w:szCs w:val="24"/>
                <w:u w:val="none"/>
                <w:lang w:val="en-US" w:eastAsia="zh-CN"/>
              </w:rPr>
              <w:t>削</w:t>
            </w:r>
            <w:r>
              <w:rPr>
                <w:rFonts w:hint="eastAsia" w:ascii="Times New Roman" w:hAnsi="Times New Roman" w:eastAsia="宋体" w:cs="Times New Roman"/>
                <w:b w:val="0"/>
                <w:bCs w:val="0"/>
                <w:sz w:val="24"/>
                <w:szCs w:val="24"/>
                <w:u w:val="none"/>
                <w:lang w:val="en-US" w:eastAsia="zh-CN"/>
              </w:rPr>
              <w:t>减替代量。</w:t>
            </w:r>
          </w:p>
          <w:p>
            <w:pPr>
              <w:keepNext w:val="0"/>
              <w:keepLines w:val="0"/>
              <w:pageBreakBefore w:val="0"/>
              <w:widowControl w:val="0"/>
              <w:kinsoku/>
              <w:wordWrap/>
              <w:overflowPunct/>
              <w:topLinePunct w:val="0"/>
              <w:autoSpaceDE/>
              <w:autoSpaceDN/>
              <w:bidi w:val="0"/>
              <w:snapToGrid w:val="0"/>
              <w:spacing w:before="0" w:after="0" w:line="360" w:lineRule="auto"/>
              <w:ind w:left="0" w:firstLine="480" w:firstLineChars="200"/>
              <w:textAlignment w:val="auto"/>
              <w:outlineLvl w:val="9"/>
            </w:pPr>
            <w:r>
              <w:rPr>
                <w:rFonts w:hint="eastAsia" w:ascii="Times New Roman" w:hAnsi="Times New Roman" w:eastAsia="宋体" w:cs="Times New Roman"/>
                <w:b w:val="0"/>
                <w:bCs w:val="0"/>
                <w:sz w:val="24"/>
                <w:szCs w:val="24"/>
                <w:u w:val="none"/>
                <w:lang w:val="en-US" w:eastAsia="zh-CN"/>
              </w:rPr>
              <w:t>公司北厂区现有</w:t>
            </w:r>
            <w:r>
              <w:rPr>
                <w:rFonts w:hint="eastAsia" w:ascii="Times New Roman" w:hAnsi="Times New Roman" w:eastAsia="宋体" w:cs="Times New Roman"/>
                <w:sz w:val="24"/>
                <w:szCs w:val="24"/>
                <w:lang w:eastAsia="zh-CN"/>
              </w:rPr>
              <w:t>年产2000万套汽车（电器）零部件项目</w:t>
            </w:r>
            <w:r>
              <w:rPr>
                <w:rFonts w:hint="eastAsia" w:ascii="Times New Roman" w:hAnsi="Times New Roman" w:eastAsia="宋体" w:cs="Times New Roman"/>
                <w:b w:val="0"/>
                <w:bCs w:val="0"/>
                <w:sz w:val="24"/>
                <w:szCs w:val="24"/>
                <w:u w:val="none"/>
                <w:lang w:val="en-US" w:eastAsia="zh-CN"/>
              </w:rPr>
              <w:t>分三期建设，</w:t>
            </w:r>
            <w:r>
              <w:rPr>
                <w:rFonts w:hint="eastAsia" w:ascii="Times New Roman" w:hAnsi="Times New Roman" w:eastAsia="宋体" w:cs="Times New Roman"/>
                <w:sz w:val="24"/>
                <w:szCs w:val="24"/>
                <w:lang w:val="en-US" w:eastAsia="zh-CN"/>
              </w:rPr>
              <w:t>一期已建设完成并完成了自主</w:t>
            </w:r>
            <w:r>
              <w:rPr>
                <w:rFonts w:hint="eastAsia" w:ascii="Times New Roman" w:hAnsi="Times New Roman" w:eastAsia="宋体" w:cs="Times New Roman"/>
                <w:color w:val="auto"/>
                <w:sz w:val="24"/>
                <w:szCs w:val="24"/>
                <w:lang w:val="en-US" w:eastAsia="zh-CN"/>
              </w:rPr>
              <w:t>环保验收，目前</w:t>
            </w:r>
            <w:r>
              <w:rPr>
                <w:rFonts w:hint="eastAsia" w:cs="Times New Roman"/>
                <w:color w:val="auto"/>
                <w:sz w:val="24"/>
                <w:szCs w:val="24"/>
                <w:lang w:val="en-US" w:eastAsia="zh-CN"/>
              </w:rPr>
              <w:t>二期、</w:t>
            </w:r>
            <w:r>
              <w:rPr>
                <w:rFonts w:hint="eastAsia" w:ascii="Times New Roman" w:hAnsi="Times New Roman" w:eastAsia="宋体" w:cs="Times New Roman"/>
                <w:color w:val="auto"/>
                <w:sz w:val="24"/>
                <w:szCs w:val="24"/>
                <w:lang w:val="en-US" w:eastAsia="zh-CN"/>
              </w:rPr>
              <w:t>三期工程未建设，根据</w:t>
            </w:r>
            <w:r>
              <w:rPr>
                <w:rFonts w:hint="eastAsia"/>
                <w:color w:val="auto"/>
                <w:sz w:val="24"/>
                <w:szCs w:val="24"/>
                <w:lang w:val="en-US" w:eastAsia="zh-CN"/>
              </w:rPr>
              <w:t>市场及</w:t>
            </w:r>
            <w:r>
              <w:rPr>
                <w:rFonts w:hint="eastAsia" w:ascii="Times New Roman" w:hAnsi="Times New Roman" w:eastAsia="宋体" w:cs="Times New Roman"/>
                <w:color w:val="auto"/>
                <w:sz w:val="24"/>
                <w:szCs w:val="24"/>
                <w:lang w:val="en-US" w:eastAsia="zh-CN"/>
              </w:rPr>
              <w:t>生产需要，本次项目</w:t>
            </w:r>
            <w:r>
              <w:rPr>
                <w:rFonts w:hint="eastAsia" w:cs="Times New Roman"/>
                <w:sz w:val="24"/>
                <w:szCs w:val="24"/>
                <w:lang w:eastAsia="zh-CN"/>
              </w:rPr>
              <w:t>将原批</w:t>
            </w:r>
            <w:r>
              <w:rPr>
                <w:rFonts w:hint="default" w:ascii="Times New Roman" w:hAnsi="Times New Roman" w:eastAsia="宋体" w:cs="Times New Roman"/>
                <w:sz w:val="24"/>
                <w:szCs w:val="24"/>
                <w:lang w:eastAsia="zh-CN"/>
              </w:rPr>
              <w:t>年产2000万套汽车（电器）零部件项目</w:t>
            </w:r>
            <w:r>
              <w:rPr>
                <w:rFonts w:hint="eastAsia" w:cs="Times New Roman"/>
                <w:sz w:val="24"/>
                <w:szCs w:val="24"/>
                <w:lang w:eastAsia="zh-CN"/>
              </w:rPr>
              <w:t>三期工程注塑机（</w:t>
            </w:r>
            <w:r>
              <w:rPr>
                <w:rFonts w:hint="eastAsia" w:cs="Times New Roman"/>
                <w:sz w:val="24"/>
                <w:szCs w:val="24"/>
                <w:lang w:val="en-US" w:eastAsia="zh-CN"/>
              </w:rPr>
              <w:t>27台</w:t>
            </w:r>
            <w:r>
              <w:rPr>
                <w:rFonts w:hint="eastAsia" w:cs="Times New Roman"/>
                <w:sz w:val="24"/>
                <w:szCs w:val="24"/>
                <w:lang w:eastAsia="zh-CN"/>
              </w:rPr>
              <w:t>）减少</w:t>
            </w:r>
            <w:r>
              <w:rPr>
                <w:rFonts w:hint="eastAsia" w:cs="Times New Roman"/>
                <w:sz w:val="24"/>
                <w:szCs w:val="24"/>
                <w:lang w:val="en-US" w:eastAsia="zh-CN"/>
              </w:rPr>
              <w:t>10台</w:t>
            </w:r>
            <w:r>
              <w:rPr>
                <w:rFonts w:hint="eastAsia" w:cs="Times New Roman"/>
                <w:sz w:val="24"/>
                <w:szCs w:val="24"/>
                <w:lang w:eastAsia="zh-CN"/>
              </w:rPr>
              <w:t>，产品生产规模（</w:t>
            </w:r>
            <w:r>
              <w:rPr>
                <w:rFonts w:hint="eastAsia" w:cs="Times New Roman"/>
                <w:sz w:val="24"/>
                <w:szCs w:val="24"/>
                <w:lang w:val="en-US" w:eastAsia="zh-CN"/>
              </w:rPr>
              <w:t>800万套</w:t>
            </w:r>
            <w:r>
              <w:rPr>
                <w:rFonts w:hint="eastAsia" w:cs="Times New Roman"/>
                <w:sz w:val="24"/>
                <w:szCs w:val="24"/>
                <w:lang w:eastAsia="zh-CN"/>
              </w:rPr>
              <w:t>）减少</w:t>
            </w:r>
            <w:r>
              <w:rPr>
                <w:rFonts w:hint="default" w:ascii="Times New Roman" w:hAnsi="Times New Roman" w:eastAsia="宋体" w:cs="Times New Roman"/>
                <w:sz w:val="24"/>
                <w:szCs w:val="24"/>
                <w:lang w:val="en-US" w:eastAsia="zh-CN"/>
              </w:rPr>
              <w:t>300万套/年</w:t>
            </w:r>
            <w:r>
              <w:rPr>
                <w:rFonts w:hint="eastAsia" w:cs="Times New Roman"/>
                <w:sz w:val="24"/>
                <w:szCs w:val="24"/>
                <w:lang w:val="en-US" w:eastAsia="zh-CN"/>
              </w:rPr>
              <w:t>，减少的污染物总量指标作为本次用量。本次增加</w:t>
            </w:r>
            <w:r>
              <w:rPr>
                <w:rFonts w:hint="default" w:ascii="Times New Roman" w:hAnsi="Times New Roman" w:eastAsia="宋体" w:cs="Times New Roman"/>
                <w:sz w:val="24"/>
                <w:szCs w:val="24"/>
                <w:lang w:eastAsia="zh-CN"/>
              </w:rPr>
              <w:t>吹塑机</w:t>
            </w:r>
            <w:r>
              <w:rPr>
                <w:rFonts w:hint="eastAsia" w:cs="Times New Roman"/>
                <w:sz w:val="24"/>
                <w:szCs w:val="24"/>
                <w:lang w:val="en-US" w:eastAsia="zh-CN"/>
              </w:rPr>
              <w:t>4台、挤出机4台、上料机、破碎机等设备生产塑料包装容器（箱、桶）。</w:t>
            </w:r>
            <w:r>
              <w:rPr>
                <w:rFonts w:hint="default" w:ascii="Times New Roman" w:hAnsi="Times New Roman" w:eastAsia="宋体" w:cs="Times New Roman"/>
                <w:sz w:val="24"/>
                <w:szCs w:val="24"/>
                <w:lang w:eastAsia="zh-CN"/>
              </w:rPr>
              <w:t>待本次项</w:t>
            </w:r>
            <w:r>
              <w:rPr>
                <w:rFonts w:hint="eastAsia" w:ascii="Times New Roman" w:hAnsi="Times New Roman" w:eastAsia="宋体" w:cs="Times New Roman"/>
                <w:sz w:val="24"/>
                <w:szCs w:val="24"/>
                <w:lang w:eastAsia="zh-CN"/>
              </w:rPr>
              <w:t>目完成</w:t>
            </w:r>
            <w:r>
              <w:rPr>
                <w:rFonts w:hint="default" w:ascii="Times New Roman" w:hAnsi="Times New Roman" w:eastAsia="宋体" w:cs="Times New Roman"/>
                <w:sz w:val="24"/>
                <w:szCs w:val="24"/>
                <w:lang w:eastAsia="zh-CN"/>
              </w:rPr>
              <w:t>后，</w:t>
            </w:r>
            <w:r>
              <w:rPr>
                <w:rFonts w:hint="eastAsia" w:ascii="Times New Roman" w:hAnsi="Times New Roman" w:eastAsia="宋体" w:cs="Times New Roman"/>
                <w:sz w:val="24"/>
                <w:szCs w:val="24"/>
                <w:lang w:eastAsia="zh-CN"/>
              </w:rPr>
              <w:t>塑料包装容器</w:t>
            </w:r>
            <w:r>
              <w:rPr>
                <w:rFonts w:hint="default" w:ascii="Times New Roman" w:hAnsi="Times New Roman" w:eastAsia="宋体" w:cs="Times New Roman"/>
                <w:sz w:val="24"/>
                <w:szCs w:val="24"/>
                <w:lang w:eastAsia="zh-CN"/>
              </w:rPr>
              <w:t>为年</w:t>
            </w:r>
            <w:r>
              <w:rPr>
                <w:rFonts w:hint="eastAsia" w:ascii="Times New Roman" w:hAnsi="Times New Roman" w:eastAsia="宋体" w:cs="Times New Roman"/>
                <w:sz w:val="24"/>
                <w:szCs w:val="24"/>
                <w:lang w:eastAsia="zh-CN"/>
              </w:rPr>
              <w:t>产</w:t>
            </w:r>
            <w:r>
              <w:rPr>
                <w:rFonts w:hint="default" w:ascii="Times New Roman" w:hAnsi="Times New Roman" w:eastAsia="宋体" w:cs="Times New Roman"/>
                <w:sz w:val="24"/>
                <w:szCs w:val="24"/>
                <w:lang w:val="en-US" w:eastAsia="zh-CN"/>
              </w:rPr>
              <w:t>13万只。其中由于</w:t>
            </w:r>
            <w:r>
              <w:rPr>
                <w:rFonts w:hint="eastAsia" w:cs="Times New Roman"/>
                <w:sz w:val="24"/>
                <w:szCs w:val="24"/>
                <w:lang w:val="en-US" w:eastAsia="zh-CN"/>
              </w:rPr>
              <w:t>原</w:t>
            </w:r>
            <w:r>
              <w:rPr>
                <w:rFonts w:hint="default" w:ascii="Times New Roman" w:hAnsi="Times New Roman" w:eastAsia="宋体" w:cs="Times New Roman"/>
                <w:sz w:val="24"/>
                <w:szCs w:val="24"/>
                <w:lang w:val="en-US" w:eastAsia="zh-CN"/>
              </w:rPr>
              <w:t>三期工程部分设备减少</w:t>
            </w:r>
            <w:r>
              <w:rPr>
                <w:rFonts w:hint="eastAsia" w:cs="Times New Roman"/>
                <w:sz w:val="24"/>
                <w:szCs w:val="24"/>
                <w:lang w:val="en-US" w:eastAsia="zh-CN"/>
              </w:rPr>
              <w:t>，产品规模也相对减少，原有三期产品塑料零部件由8</w:t>
            </w:r>
            <w:r>
              <w:rPr>
                <w:rFonts w:hint="default" w:ascii="Times New Roman" w:hAnsi="Times New Roman" w:eastAsia="宋体" w:cs="Times New Roman"/>
                <w:sz w:val="24"/>
                <w:szCs w:val="24"/>
                <w:lang w:val="en-US" w:eastAsia="zh-CN"/>
              </w:rPr>
              <w:t>00万套/年</w:t>
            </w:r>
            <w:r>
              <w:rPr>
                <w:rFonts w:hint="eastAsia" w:cs="Times New Roman"/>
                <w:sz w:val="24"/>
                <w:szCs w:val="24"/>
                <w:lang w:val="en-US" w:eastAsia="zh-CN"/>
              </w:rPr>
              <w:t>变为500</w:t>
            </w:r>
            <w:r>
              <w:rPr>
                <w:rFonts w:hint="default" w:ascii="Times New Roman" w:hAnsi="Times New Roman" w:eastAsia="宋体" w:cs="Times New Roman"/>
                <w:sz w:val="24"/>
                <w:szCs w:val="24"/>
                <w:lang w:val="en-US" w:eastAsia="zh-CN"/>
              </w:rPr>
              <w:t>万套/年</w:t>
            </w:r>
            <w:r>
              <w:rPr>
                <w:rFonts w:hint="eastAsia" w:ascii="Times New Roman" w:hAnsi="Times New Roman" w:eastAsia="宋体" w:cs="Times New Roman"/>
                <w:sz w:val="24"/>
                <w:szCs w:val="24"/>
                <w:lang w:val="en-US" w:eastAsia="zh-CN"/>
              </w:rPr>
              <w:t>，</w:t>
            </w:r>
            <w:r>
              <w:rPr>
                <w:rFonts w:hint="eastAsia" w:cs="Times New Roman"/>
                <w:sz w:val="24"/>
                <w:szCs w:val="24"/>
                <w:lang w:val="en-US" w:eastAsia="zh-CN"/>
              </w:rPr>
              <w:t>一期（600万套）、二期（600万套）项目生产设备、生产规模保持不变。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sz w:val="24"/>
                <w:szCs w:val="24"/>
                <w:lang w:val="en-US" w:eastAsia="zh-CN"/>
              </w:rPr>
            </w:pPr>
            <w:r>
              <w:rPr>
                <w:rFonts w:hint="eastAsia"/>
                <w:sz w:val="24"/>
                <w:szCs w:val="24"/>
                <w:lang w:val="en-US" w:eastAsia="zh-CN"/>
              </w:rPr>
              <w:t>现有工程产排情况：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（1）废水</w:t>
            </w:r>
            <w:r>
              <w:rPr>
                <w:rFonts w:hint="eastAsia"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现有项目循环冷却水循环使用，定期补充；产生的废水主要为员工生活污水，生活污水经化粪池处理后，定期用于周边农田施肥。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eastAsia="宋体"/>
                <w:sz w:val="24"/>
                <w:szCs w:val="24"/>
                <w:lang w:val="en-US" w:eastAsia="zh-CN"/>
              </w:rPr>
            </w:pPr>
            <w:r>
              <w:rPr>
                <w:rFonts w:hint="eastAsia" w:ascii="Times New Roman" w:hAnsi="Times New Roman" w:eastAsia="宋体" w:cs="Times New Roman"/>
                <w:b w:val="0"/>
                <w:bCs w:val="0"/>
                <w:sz w:val="24"/>
                <w:szCs w:val="24"/>
                <w:u w:val="none"/>
                <w:lang w:eastAsia="zh-CN"/>
              </w:rPr>
              <w:t>南厂区</w:t>
            </w:r>
            <w:r>
              <w:rPr>
                <w:rFonts w:hint="eastAsia" w:cs="Times New Roman"/>
                <w:b w:val="0"/>
                <w:bCs w:val="0"/>
                <w:sz w:val="24"/>
                <w:szCs w:val="24"/>
                <w:u w:val="none"/>
                <w:lang w:val="en-US" w:eastAsia="zh-CN"/>
              </w:rPr>
              <w:t>实际</w:t>
            </w:r>
            <w:r>
              <w:rPr>
                <w:rFonts w:hint="eastAsia" w:ascii="Times New Roman" w:hAnsi="Times New Roman" w:eastAsia="宋体" w:cs="Times New Roman"/>
                <w:b w:val="0"/>
                <w:bCs w:val="0"/>
                <w:sz w:val="24"/>
                <w:szCs w:val="24"/>
                <w:u w:val="none"/>
                <w:lang w:eastAsia="zh-CN"/>
              </w:rPr>
              <w:t>建设</w:t>
            </w:r>
            <w:r>
              <w:rPr>
                <w:rFonts w:hint="eastAsia" w:ascii="Times New Roman" w:hAnsi="Times New Roman" w:eastAsia="宋体" w:cs="Times New Roman"/>
                <w:b w:val="0"/>
                <w:bCs w:val="0"/>
                <w:sz w:val="24"/>
                <w:szCs w:val="24"/>
                <w:u w:val="none"/>
                <w:lang w:val="en-US" w:eastAsia="zh-CN"/>
              </w:rPr>
              <w:t>的</w:t>
            </w:r>
            <w:r>
              <w:rPr>
                <w:rFonts w:hint="eastAsia" w:ascii="Times New Roman" w:hAnsi="Times New Roman" w:eastAsia="宋体" w:cs="Times New Roman"/>
                <w:b w:val="0"/>
                <w:bCs w:val="0"/>
                <w:sz w:val="24"/>
                <w:szCs w:val="24"/>
                <w:u w:val="none"/>
                <w:lang w:eastAsia="zh-CN"/>
              </w:rPr>
              <w:t>年产</w:t>
            </w:r>
            <w:r>
              <w:rPr>
                <w:rFonts w:hint="eastAsia" w:cs="Times New Roman"/>
                <w:b w:val="0"/>
                <w:bCs w:val="0"/>
                <w:sz w:val="24"/>
                <w:szCs w:val="24"/>
                <w:u w:val="none"/>
                <w:lang w:val="en-US" w:eastAsia="zh-CN"/>
              </w:rPr>
              <w:t>180</w:t>
            </w:r>
            <w:r>
              <w:rPr>
                <w:rFonts w:hint="eastAsia" w:ascii="Times New Roman" w:hAnsi="Times New Roman" w:eastAsia="宋体" w:cs="Times New Roman"/>
                <w:b w:val="0"/>
                <w:bCs w:val="0"/>
                <w:sz w:val="24"/>
                <w:szCs w:val="24"/>
                <w:u w:val="none"/>
                <w:lang w:eastAsia="zh-CN"/>
              </w:rPr>
              <w:t>套模具、</w:t>
            </w:r>
            <w:r>
              <w:rPr>
                <w:rFonts w:hint="eastAsia" w:cs="Times New Roman"/>
                <w:b w:val="0"/>
                <w:bCs w:val="0"/>
                <w:sz w:val="24"/>
                <w:szCs w:val="24"/>
                <w:u w:val="none"/>
                <w:lang w:val="en-US" w:eastAsia="zh-CN"/>
              </w:rPr>
              <w:t>170</w:t>
            </w:r>
            <w:r>
              <w:rPr>
                <w:rFonts w:hint="eastAsia" w:ascii="Times New Roman" w:hAnsi="Times New Roman" w:eastAsia="宋体" w:cs="Times New Roman"/>
                <w:b w:val="0"/>
                <w:bCs w:val="0"/>
                <w:sz w:val="24"/>
                <w:szCs w:val="24"/>
                <w:u w:val="none"/>
                <w:lang w:eastAsia="zh-CN"/>
              </w:rPr>
              <w:t>万套汽车（电器）零部件项目</w:t>
            </w:r>
            <w:r>
              <w:rPr>
                <w:rFonts w:hint="eastAsia" w:cs="Times New Roman"/>
                <w:b w:val="0"/>
                <w:bCs w:val="0"/>
                <w:sz w:val="24"/>
                <w:szCs w:val="24"/>
                <w:u w:val="none"/>
                <w:lang w:val="en-US" w:eastAsia="zh-CN"/>
              </w:rPr>
              <w:t>，2021年后170</w:t>
            </w:r>
            <w:r>
              <w:rPr>
                <w:rFonts w:hint="eastAsia" w:ascii="Times New Roman" w:hAnsi="Times New Roman" w:eastAsia="宋体" w:cs="Times New Roman"/>
                <w:b w:val="0"/>
                <w:bCs w:val="0"/>
                <w:sz w:val="24"/>
                <w:szCs w:val="24"/>
                <w:u w:val="none"/>
                <w:lang w:eastAsia="zh-CN"/>
              </w:rPr>
              <w:t>万套汽车（电器）零部件</w:t>
            </w:r>
            <w:r>
              <w:rPr>
                <w:rFonts w:hint="eastAsia" w:cs="Times New Roman"/>
                <w:b w:val="0"/>
                <w:bCs w:val="0"/>
                <w:sz w:val="24"/>
                <w:szCs w:val="24"/>
                <w:u w:val="none"/>
                <w:lang w:val="en-US" w:eastAsia="zh-CN"/>
              </w:rPr>
              <w:t>项目不再生产，</w:t>
            </w:r>
            <w:r>
              <w:rPr>
                <w:rFonts w:hint="eastAsia"/>
                <w:sz w:val="24"/>
                <w:szCs w:val="24"/>
                <w:lang w:eastAsia="zh-CN"/>
              </w:rPr>
              <w:t>仅生产模具，</w:t>
            </w:r>
            <w:r>
              <w:rPr>
                <w:rFonts w:hint="eastAsia" w:cs="Times New Roman"/>
                <w:b w:val="0"/>
                <w:bCs w:val="0"/>
                <w:sz w:val="24"/>
                <w:szCs w:val="24"/>
                <w:u w:val="none"/>
                <w:lang w:val="en-US" w:eastAsia="zh-CN"/>
              </w:rPr>
              <w:t>打磨工序产生的颗粒物</w:t>
            </w:r>
            <w:r>
              <w:rPr>
                <w:rFonts w:hint="eastAsia"/>
                <w:sz w:val="24"/>
                <w:szCs w:val="24"/>
                <w:lang w:eastAsia="zh-CN"/>
              </w:rPr>
              <w:t>，</w:t>
            </w:r>
            <w:r>
              <w:rPr>
                <w:rFonts w:hint="eastAsia"/>
                <w:sz w:val="24"/>
                <w:szCs w:val="24"/>
                <w:lang w:val="en-US" w:eastAsia="zh-CN"/>
              </w:rPr>
              <w:t>根据2018年验收监测报告</w:t>
            </w:r>
            <w:r>
              <w:rPr>
                <w:rFonts w:hint="eastAsia" w:cs="Times New Roman"/>
                <w:b w:val="0"/>
                <w:bCs/>
                <w:color w:val="000000"/>
                <w:sz w:val="24"/>
                <w:szCs w:val="24"/>
                <w:u w:val="none"/>
                <w:vertAlign w:val="baseline"/>
                <w:lang w:val="en-US" w:eastAsia="zh-CN"/>
              </w:rPr>
              <w:t>打磨工序产生的颗粒物经集气罩+袋式除尘器处理后经15m排气筒达标排放：排放均值4.7mg/m</w:t>
            </w:r>
            <w:r>
              <w:rPr>
                <w:rFonts w:hint="eastAsia" w:cs="Times New Roman"/>
                <w:b w:val="0"/>
                <w:bCs/>
                <w:color w:val="000000"/>
                <w:sz w:val="24"/>
                <w:szCs w:val="24"/>
                <w:u w:val="none"/>
                <w:vertAlign w:val="superscript"/>
                <w:lang w:val="en-US" w:eastAsia="zh-CN"/>
              </w:rPr>
              <w:t>3</w:t>
            </w:r>
            <w:r>
              <w:rPr>
                <w:rFonts w:hint="eastAsia"/>
                <w:sz w:val="24"/>
                <w:szCs w:val="24"/>
                <w:lang w:eastAsia="zh-CN"/>
              </w:rPr>
              <w:t>，</w:t>
            </w:r>
            <w:r>
              <w:rPr>
                <w:rFonts w:hint="eastAsia"/>
                <w:sz w:val="24"/>
                <w:szCs w:val="24"/>
                <w:lang w:val="en-US" w:eastAsia="zh-CN"/>
              </w:rPr>
              <w:t>则颗粒物排放量为0.015t/a。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eastAsia="宋体" w:cs="Times New Roman"/>
                <w:b w:val="0"/>
                <w:bCs/>
                <w:color w:val="000000"/>
                <w:sz w:val="24"/>
                <w:szCs w:val="24"/>
                <w:u w:val="none"/>
                <w:vertAlign w:val="baseline"/>
                <w:lang w:val="en-US" w:eastAsia="zh-CN"/>
              </w:rPr>
            </w:pPr>
            <w:r>
              <w:rPr>
                <w:rFonts w:hint="eastAsia" w:ascii="Times New Roman" w:hAnsi="Times New Roman" w:eastAsia="宋体" w:cs="Times New Roman"/>
                <w:b w:val="0"/>
                <w:bCs w:val="0"/>
                <w:sz w:val="24"/>
                <w:szCs w:val="24"/>
                <w:u w:val="none"/>
                <w:lang w:val="en-US" w:eastAsia="zh-CN"/>
              </w:rPr>
              <w:t>北厂区</w:t>
            </w:r>
            <w:r>
              <w:rPr>
                <w:rFonts w:hint="eastAsia" w:ascii="Times New Roman" w:hAnsi="Times New Roman" w:eastAsia="宋体" w:cs="Times New Roman"/>
                <w:b w:val="0"/>
                <w:bCs w:val="0"/>
                <w:sz w:val="24"/>
                <w:szCs w:val="24"/>
                <w:u w:val="none"/>
                <w:lang w:eastAsia="zh-CN"/>
              </w:rPr>
              <w:t>年产200</w:t>
            </w:r>
            <w:r>
              <w:rPr>
                <w:rFonts w:hint="eastAsia" w:cs="Times New Roman"/>
                <w:b w:val="0"/>
                <w:bCs w:val="0"/>
                <w:sz w:val="24"/>
                <w:szCs w:val="24"/>
                <w:u w:val="none"/>
                <w:lang w:val="en-US" w:eastAsia="zh-CN"/>
              </w:rPr>
              <w:t>0</w:t>
            </w:r>
            <w:r>
              <w:rPr>
                <w:rFonts w:hint="eastAsia" w:ascii="Times New Roman" w:hAnsi="Times New Roman" w:eastAsia="宋体" w:cs="Times New Roman"/>
                <w:b w:val="0"/>
                <w:bCs w:val="0"/>
                <w:sz w:val="24"/>
                <w:szCs w:val="24"/>
                <w:u w:val="none"/>
                <w:lang w:eastAsia="zh-CN"/>
              </w:rPr>
              <w:t>万套汽车（电器）零部件项目</w:t>
            </w:r>
            <w:r>
              <w:rPr>
                <w:rFonts w:hint="eastAsia" w:ascii="Times New Roman" w:hAnsi="Times New Roman" w:eastAsia="宋体" w:cs="Times New Roman"/>
                <w:b w:val="0"/>
                <w:bCs w:val="0"/>
                <w:sz w:val="24"/>
                <w:szCs w:val="24"/>
                <w:u w:val="none"/>
                <w:lang w:val="en-US" w:eastAsia="zh-CN"/>
              </w:rPr>
              <w:t>中</w:t>
            </w:r>
            <w:r>
              <w:rPr>
                <w:rFonts w:hint="eastAsia" w:ascii="Times New Roman" w:hAnsi="Times New Roman" w:eastAsia="宋体" w:cs="Times New Roman"/>
                <w:color w:val="auto"/>
                <w:sz w:val="24"/>
                <w:szCs w:val="24"/>
                <w:highlight w:val="none"/>
                <w:lang w:val="en-US" w:eastAsia="zh-CN"/>
              </w:rPr>
              <w:t>挤出和脱模</w:t>
            </w:r>
            <w:r>
              <w:rPr>
                <w:rFonts w:hint="default" w:ascii="Times New Roman" w:hAnsi="Times New Roman" w:eastAsia="宋体" w:cs="Times New Roman"/>
                <w:color w:val="auto"/>
                <w:sz w:val="24"/>
                <w:szCs w:val="24"/>
                <w:highlight w:val="none"/>
                <w:lang w:val="en-US" w:eastAsia="zh-CN"/>
              </w:rPr>
              <w:t>过程产生的非甲烷总烃</w:t>
            </w:r>
            <w:r>
              <w:rPr>
                <w:rFonts w:hint="eastAsia" w:ascii="Times New Roman" w:hAnsi="Times New Roman" w:eastAsia="宋体" w:cs="Times New Roman"/>
                <w:color w:val="auto"/>
                <w:sz w:val="24"/>
                <w:szCs w:val="24"/>
                <w:highlight w:val="none"/>
                <w:lang w:val="en-US" w:eastAsia="zh-CN"/>
              </w:rPr>
              <w:t>经过集气罩+UV光解低温等离子一体机+2级活性炭吸附装置+15m高排气筒达标排放，</w:t>
            </w:r>
            <w:r>
              <w:rPr>
                <w:rFonts w:hint="default" w:ascii="Times New Roman" w:hAnsi="Times New Roman" w:eastAsia="宋体" w:cs="Times New Roman"/>
                <w:b w:val="0"/>
                <w:bCs/>
                <w:color w:val="000000"/>
                <w:sz w:val="24"/>
                <w:szCs w:val="24"/>
                <w:u w:val="none"/>
                <w:lang w:val="en-US" w:eastAsia="zh-CN"/>
              </w:rPr>
              <w:t>根据</w:t>
            </w:r>
            <w:r>
              <w:rPr>
                <w:rFonts w:hint="eastAsia" w:cs="Times New Roman"/>
                <w:b w:val="0"/>
                <w:bCs/>
                <w:color w:val="000000"/>
                <w:sz w:val="24"/>
                <w:szCs w:val="24"/>
                <w:u w:val="none"/>
                <w:lang w:val="en-US" w:eastAsia="zh-CN"/>
              </w:rPr>
              <w:t>2022年6月17日</w:t>
            </w:r>
            <w:r>
              <w:rPr>
                <w:rFonts w:hint="eastAsia"/>
                <w:sz w:val="24"/>
                <w:szCs w:val="24"/>
                <w:lang w:val="en-US" w:eastAsia="zh-CN"/>
              </w:rPr>
              <w:t>检测报告</w:t>
            </w:r>
            <w:r>
              <w:rPr>
                <w:rFonts w:hint="eastAsia"/>
                <w:sz w:val="24"/>
                <w:szCs w:val="24"/>
                <w:lang w:eastAsia="zh-CN"/>
              </w:rPr>
              <w:t>（</w:t>
            </w:r>
            <w:r>
              <w:rPr>
                <w:rFonts w:hint="eastAsia"/>
                <w:sz w:val="24"/>
                <w:szCs w:val="24"/>
                <w:lang w:val="en-US" w:eastAsia="zh-CN"/>
              </w:rPr>
              <w:t>见附件）</w:t>
            </w:r>
            <w:r>
              <w:rPr>
                <w:rFonts w:hint="default" w:ascii="Times New Roman" w:hAnsi="Times New Roman" w:eastAsia="宋体" w:cs="Times New Roman"/>
                <w:b w:val="0"/>
                <w:bCs/>
                <w:color w:val="000000"/>
                <w:sz w:val="24"/>
                <w:szCs w:val="24"/>
                <w:u w:val="none"/>
                <w:lang w:val="en-US" w:eastAsia="zh-CN"/>
              </w:rPr>
              <w:t>：</w:t>
            </w:r>
            <w:r>
              <w:rPr>
                <w:rFonts w:hint="eastAsia" w:cs="Times New Roman"/>
                <w:b w:val="0"/>
                <w:bCs/>
                <w:color w:val="000000"/>
                <w:sz w:val="24"/>
                <w:szCs w:val="24"/>
                <w:u w:val="none"/>
                <w:lang w:val="en-US" w:eastAsia="zh-CN"/>
              </w:rPr>
              <w:t>有组织出口最大排放浓度为2.04</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最大排放速率为6.83×10</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kg/h；无组织非甲烷总烃周界外浓度最大值：0.94</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eastAsia="宋体" w:cs="Times New Roman"/>
                <w:b w:val="0"/>
                <w:bCs/>
                <w:color w:val="000000"/>
                <w:sz w:val="24"/>
                <w:szCs w:val="24"/>
                <w:u w:val="none"/>
                <w:vertAlign w:val="baseline"/>
                <w:lang w:val="en-US" w:eastAsia="zh-CN"/>
              </w:rPr>
              <w:t>。</w:t>
            </w:r>
            <w:r>
              <w:rPr>
                <w:rFonts w:hint="eastAsia" w:cs="Times New Roman"/>
                <w:color w:val="auto"/>
                <w:sz w:val="24"/>
                <w:szCs w:val="24"/>
                <w:highlight w:val="none"/>
                <w:lang w:val="en-US" w:eastAsia="zh-CN"/>
              </w:rPr>
              <w:t>破碎</w:t>
            </w:r>
            <w:r>
              <w:rPr>
                <w:rFonts w:hint="default" w:ascii="Times New Roman" w:hAnsi="Times New Roman" w:eastAsia="宋体" w:cs="Times New Roman"/>
                <w:color w:val="auto"/>
                <w:sz w:val="24"/>
                <w:szCs w:val="24"/>
                <w:highlight w:val="none"/>
                <w:lang w:val="en-US" w:eastAsia="zh-CN"/>
              </w:rPr>
              <w:t>过程产生的颗粒物</w:t>
            </w:r>
            <w:r>
              <w:rPr>
                <w:rFonts w:hint="eastAsia" w:ascii="Times New Roman" w:hAnsi="Times New Roman" w:eastAsia="宋体" w:cs="Times New Roman"/>
                <w:color w:val="auto"/>
                <w:sz w:val="24"/>
                <w:szCs w:val="24"/>
                <w:highlight w:val="none"/>
                <w:lang w:val="en-US" w:eastAsia="zh-CN"/>
              </w:rPr>
              <w:t>经</w:t>
            </w:r>
            <w:r>
              <w:rPr>
                <w:rFonts w:hint="eastAsia" w:cs="Times New Roman"/>
                <w:kern w:val="0"/>
                <w:sz w:val="24"/>
                <w:szCs w:val="24"/>
                <w:lang w:eastAsia="zh-CN"/>
              </w:rPr>
              <w:t>密闭操作间、集气罩</w:t>
            </w:r>
            <w:r>
              <w:rPr>
                <w:rFonts w:hint="eastAsia" w:cs="Times New Roman"/>
                <w:kern w:val="0"/>
                <w:sz w:val="24"/>
                <w:szCs w:val="24"/>
                <w:lang w:val="en-US" w:eastAsia="zh-CN"/>
              </w:rPr>
              <w:t>+袋式除尘器+15m高排气筒达标排放，</w:t>
            </w:r>
            <w:r>
              <w:rPr>
                <w:rFonts w:hint="default" w:ascii="Times New Roman" w:hAnsi="Times New Roman" w:eastAsia="宋体" w:cs="Times New Roman"/>
                <w:b w:val="0"/>
                <w:bCs/>
                <w:color w:val="000000"/>
                <w:sz w:val="24"/>
                <w:szCs w:val="24"/>
                <w:u w:val="none"/>
                <w:lang w:val="en-US" w:eastAsia="zh-CN"/>
              </w:rPr>
              <w:t>根据</w:t>
            </w:r>
            <w:r>
              <w:rPr>
                <w:rFonts w:hint="eastAsia" w:cs="Times New Roman"/>
                <w:b w:val="0"/>
                <w:bCs/>
                <w:color w:val="000000"/>
                <w:sz w:val="24"/>
                <w:szCs w:val="24"/>
                <w:u w:val="none"/>
                <w:lang w:val="en-US" w:eastAsia="zh-CN"/>
              </w:rPr>
              <w:t>2022年6月17日</w:t>
            </w:r>
            <w:r>
              <w:rPr>
                <w:rFonts w:hint="eastAsia"/>
                <w:sz w:val="24"/>
                <w:szCs w:val="24"/>
                <w:lang w:val="en-US" w:eastAsia="zh-CN"/>
              </w:rPr>
              <w:t>检测报告</w:t>
            </w:r>
            <w:r>
              <w:rPr>
                <w:rFonts w:hint="eastAsia" w:cs="Times New Roman"/>
                <w:b w:val="0"/>
                <w:bCs/>
                <w:color w:val="000000"/>
                <w:sz w:val="24"/>
                <w:szCs w:val="24"/>
                <w:u w:val="none"/>
                <w:lang w:val="en-US" w:eastAsia="zh-CN"/>
              </w:rPr>
              <w:t>（见附件）</w:t>
            </w:r>
            <w:r>
              <w:rPr>
                <w:rFonts w:hint="default" w:ascii="Times New Roman" w:hAnsi="Times New Roman" w:eastAsia="宋体" w:cs="Times New Roman"/>
                <w:b w:val="0"/>
                <w:bCs/>
                <w:color w:val="000000"/>
                <w:sz w:val="24"/>
                <w:szCs w:val="24"/>
                <w:u w:val="none"/>
                <w:lang w:val="en-US" w:eastAsia="zh-CN"/>
              </w:rPr>
              <w:t>：</w:t>
            </w:r>
            <w:r>
              <w:rPr>
                <w:rFonts w:hint="eastAsia" w:cs="Times New Roman"/>
                <w:b w:val="0"/>
                <w:bCs/>
                <w:color w:val="000000"/>
                <w:sz w:val="24"/>
                <w:szCs w:val="24"/>
                <w:u w:val="none"/>
                <w:lang w:val="en-US" w:eastAsia="zh-CN"/>
              </w:rPr>
              <w:t>有组织出口最大</w:t>
            </w:r>
            <w:r>
              <w:rPr>
                <w:rFonts w:hint="default" w:ascii="Times New Roman" w:hAnsi="Times New Roman" w:eastAsia="宋体" w:cs="Times New Roman"/>
                <w:b w:val="0"/>
                <w:bCs/>
                <w:color w:val="000000"/>
                <w:sz w:val="24"/>
                <w:szCs w:val="24"/>
                <w:u w:val="none"/>
                <w:lang w:eastAsia="zh-CN"/>
              </w:rPr>
              <w:t>排放</w:t>
            </w:r>
            <w:r>
              <w:rPr>
                <w:rFonts w:hint="eastAsia" w:cs="Times New Roman"/>
                <w:b w:val="0"/>
                <w:bCs/>
                <w:color w:val="000000"/>
                <w:sz w:val="24"/>
                <w:szCs w:val="24"/>
                <w:u w:val="none"/>
                <w:lang w:val="en-US" w:eastAsia="zh-CN"/>
              </w:rPr>
              <w:t>浓度</w:t>
            </w:r>
            <w:r>
              <w:rPr>
                <w:rFonts w:hint="eastAsia" w:ascii="Times New Roman" w:hAnsi="Times New Roman" w:eastAsia="宋体" w:cs="Times New Roman"/>
                <w:b w:val="0"/>
                <w:bCs/>
                <w:color w:val="000000"/>
                <w:sz w:val="24"/>
                <w:szCs w:val="24"/>
                <w:u w:val="none"/>
                <w:lang w:val="en-US" w:eastAsia="zh-CN"/>
              </w:rPr>
              <w:t>1.</w:t>
            </w:r>
            <w:r>
              <w:rPr>
                <w:rFonts w:hint="eastAsia" w:cs="Times New Roman"/>
                <w:b w:val="0"/>
                <w:bCs/>
                <w:color w:val="000000"/>
                <w:sz w:val="24"/>
                <w:szCs w:val="24"/>
                <w:u w:val="none"/>
                <w:lang w:val="en-US" w:eastAsia="zh-CN"/>
              </w:rPr>
              <w:t>5</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cs="Times New Roman"/>
                <w:color w:val="auto"/>
                <w:sz w:val="24"/>
                <w:szCs w:val="24"/>
                <w:highlight w:val="none"/>
                <w:lang w:val="en-US" w:eastAsia="zh-CN"/>
              </w:rPr>
              <w:t>，最大排放速率为5.07×10</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kg/h；无组织周界外浓度最大值：</w:t>
            </w:r>
            <w:r>
              <w:rPr>
                <w:rFonts w:hint="eastAsia" w:eastAsia="宋体" w:cs="Times New Roman"/>
                <w:b w:val="0"/>
                <w:bCs/>
                <w:color w:val="000000"/>
                <w:sz w:val="24"/>
                <w:szCs w:val="24"/>
                <w:u w:val="none"/>
                <w:lang w:val="en-US" w:eastAsia="zh-CN"/>
              </w:rPr>
              <w:t>0.4</w:t>
            </w:r>
            <w:r>
              <w:rPr>
                <w:rFonts w:hint="eastAsia" w:cs="Times New Roman"/>
                <w:b w:val="0"/>
                <w:bCs/>
                <w:color w:val="000000"/>
                <w:sz w:val="24"/>
                <w:szCs w:val="24"/>
                <w:u w:val="none"/>
                <w:lang w:val="en-US" w:eastAsia="zh-CN"/>
              </w:rPr>
              <w:t>92</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sz w:val="24"/>
                <w:szCs w:val="24"/>
                <w:lang w:eastAsia="zh-CN"/>
              </w:rPr>
              <w:t>，</w:t>
            </w:r>
            <w:r>
              <w:rPr>
                <w:rFonts w:hint="eastAsia"/>
                <w:sz w:val="24"/>
                <w:szCs w:val="24"/>
                <w:lang w:val="en-US" w:eastAsia="zh-CN"/>
              </w:rPr>
              <w:t>则颗粒物实际排放量为0.0028t/a，非甲烷总烃实际排放量为0.0153t/a。</w:t>
            </w:r>
          </w:p>
          <w:p>
            <w:pPr>
              <w:pageBreakBefore w:val="0"/>
              <w:kinsoku/>
              <w:wordWrap/>
              <w:overflowPunct/>
              <w:topLinePunct w:val="0"/>
              <w:bidi w:val="0"/>
              <w:adjustRightInd w:val="0"/>
              <w:snapToGrid w:val="0"/>
              <w:spacing w:line="360" w:lineRule="auto"/>
              <w:ind w:left="0" w:leftChars="0" w:firstLine="480" w:firstLineChars="200"/>
              <w:jc w:val="both"/>
              <w:outlineLvl w:val="9"/>
              <w:rPr>
                <w:rFonts w:hint="eastAsia" w:cs="Times New Roman"/>
                <w:b w:val="0"/>
                <w:bCs/>
                <w:color w:val="FF0000"/>
                <w:sz w:val="24"/>
                <w:szCs w:val="24"/>
                <w:u w:val="none"/>
                <w:vertAlign w:val="baseline"/>
                <w:lang w:val="en-US" w:eastAsia="zh-CN"/>
              </w:rPr>
            </w:pPr>
            <w:r>
              <w:rPr>
                <w:rFonts w:hint="eastAsia"/>
                <w:sz w:val="24"/>
                <w:szCs w:val="24"/>
                <w:lang w:val="en-US" w:eastAsia="zh-CN"/>
              </w:rPr>
              <w:t>综上所述，</w:t>
            </w:r>
            <w:r>
              <w:rPr>
                <w:rFonts w:hint="eastAsia" w:ascii="Times New Roman" w:hAnsi="Times New Roman" w:eastAsia="宋体" w:cs="Times New Roman"/>
                <w:b w:val="0"/>
                <w:bCs w:val="0"/>
                <w:sz w:val="24"/>
                <w:szCs w:val="24"/>
                <w:u w:val="none"/>
                <w:lang w:eastAsia="zh-CN"/>
              </w:rPr>
              <w:t>南厂区</w:t>
            </w:r>
            <w:r>
              <w:rPr>
                <w:rFonts w:hint="eastAsia" w:cs="Times New Roman"/>
                <w:b w:val="0"/>
                <w:bCs w:val="0"/>
                <w:sz w:val="24"/>
                <w:szCs w:val="24"/>
                <w:u w:val="none"/>
                <w:lang w:val="en-US" w:eastAsia="zh-CN"/>
              </w:rPr>
              <w:t>实际</w:t>
            </w:r>
            <w:r>
              <w:rPr>
                <w:rFonts w:hint="eastAsia" w:ascii="Times New Roman" w:hAnsi="Times New Roman" w:eastAsia="宋体" w:cs="Times New Roman"/>
                <w:b w:val="0"/>
                <w:bCs w:val="0"/>
                <w:sz w:val="24"/>
                <w:szCs w:val="24"/>
                <w:u w:val="none"/>
                <w:lang w:eastAsia="zh-CN"/>
              </w:rPr>
              <w:t>建设</w:t>
            </w:r>
            <w:r>
              <w:rPr>
                <w:rFonts w:hint="eastAsia" w:ascii="Times New Roman" w:hAnsi="Times New Roman" w:eastAsia="宋体" w:cs="Times New Roman"/>
                <w:b w:val="0"/>
                <w:bCs w:val="0"/>
                <w:sz w:val="24"/>
                <w:szCs w:val="24"/>
                <w:u w:val="none"/>
                <w:lang w:val="en-US" w:eastAsia="zh-CN"/>
              </w:rPr>
              <w:t>的</w:t>
            </w:r>
            <w:r>
              <w:rPr>
                <w:rFonts w:hint="eastAsia" w:ascii="Times New Roman" w:hAnsi="Times New Roman" w:eastAsia="宋体" w:cs="Times New Roman"/>
                <w:b w:val="0"/>
                <w:bCs w:val="0"/>
                <w:sz w:val="24"/>
                <w:szCs w:val="24"/>
                <w:u w:val="none"/>
                <w:lang w:eastAsia="zh-CN"/>
              </w:rPr>
              <w:t>年产</w:t>
            </w:r>
            <w:r>
              <w:rPr>
                <w:rFonts w:hint="eastAsia" w:cs="Times New Roman"/>
                <w:b w:val="0"/>
                <w:bCs w:val="0"/>
                <w:sz w:val="24"/>
                <w:szCs w:val="24"/>
                <w:u w:val="none"/>
                <w:lang w:val="en-US" w:eastAsia="zh-CN"/>
              </w:rPr>
              <w:t>180</w:t>
            </w:r>
            <w:r>
              <w:rPr>
                <w:rFonts w:hint="eastAsia" w:ascii="Times New Roman" w:hAnsi="Times New Roman" w:eastAsia="宋体" w:cs="Times New Roman"/>
                <w:b w:val="0"/>
                <w:bCs w:val="0"/>
                <w:sz w:val="24"/>
                <w:szCs w:val="24"/>
                <w:u w:val="none"/>
                <w:lang w:eastAsia="zh-CN"/>
              </w:rPr>
              <w:t>套模具</w:t>
            </w:r>
            <w:r>
              <w:rPr>
                <w:rFonts w:hint="eastAsia" w:cs="Times New Roman"/>
                <w:b w:val="0"/>
                <w:bCs w:val="0"/>
                <w:sz w:val="24"/>
                <w:szCs w:val="24"/>
                <w:u w:val="none"/>
                <w:lang w:val="en-US" w:eastAsia="zh-CN"/>
              </w:rPr>
              <w:t>项目中颗粒物排放均值4.7</w:t>
            </w:r>
            <w:r>
              <w:rPr>
                <w:rFonts w:hint="eastAsia" w:cs="Times New Roman"/>
                <w:b w:val="0"/>
                <w:bCs/>
                <w:color w:val="000000"/>
                <w:sz w:val="24"/>
                <w:szCs w:val="24"/>
                <w:u w:val="none"/>
                <w:vertAlign w:val="baseline"/>
                <w:lang w:val="en-US" w:eastAsia="zh-CN"/>
              </w:rPr>
              <w:t>mg/m</w:t>
            </w:r>
            <w:r>
              <w:rPr>
                <w:rFonts w:hint="eastAsia" w:cs="Times New Roman"/>
                <w:b w:val="0"/>
                <w:bCs/>
                <w:color w:val="000000"/>
                <w:sz w:val="24"/>
                <w:szCs w:val="24"/>
                <w:u w:val="none"/>
                <w:vertAlign w:val="superscript"/>
                <w:lang w:val="en-US" w:eastAsia="zh-CN"/>
              </w:rPr>
              <w:t>3</w:t>
            </w:r>
            <w:r>
              <w:rPr>
                <w:rFonts w:hint="eastAsia"/>
                <w:sz w:val="24"/>
                <w:szCs w:val="24"/>
                <w:lang w:val="en-US" w:eastAsia="zh-CN"/>
              </w:rPr>
              <w:t>满足</w:t>
            </w:r>
            <w:r>
              <w:rPr>
                <w:rFonts w:hint="default"/>
                <w:sz w:val="24"/>
                <w:szCs w:val="24"/>
                <w:lang w:val="en-US" w:eastAsia="zh-CN"/>
              </w:rPr>
              <w:t>新乡市生态环境局</w:t>
            </w:r>
            <w:r>
              <w:rPr>
                <w:rFonts w:hint="default"/>
                <w:sz w:val="24"/>
                <w:szCs w:val="24"/>
              </w:rPr>
              <w:t>《</w:t>
            </w:r>
            <w:r>
              <w:rPr>
                <w:rFonts w:hint="default"/>
                <w:sz w:val="24"/>
                <w:szCs w:val="24"/>
                <w:lang w:eastAsia="zh-CN"/>
              </w:rPr>
              <w:t>关于进一步规范工业企业颗粒物排放限值的通知</w:t>
            </w:r>
            <w:r>
              <w:rPr>
                <w:rFonts w:hint="default"/>
                <w:sz w:val="24"/>
                <w:szCs w:val="24"/>
              </w:rPr>
              <w:t>》</w:t>
            </w:r>
            <w:r>
              <w:rPr>
                <w:rFonts w:hint="eastAsia"/>
                <w:sz w:val="24"/>
                <w:szCs w:val="24"/>
                <w:lang w:eastAsia="zh-CN"/>
              </w:rPr>
              <w:t>中</w:t>
            </w:r>
            <w:r>
              <w:rPr>
                <w:rFonts w:hint="default"/>
                <w:sz w:val="24"/>
                <w:szCs w:val="24"/>
                <w:lang w:val="en-US" w:eastAsia="zh-CN"/>
              </w:rPr>
              <w:t>颗粒物最高排放浓度</w:t>
            </w:r>
            <w:r>
              <w:rPr>
                <w:rFonts w:hint="eastAsia"/>
                <w:sz w:val="24"/>
                <w:szCs w:val="24"/>
                <w:lang w:val="en-US" w:eastAsia="zh-CN"/>
              </w:rPr>
              <w:t>（1</w:t>
            </w:r>
            <w:r>
              <w:rPr>
                <w:rFonts w:hint="default"/>
                <w:sz w:val="24"/>
                <w:szCs w:val="24"/>
                <w:lang w:val="en-US" w:eastAsia="zh-CN"/>
              </w:rPr>
              <w:t>0mg/m</w:t>
            </w:r>
            <w:r>
              <w:rPr>
                <w:rFonts w:hint="default"/>
                <w:sz w:val="24"/>
                <w:szCs w:val="24"/>
                <w:vertAlign w:val="superscript"/>
                <w:lang w:val="en-US" w:eastAsia="zh-CN"/>
              </w:rPr>
              <w:t>3</w:t>
            </w:r>
            <w:r>
              <w:rPr>
                <w:rFonts w:hint="eastAsia"/>
                <w:sz w:val="24"/>
                <w:szCs w:val="24"/>
                <w:vertAlign w:val="baseline"/>
                <w:lang w:val="en-US" w:eastAsia="zh-CN"/>
              </w:rPr>
              <w:t>）</w:t>
            </w:r>
            <w:r>
              <w:rPr>
                <w:rFonts w:hint="eastAsia"/>
                <w:color w:val="auto"/>
                <w:sz w:val="24"/>
                <w:szCs w:val="24"/>
                <w:vertAlign w:val="baseline"/>
                <w:lang w:val="en-US" w:eastAsia="zh-CN"/>
              </w:rPr>
              <w:t>要求。</w:t>
            </w:r>
          </w:p>
          <w:p>
            <w:pPr>
              <w:pageBreakBefore w:val="0"/>
              <w:kinsoku/>
              <w:wordWrap/>
              <w:overflowPunct/>
              <w:topLinePunct w:val="0"/>
              <w:bidi w:val="0"/>
              <w:adjustRightInd w:val="0"/>
              <w:snapToGrid w:val="0"/>
              <w:spacing w:line="360" w:lineRule="auto"/>
              <w:ind w:left="0" w:leftChars="0" w:firstLine="480" w:firstLineChars="200"/>
              <w:jc w:val="both"/>
              <w:outlineLvl w:val="9"/>
              <w:rPr>
                <w:rFonts w:hint="default"/>
                <w:sz w:val="24"/>
                <w:szCs w:val="24"/>
                <w:vertAlign w:val="baseline"/>
                <w:lang w:val="en-US" w:eastAsia="zh-CN"/>
              </w:rPr>
            </w:pPr>
            <w:r>
              <w:rPr>
                <w:rFonts w:hint="eastAsia" w:ascii="Times New Roman" w:hAnsi="Times New Roman" w:eastAsia="宋体" w:cs="Times New Roman"/>
                <w:b w:val="0"/>
                <w:bCs w:val="0"/>
                <w:sz w:val="24"/>
                <w:szCs w:val="24"/>
                <w:u w:val="none"/>
                <w:lang w:val="en-US" w:eastAsia="zh-CN"/>
              </w:rPr>
              <w:t>北厂区</w:t>
            </w:r>
            <w:r>
              <w:rPr>
                <w:rFonts w:hint="eastAsia" w:ascii="Times New Roman" w:hAnsi="Times New Roman" w:eastAsia="宋体" w:cs="Times New Roman"/>
                <w:b w:val="0"/>
                <w:bCs w:val="0"/>
                <w:sz w:val="24"/>
                <w:szCs w:val="24"/>
                <w:u w:val="none"/>
                <w:lang w:eastAsia="zh-CN"/>
              </w:rPr>
              <w:t>年产200</w:t>
            </w:r>
            <w:r>
              <w:rPr>
                <w:rFonts w:hint="eastAsia" w:cs="Times New Roman"/>
                <w:b w:val="0"/>
                <w:bCs w:val="0"/>
                <w:sz w:val="24"/>
                <w:szCs w:val="24"/>
                <w:u w:val="none"/>
                <w:lang w:val="en-US" w:eastAsia="zh-CN"/>
              </w:rPr>
              <w:t>0</w:t>
            </w:r>
            <w:r>
              <w:rPr>
                <w:rFonts w:hint="eastAsia" w:ascii="Times New Roman" w:hAnsi="Times New Roman" w:eastAsia="宋体" w:cs="Times New Roman"/>
                <w:b w:val="0"/>
                <w:bCs w:val="0"/>
                <w:sz w:val="24"/>
                <w:szCs w:val="24"/>
                <w:u w:val="none"/>
                <w:lang w:eastAsia="zh-CN"/>
              </w:rPr>
              <w:t>万套汽车（电器）零部件项目</w:t>
            </w:r>
            <w:r>
              <w:rPr>
                <w:rFonts w:hint="default"/>
                <w:sz w:val="24"/>
                <w:szCs w:val="24"/>
                <w:lang w:val="en-US" w:eastAsia="zh-CN"/>
              </w:rPr>
              <w:t>非甲烷总烃有组织</w:t>
            </w:r>
            <w:r>
              <w:rPr>
                <w:rFonts w:hint="eastAsia"/>
                <w:sz w:val="24"/>
                <w:szCs w:val="24"/>
                <w:lang w:val="en-US" w:eastAsia="zh-CN"/>
              </w:rPr>
              <w:t>最大</w:t>
            </w:r>
            <w:r>
              <w:rPr>
                <w:rFonts w:hint="default"/>
                <w:sz w:val="24"/>
                <w:szCs w:val="24"/>
                <w:lang w:val="en-US" w:eastAsia="zh-CN"/>
              </w:rPr>
              <w:t>排放浓度</w:t>
            </w:r>
            <w:r>
              <w:rPr>
                <w:rFonts w:hint="eastAsia"/>
                <w:sz w:val="24"/>
                <w:szCs w:val="24"/>
                <w:lang w:val="en-US" w:eastAsia="zh-CN"/>
              </w:rPr>
              <w:t>2.04</w:t>
            </w:r>
            <w:r>
              <w:rPr>
                <w:rFonts w:hint="default"/>
                <w:sz w:val="24"/>
                <w:szCs w:val="24"/>
                <w:lang w:val="en-US" w:eastAsia="zh-CN"/>
              </w:rPr>
              <w:t>mg/m</w:t>
            </w:r>
            <w:r>
              <w:rPr>
                <w:rFonts w:hint="default"/>
                <w:sz w:val="24"/>
                <w:szCs w:val="24"/>
                <w:vertAlign w:val="superscript"/>
                <w:lang w:val="en-US" w:eastAsia="zh-CN"/>
              </w:rPr>
              <w:t>3</w:t>
            </w:r>
            <w:r>
              <w:rPr>
                <w:rFonts w:hint="eastAsia"/>
                <w:sz w:val="24"/>
                <w:szCs w:val="24"/>
                <w:lang w:val="en-US" w:eastAsia="zh-CN"/>
              </w:rPr>
              <w:t>满足</w:t>
            </w:r>
            <w:r>
              <w:rPr>
                <w:rFonts w:hint="default"/>
                <w:sz w:val="24"/>
                <w:szCs w:val="24"/>
                <w:lang w:val="en-US" w:eastAsia="zh-CN"/>
              </w:rPr>
              <w:t>《合成树脂工业污染物排放标准》(GB31572-2015)表5有组织排放浓度限值（60mg/m</w:t>
            </w:r>
            <w:r>
              <w:rPr>
                <w:rFonts w:hint="default"/>
                <w:sz w:val="24"/>
                <w:szCs w:val="24"/>
                <w:vertAlign w:val="superscript"/>
                <w:lang w:val="en-US" w:eastAsia="zh-CN"/>
              </w:rPr>
              <w:t>3</w:t>
            </w:r>
            <w:r>
              <w:rPr>
                <w:rFonts w:hint="default"/>
                <w:sz w:val="24"/>
                <w:szCs w:val="24"/>
                <w:lang w:val="en-US" w:eastAsia="zh-CN"/>
              </w:rPr>
              <w:t>）</w:t>
            </w:r>
            <w:r>
              <w:rPr>
                <w:rFonts w:hint="eastAsia"/>
                <w:sz w:val="24"/>
                <w:szCs w:val="24"/>
                <w:lang w:val="en-US" w:eastAsia="zh-CN"/>
              </w:rPr>
              <w:t>及</w:t>
            </w:r>
            <w:r>
              <w:rPr>
                <w:rFonts w:hint="eastAsia"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eastAsia="zh-CN"/>
              </w:rPr>
              <w:t>河南省重污染天气重点行业应急减排措施制定技术指南</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2021年修订版塑料制品行业</w:t>
            </w:r>
            <w:r>
              <w:rPr>
                <w:rFonts w:hint="eastAsia" w:cs="Times New Roman"/>
                <w:b w:val="0"/>
                <w:bCs/>
                <w:color w:val="auto"/>
                <w:sz w:val="24"/>
                <w:szCs w:val="24"/>
                <w:lang w:val="en-US" w:eastAsia="zh-CN"/>
              </w:rPr>
              <w:t>-B</w:t>
            </w:r>
            <w:r>
              <w:rPr>
                <w:rFonts w:hint="default" w:ascii="Times New Roman" w:hAnsi="Times New Roman" w:eastAsia="宋体" w:cs="Times New Roman"/>
                <w:b w:val="0"/>
                <w:bCs/>
                <w:color w:val="auto"/>
                <w:sz w:val="24"/>
                <w:szCs w:val="24"/>
                <w:lang w:val="en-US" w:eastAsia="zh-CN"/>
              </w:rPr>
              <w:t>级</w:t>
            </w:r>
            <w:r>
              <w:rPr>
                <w:rFonts w:hint="eastAsia" w:cs="Times New Roman"/>
                <w:b w:val="0"/>
                <w:bCs/>
                <w:color w:val="auto"/>
                <w:sz w:val="24"/>
                <w:szCs w:val="24"/>
                <w:lang w:val="en-US" w:eastAsia="zh-CN"/>
              </w:rPr>
              <w:t>非甲烷总烃排放标准（30mg/m</w:t>
            </w:r>
            <w:r>
              <w:rPr>
                <w:rFonts w:hint="eastAsia" w:cs="Times New Roman"/>
                <w:b w:val="0"/>
                <w:bCs/>
                <w:color w:val="auto"/>
                <w:sz w:val="24"/>
                <w:szCs w:val="24"/>
                <w:vertAlign w:val="superscript"/>
                <w:lang w:val="en-US" w:eastAsia="zh-CN"/>
              </w:rPr>
              <w:t>3</w:t>
            </w:r>
            <w:r>
              <w:rPr>
                <w:rFonts w:hint="eastAsia" w:cs="Times New Roman"/>
                <w:b w:val="0"/>
                <w:bCs/>
                <w:color w:val="auto"/>
                <w:sz w:val="24"/>
                <w:szCs w:val="24"/>
                <w:lang w:val="en-US" w:eastAsia="zh-CN"/>
              </w:rPr>
              <w:t>）</w:t>
            </w:r>
            <w:r>
              <w:rPr>
                <w:rFonts w:hint="eastAsia"/>
                <w:sz w:val="24"/>
                <w:szCs w:val="24"/>
                <w:lang w:eastAsia="zh-CN"/>
              </w:rPr>
              <w:t>。</w:t>
            </w:r>
            <w:r>
              <w:rPr>
                <w:rFonts w:hint="eastAsia" w:cs="Times New Roman"/>
                <w:color w:val="auto"/>
                <w:sz w:val="24"/>
                <w:szCs w:val="24"/>
                <w:highlight w:val="none"/>
                <w:lang w:val="en-US" w:eastAsia="zh-CN"/>
              </w:rPr>
              <w:t>无组织非甲烷总烃周界外浓度最大值：0.94</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ascii="Times New Roman" w:hAnsi="Times New Roman" w:eastAsia="宋体" w:cs="Times New Roman"/>
                <w:b w:val="0"/>
                <w:bCs/>
                <w:color w:val="000000"/>
                <w:sz w:val="24"/>
                <w:szCs w:val="24"/>
                <w:u w:val="none"/>
                <w:vertAlign w:val="baseline"/>
                <w:lang w:val="en-US" w:eastAsia="zh-CN"/>
              </w:rPr>
              <w:t>满足《关于全省开展工业企业挥发性有机物专项治理工作中排放建议值的通知》豫环攻坚办[2017]162号文中</w:t>
            </w:r>
            <w:r>
              <w:rPr>
                <w:rFonts w:hint="default" w:ascii="Times New Roman" w:hAnsi="Times New Roman" w:eastAsia="宋体" w:cs="Times New Roman"/>
                <w:sz w:val="24"/>
                <w:szCs w:val="24"/>
                <w:highlight w:val="none"/>
              </w:rPr>
              <w:t>厂界无组织排放监控浓度限值</w:t>
            </w:r>
            <w:r>
              <w:rPr>
                <w:rFonts w:hint="default" w:ascii="Times New Roman" w:hAnsi="Times New Roman" w:eastAsia="宋体" w:cs="Times New Roman"/>
                <w:sz w:val="24"/>
                <w:szCs w:val="24"/>
                <w:highlight w:val="none"/>
                <w:lang w:val="en-US" w:eastAsia="zh-CN"/>
              </w:rPr>
              <w:t>2.0</w:t>
            </w:r>
            <w:r>
              <w:rPr>
                <w:rFonts w:hint="default" w:ascii="Times New Roman" w:hAnsi="Times New Roman" w:eastAsia="宋体" w:cs="Times New Roman"/>
                <w:sz w:val="24"/>
                <w:szCs w:val="24"/>
                <w:highlight w:val="none"/>
              </w:rPr>
              <w:t>mg/m</w:t>
            </w:r>
            <w:r>
              <w:rPr>
                <w:rFonts w:hint="default" w:ascii="Times New Roman" w:hAnsi="Times New Roman" w:eastAsia="宋体" w:cs="Times New Roman"/>
                <w:sz w:val="24"/>
                <w:szCs w:val="24"/>
                <w:highlight w:val="none"/>
                <w:vertAlign w:val="superscript"/>
              </w:rPr>
              <w:t>3</w:t>
            </w:r>
            <w:r>
              <w:rPr>
                <w:rFonts w:hint="eastAsia" w:ascii="Times New Roman" w:hAnsi="Times New Roman" w:eastAsia="宋体" w:cs="Times New Roman"/>
                <w:b w:val="0"/>
                <w:bCs/>
                <w:color w:val="000000"/>
                <w:sz w:val="24"/>
                <w:szCs w:val="24"/>
                <w:u w:val="none"/>
                <w:vertAlign w:val="baseline"/>
                <w:lang w:val="en-US" w:eastAsia="zh-CN"/>
              </w:rPr>
              <w:t>；</w:t>
            </w:r>
            <w:r>
              <w:rPr>
                <w:rFonts w:hint="eastAsia"/>
                <w:sz w:val="24"/>
                <w:szCs w:val="24"/>
                <w:lang w:val="en-US" w:eastAsia="zh-CN"/>
              </w:rPr>
              <w:t>颗粒物有组织最大排放浓度</w:t>
            </w:r>
            <w:r>
              <w:rPr>
                <w:rFonts w:hint="eastAsia" w:cs="Times New Roman"/>
                <w:b w:val="0"/>
                <w:bCs/>
                <w:color w:val="000000"/>
                <w:sz w:val="24"/>
                <w:szCs w:val="24"/>
                <w:u w:val="none"/>
                <w:lang w:val="en-US" w:eastAsia="zh-CN"/>
              </w:rPr>
              <w:t>1.5</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sz w:val="24"/>
                <w:szCs w:val="24"/>
                <w:lang w:val="en-US" w:eastAsia="zh-CN"/>
              </w:rPr>
              <w:t>满足</w:t>
            </w:r>
            <w:r>
              <w:rPr>
                <w:rFonts w:hint="default"/>
                <w:sz w:val="24"/>
                <w:szCs w:val="24"/>
                <w:lang w:val="en-US" w:eastAsia="zh-CN"/>
              </w:rPr>
              <w:t>《合成树脂工业污染物排放标准》(GB31572-2015)表5有组织排放浓度限值</w:t>
            </w:r>
            <w:r>
              <w:rPr>
                <w:rFonts w:hint="default" w:ascii="Times New Roman" w:hAnsi="Times New Roman" w:cs="Times New Roman"/>
                <w:sz w:val="24"/>
                <w:szCs w:val="24"/>
                <w:lang w:val="en-US" w:eastAsia="zh-CN"/>
              </w:rPr>
              <w:t>（20mg/m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vertAlign w:val="baseline"/>
                <w:lang w:val="en-US" w:eastAsia="zh-CN"/>
              </w:rPr>
              <w:t>）</w:t>
            </w:r>
            <w:r>
              <w:rPr>
                <w:rFonts w:hint="eastAsia"/>
                <w:sz w:val="24"/>
                <w:szCs w:val="24"/>
                <w:vertAlign w:val="baseline"/>
                <w:lang w:val="en-US" w:eastAsia="zh-CN"/>
              </w:rPr>
              <w:t>同时满足</w:t>
            </w:r>
            <w:r>
              <w:rPr>
                <w:rFonts w:hint="default"/>
                <w:sz w:val="24"/>
                <w:szCs w:val="24"/>
                <w:lang w:val="en-US" w:eastAsia="zh-CN"/>
              </w:rPr>
              <w:t>新乡市生态环境局</w:t>
            </w:r>
            <w:r>
              <w:rPr>
                <w:rFonts w:hint="default"/>
                <w:sz w:val="24"/>
                <w:szCs w:val="24"/>
              </w:rPr>
              <w:t>《</w:t>
            </w:r>
            <w:r>
              <w:rPr>
                <w:rFonts w:hint="default"/>
                <w:sz w:val="24"/>
                <w:szCs w:val="24"/>
                <w:lang w:eastAsia="zh-CN"/>
              </w:rPr>
              <w:t>关于进一步规范工业企业颗粒物排放限值的通知</w:t>
            </w:r>
            <w:r>
              <w:rPr>
                <w:rFonts w:hint="default"/>
                <w:sz w:val="24"/>
                <w:szCs w:val="24"/>
              </w:rPr>
              <w:t>》</w:t>
            </w:r>
            <w:r>
              <w:rPr>
                <w:rFonts w:hint="eastAsia"/>
                <w:sz w:val="24"/>
                <w:szCs w:val="24"/>
                <w:lang w:eastAsia="zh-CN"/>
              </w:rPr>
              <w:t>中</w:t>
            </w:r>
            <w:r>
              <w:rPr>
                <w:rFonts w:hint="default"/>
                <w:sz w:val="24"/>
                <w:szCs w:val="24"/>
                <w:lang w:val="en-US" w:eastAsia="zh-CN"/>
              </w:rPr>
              <w:t>颗粒物最高排放浓度</w:t>
            </w:r>
            <w:r>
              <w:rPr>
                <w:rFonts w:hint="eastAsia"/>
                <w:sz w:val="24"/>
                <w:szCs w:val="24"/>
                <w:lang w:val="en-US" w:eastAsia="zh-CN"/>
              </w:rPr>
              <w:t>（1</w:t>
            </w:r>
            <w:r>
              <w:rPr>
                <w:rFonts w:hint="default"/>
                <w:sz w:val="24"/>
                <w:szCs w:val="24"/>
                <w:lang w:val="en-US" w:eastAsia="zh-CN"/>
              </w:rPr>
              <w:t>0mg/m</w:t>
            </w:r>
            <w:r>
              <w:rPr>
                <w:rFonts w:hint="default"/>
                <w:sz w:val="24"/>
                <w:szCs w:val="24"/>
                <w:vertAlign w:val="superscript"/>
                <w:lang w:val="en-US" w:eastAsia="zh-CN"/>
              </w:rPr>
              <w:t>3</w:t>
            </w:r>
            <w:r>
              <w:rPr>
                <w:rFonts w:hint="eastAsia"/>
                <w:sz w:val="24"/>
                <w:szCs w:val="24"/>
                <w:vertAlign w:val="baseline"/>
                <w:lang w:val="en-US" w:eastAsia="zh-CN"/>
              </w:rPr>
              <w:t>）</w:t>
            </w:r>
            <w:r>
              <w:rPr>
                <w:rFonts w:hint="eastAsia"/>
                <w:sz w:val="24"/>
                <w:szCs w:val="24"/>
                <w:lang w:val="en-US" w:eastAsia="zh-CN"/>
              </w:rPr>
              <w:t>和</w:t>
            </w:r>
            <w:r>
              <w:rPr>
                <w:rFonts w:hint="eastAsia"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eastAsia="zh-CN"/>
              </w:rPr>
              <w:t>河南省重污染天气重点行业应急减排措施制定技术指南</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2021年修订版塑料制品行业</w:t>
            </w:r>
            <w:r>
              <w:rPr>
                <w:rFonts w:hint="eastAsia" w:cs="Times New Roman"/>
                <w:b w:val="0"/>
                <w:bCs/>
                <w:color w:val="auto"/>
                <w:sz w:val="24"/>
                <w:szCs w:val="24"/>
                <w:lang w:val="en-US" w:eastAsia="zh-CN"/>
              </w:rPr>
              <w:t>-B</w:t>
            </w:r>
            <w:r>
              <w:rPr>
                <w:rFonts w:hint="default" w:ascii="Times New Roman" w:hAnsi="Times New Roman" w:eastAsia="宋体" w:cs="Times New Roman"/>
                <w:b w:val="0"/>
                <w:bCs/>
                <w:color w:val="auto"/>
                <w:sz w:val="24"/>
                <w:szCs w:val="24"/>
                <w:lang w:val="en-US" w:eastAsia="zh-CN"/>
              </w:rPr>
              <w:t>级</w:t>
            </w:r>
            <w:r>
              <w:rPr>
                <w:rFonts w:hint="eastAsia" w:cs="Times New Roman"/>
                <w:b w:val="0"/>
                <w:bCs/>
                <w:color w:val="auto"/>
                <w:sz w:val="24"/>
                <w:szCs w:val="24"/>
                <w:lang w:val="en-US" w:eastAsia="zh-CN"/>
              </w:rPr>
              <w:t>颗粒物排放标准（10</w:t>
            </w:r>
            <w:r>
              <w:rPr>
                <w:rFonts w:hint="default"/>
                <w:sz w:val="24"/>
                <w:szCs w:val="24"/>
                <w:lang w:val="en-US" w:eastAsia="zh-CN"/>
              </w:rPr>
              <w:t>mg/m</w:t>
            </w:r>
            <w:r>
              <w:rPr>
                <w:rFonts w:hint="default"/>
                <w:sz w:val="24"/>
                <w:szCs w:val="24"/>
                <w:vertAlign w:val="superscript"/>
                <w:lang w:val="en-US" w:eastAsia="zh-CN"/>
              </w:rPr>
              <w:t>3</w:t>
            </w:r>
            <w:r>
              <w:rPr>
                <w:rFonts w:hint="eastAsia"/>
                <w:sz w:val="24"/>
                <w:szCs w:val="24"/>
                <w:vertAlign w:val="baseline"/>
                <w:lang w:val="en-US" w:eastAsia="zh-CN"/>
              </w:rPr>
              <w:t>）的要求。</w:t>
            </w:r>
            <w:r>
              <w:rPr>
                <w:rFonts w:hint="eastAsia" w:cs="Times New Roman"/>
                <w:color w:val="auto"/>
                <w:sz w:val="24"/>
                <w:szCs w:val="24"/>
                <w:highlight w:val="none"/>
                <w:lang w:val="en-US" w:eastAsia="zh-CN"/>
              </w:rPr>
              <w:t>无组织颗粒物周界外浓度最大值：</w:t>
            </w:r>
            <w:r>
              <w:rPr>
                <w:rFonts w:hint="eastAsia" w:eastAsia="宋体" w:cs="Times New Roman"/>
                <w:b w:val="0"/>
                <w:bCs/>
                <w:color w:val="000000"/>
                <w:sz w:val="24"/>
                <w:szCs w:val="24"/>
                <w:u w:val="none"/>
                <w:lang w:val="en-US" w:eastAsia="zh-CN"/>
              </w:rPr>
              <w:t>0.4</w:t>
            </w:r>
            <w:r>
              <w:rPr>
                <w:rFonts w:hint="eastAsia" w:cs="Times New Roman"/>
                <w:b w:val="0"/>
                <w:bCs/>
                <w:color w:val="000000"/>
                <w:sz w:val="24"/>
                <w:szCs w:val="24"/>
                <w:u w:val="none"/>
                <w:lang w:val="en-US" w:eastAsia="zh-CN"/>
              </w:rPr>
              <w:t>92</w:t>
            </w:r>
            <w:r>
              <w:rPr>
                <w:rFonts w:hint="default" w:ascii="Times New Roman" w:hAnsi="Times New Roman" w:eastAsia="宋体" w:cs="Times New Roman"/>
                <w:b w:val="0"/>
                <w:bCs/>
                <w:color w:val="000000"/>
                <w:sz w:val="24"/>
                <w:szCs w:val="24"/>
                <w:u w:val="none"/>
              </w:rPr>
              <w:t>mg/m</w:t>
            </w:r>
            <w:r>
              <w:rPr>
                <w:rFonts w:hint="default" w:ascii="Times New Roman" w:hAnsi="Times New Roman" w:eastAsia="宋体" w:cs="Times New Roman"/>
                <w:b w:val="0"/>
                <w:bCs/>
                <w:color w:val="000000"/>
                <w:sz w:val="24"/>
                <w:szCs w:val="24"/>
                <w:u w:val="none"/>
                <w:vertAlign w:val="superscript"/>
              </w:rPr>
              <w:t>3</w:t>
            </w:r>
            <w:r>
              <w:rPr>
                <w:rFonts w:hint="eastAsia" w:ascii="Times New Roman" w:hAnsi="Times New Roman" w:eastAsia="宋体" w:cs="Times New Roman"/>
                <w:b w:val="0"/>
                <w:bCs/>
                <w:color w:val="000000"/>
                <w:sz w:val="24"/>
                <w:szCs w:val="24"/>
                <w:u w:val="none"/>
                <w:vertAlign w:val="baseline"/>
                <w:lang w:eastAsia="zh-CN"/>
              </w:rPr>
              <w:t>，</w:t>
            </w:r>
            <w:r>
              <w:rPr>
                <w:rFonts w:hint="eastAsia" w:ascii="Times New Roman" w:hAnsi="Times New Roman" w:eastAsia="宋体" w:cs="Times New Roman"/>
                <w:b w:val="0"/>
                <w:bCs/>
                <w:color w:val="000000"/>
                <w:sz w:val="24"/>
                <w:szCs w:val="24"/>
                <w:u w:val="none"/>
                <w:vertAlign w:val="baseline"/>
                <w:lang w:val="en-US" w:eastAsia="zh-CN"/>
              </w:rPr>
              <w:t>满足新乡市生态环境局《关于进一步规范工业企业颗粒物排放限值的通知》厂界无组织排放监控浓度限值0.5mg/m</w:t>
            </w:r>
            <w:r>
              <w:rPr>
                <w:rFonts w:hint="eastAsia" w:ascii="Times New Roman" w:hAnsi="Times New Roman" w:eastAsia="宋体" w:cs="Times New Roman"/>
                <w:b w:val="0"/>
                <w:bCs/>
                <w:color w:val="000000"/>
                <w:sz w:val="24"/>
                <w:szCs w:val="24"/>
                <w:u w:val="none"/>
                <w:vertAlign w:val="superscript"/>
                <w:lang w:val="en-US" w:eastAsia="zh-CN"/>
              </w:rPr>
              <w:t>3</w:t>
            </w:r>
            <w:r>
              <w:rPr>
                <w:rFonts w:hint="eastAsia" w:ascii="Times New Roman" w:hAnsi="Times New Roman" w:eastAsia="宋体" w:cs="Times New Roman"/>
                <w:b w:val="0"/>
                <w:bCs/>
                <w:color w:val="000000"/>
                <w:sz w:val="24"/>
                <w:szCs w:val="24"/>
                <w:u w:val="none"/>
                <w:vertAlign w:val="baseline"/>
                <w:lang w:val="en-US" w:eastAsia="zh-CN"/>
              </w:rPr>
              <w:t>的要求。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现有</w:t>
            </w:r>
            <w:r>
              <w:rPr>
                <w:rFonts w:hint="default" w:ascii="Times New Roman" w:hAnsi="Times New Roman" w:eastAsia="宋体" w:cs="Times New Roman"/>
                <w:color w:val="auto"/>
                <w:sz w:val="24"/>
                <w:szCs w:val="24"/>
                <w:highlight w:val="none"/>
                <w:lang w:val="en-US" w:eastAsia="zh-CN"/>
              </w:rPr>
              <w:t>项目</w:t>
            </w:r>
            <w:r>
              <w:rPr>
                <w:rFonts w:hint="eastAsia" w:cs="Times New Roman"/>
                <w:color w:val="auto"/>
                <w:sz w:val="24"/>
                <w:szCs w:val="24"/>
                <w:highlight w:val="none"/>
                <w:lang w:val="en-US" w:eastAsia="zh-CN"/>
              </w:rPr>
              <w:t>根据2022年6月17日检测报告（见附件）厂界噪声昼间最大值57.4</w:t>
            </w:r>
            <w:r>
              <w:rPr>
                <w:rFonts w:hint="default" w:ascii="Times New Roman" w:hAnsi="Times New Roman" w:eastAsia="宋体" w:cs="Times New Roman"/>
                <w:color w:val="auto"/>
                <w:sz w:val="24"/>
                <w:szCs w:val="24"/>
                <w:highlight w:val="none"/>
                <w:lang w:val="en-US" w:eastAsia="zh-CN"/>
              </w:rPr>
              <w:t>dB(A)</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噪声设备产生的噪音，设备经基础减振</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 xml:space="preserve">厂房隔声和距离衰减后，厂界噪声能达到《工业企业厂界环境噪声排放标准》（GB12348-2008）2类区昼间 60dB(A)的标准要求。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（4）固废：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现有项目</w:t>
            </w:r>
            <w:r>
              <w:rPr>
                <w:rFonts w:hint="eastAsia" w:cs="Times New Roman"/>
                <w:color w:val="auto"/>
                <w:sz w:val="24"/>
                <w:szCs w:val="24"/>
                <w:highlight w:val="none"/>
                <w:lang w:val="en-US" w:eastAsia="zh-CN"/>
              </w:rPr>
              <w:t>包括</w:t>
            </w:r>
            <w:r>
              <w:rPr>
                <w:rFonts w:hint="default" w:ascii="Times New Roman" w:hAnsi="Times New Roman" w:eastAsia="宋体" w:cs="Times New Roman"/>
                <w:snapToGrid w:val="0"/>
                <w:color w:val="000000"/>
                <w:kern w:val="21"/>
                <w:sz w:val="24"/>
                <w:szCs w:val="24"/>
              </w:rPr>
              <w:t>一般工业固体废物</w:t>
            </w:r>
            <w:r>
              <w:rPr>
                <w:rFonts w:hint="eastAsia" w:cs="Times New Roman"/>
                <w:snapToGrid w:val="0"/>
                <w:color w:val="000000"/>
                <w:kern w:val="21"/>
                <w:sz w:val="24"/>
                <w:szCs w:val="24"/>
                <w:lang w:val="en-US" w:eastAsia="zh-CN"/>
              </w:rPr>
              <w:t>和危险废物，一般工业固体废物产生量包括</w:t>
            </w:r>
            <w:r>
              <w:rPr>
                <w:rFonts w:hint="default" w:ascii="Times New Roman" w:hAnsi="Times New Roman" w:eastAsia="宋体" w:cs="Times New Roman"/>
                <w:sz w:val="24"/>
                <w:szCs w:val="24"/>
                <w:lang w:val="en-US" w:eastAsia="zh-CN"/>
              </w:rPr>
              <w:t>废边角料、</w:t>
            </w:r>
            <w:r>
              <w:rPr>
                <w:rFonts w:hint="default" w:ascii="Times New Roman" w:hAnsi="Times New Roman" w:eastAsia="宋体" w:cs="Times New Roman"/>
                <w:bCs/>
                <w:color w:val="000000"/>
                <w:sz w:val="24"/>
                <w:szCs w:val="24"/>
                <w:highlight w:val="none"/>
                <w:lang w:val="en-US" w:eastAsia="zh-CN"/>
              </w:rPr>
              <w:t>不合格产品</w:t>
            </w:r>
            <w:r>
              <w:rPr>
                <w:rFonts w:hint="eastAsia" w:cs="Times New Roman"/>
                <w:bCs/>
                <w:color w:val="000000"/>
                <w:sz w:val="24"/>
                <w:szCs w:val="24"/>
                <w:highlight w:val="none"/>
                <w:lang w:val="en-US" w:eastAsia="zh-CN"/>
              </w:rPr>
              <w:t>44t/a，废包装袋1.16t/a，袋式除尘器</w:t>
            </w:r>
            <w:r>
              <w:rPr>
                <w:rFonts w:hint="default" w:ascii="Times New Roman" w:hAnsi="Times New Roman" w:eastAsia="宋体" w:cs="Times New Roman"/>
                <w:bCs/>
                <w:color w:val="000000"/>
                <w:sz w:val="24"/>
                <w:szCs w:val="24"/>
                <w:highlight w:val="none"/>
                <w:lang w:eastAsia="zh-CN"/>
              </w:rPr>
              <w:t>收集粉尘</w:t>
            </w:r>
            <w:r>
              <w:rPr>
                <w:rFonts w:hint="eastAsia" w:cs="Times New Roman"/>
                <w:bCs/>
                <w:color w:val="000000"/>
                <w:sz w:val="24"/>
                <w:szCs w:val="24"/>
                <w:highlight w:val="none"/>
                <w:lang w:val="en-US" w:eastAsia="zh-CN"/>
              </w:rPr>
              <w:t>0.4t/a，危险废物产生量包括废活性炭3.6t/a，废导热油7.5t/6a，废UV灯管0.01t/a，导热油空桶48个/6a。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ascii="宋体" w:hAnsi="宋体" w:eastAsia="宋体" w:cs="宋体"/>
                <w:b w:val="0"/>
                <w:bCs w:val="0"/>
                <w:sz w:val="24"/>
                <w:szCs w:val="24"/>
                <w:lang w:val="en-US" w:eastAsia="zh-CN"/>
              </w:rPr>
            </w:pPr>
            <w:r>
              <w:rPr>
                <w:rFonts w:hint="eastAsia" w:cs="Times New Roman"/>
                <w:color w:val="auto"/>
                <w:sz w:val="24"/>
                <w:szCs w:val="24"/>
                <w:highlight w:val="none"/>
                <w:lang w:val="en-US" w:eastAsia="zh-CN"/>
              </w:rPr>
              <w:t>北</w:t>
            </w:r>
            <w:r>
              <w:rPr>
                <w:rFonts w:hint="default" w:ascii="Times New Roman" w:hAnsi="Times New Roman" w:eastAsia="宋体" w:cs="Times New Roman"/>
                <w:color w:val="auto"/>
                <w:sz w:val="24"/>
                <w:szCs w:val="24"/>
                <w:highlight w:val="none"/>
                <w:lang w:val="en-US" w:eastAsia="zh-CN"/>
              </w:rPr>
              <w:t>厂区设置1座面积为</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一般固废暂存间，已做好防风、防雨、防晒</w:t>
            </w:r>
            <w:r>
              <w:rPr>
                <w:rFonts w:hint="eastAsia" w:cs="Times New Roman"/>
                <w:color w:val="auto"/>
                <w:sz w:val="24"/>
                <w:szCs w:val="24"/>
                <w:highlight w:val="none"/>
                <w:lang w:val="en-US" w:eastAsia="zh-CN"/>
              </w:rPr>
              <w:t>；南厂区建设了一座防渗漏、防扬散、防流失一般固废储存场5m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一般固废暂存间</w:t>
            </w:r>
            <w:r>
              <w:rPr>
                <w:rFonts w:hint="eastAsia" w:cs="Times New Roman"/>
                <w:color w:val="auto"/>
                <w:sz w:val="24"/>
                <w:szCs w:val="24"/>
                <w:highlight w:val="none"/>
                <w:lang w:val="en-US" w:eastAsia="zh-CN"/>
              </w:rPr>
              <w:t>和一般固废储存场都</w:t>
            </w:r>
            <w:r>
              <w:rPr>
                <w:rFonts w:hint="default" w:ascii="Times New Roman" w:hAnsi="Times New Roman" w:eastAsia="宋体" w:cs="Times New Roman"/>
                <w:color w:val="auto"/>
                <w:sz w:val="24"/>
                <w:szCs w:val="24"/>
                <w:highlight w:val="none"/>
                <w:lang w:val="en-US" w:eastAsia="zh-CN"/>
              </w:rPr>
              <w:t>满足</w:t>
            </w:r>
            <w:r>
              <w:rPr>
                <w:rFonts w:hint="eastAsia" w:ascii="Times New Roman" w:hAnsi="Times New Roman" w:eastAsia="宋体" w:cs="Times New Roman"/>
                <w:sz w:val="24"/>
                <w:szCs w:val="24"/>
                <w:highlight w:val="none"/>
                <w:lang w:val="en-US" w:eastAsia="zh-CN"/>
              </w:rPr>
              <w:t>《一般固体废物分类与代码》（GB/T39198-2020）的相关要求</w:t>
            </w:r>
            <w:r>
              <w:rPr>
                <w:rFonts w:hint="default" w:ascii="Times New Roman" w:hAnsi="Times New Roman" w:eastAsia="宋体" w:cs="Times New Roman"/>
                <w:color w:val="auto"/>
                <w:sz w:val="24"/>
                <w:szCs w:val="24"/>
                <w:highlight w:val="none"/>
                <w:lang w:val="en-US" w:eastAsia="zh-CN"/>
              </w:rPr>
              <w:t>。企业</w:t>
            </w:r>
            <w:r>
              <w:rPr>
                <w:rFonts w:hint="eastAsia" w:cs="Times New Roman"/>
                <w:color w:val="auto"/>
                <w:sz w:val="24"/>
                <w:szCs w:val="24"/>
                <w:highlight w:val="none"/>
                <w:lang w:val="en-US" w:eastAsia="zh-CN"/>
              </w:rPr>
              <w:t>分别</w:t>
            </w:r>
            <w:r>
              <w:rPr>
                <w:rFonts w:hint="default" w:ascii="Times New Roman" w:hAnsi="Times New Roman" w:eastAsia="宋体" w:cs="Times New Roman"/>
                <w:color w:val="auto"/>
                <w:sz w:val="24"/>
                <w:szCs w:val="24"/>
                <w:highlight w:val="none"/>
                <w:lang w:val="en-US" w:eastAsia="zh-CN"/>
              </w:rPr>
              <w:t>在</w:t>
            </w:r>
            <w:r>
              <w:rPr>
                <w:rFonts w:hint="eastAsia" w:cs="Times New Roman"/>
                <w:color w:val="auto"/>
                <w:sz w:val="24"/>
                <w:szCs w:val="24"/>
                <w:highlight w:val="none"/>
                <w:lang w:val="en-US" w:eastAsia="zh-CN"/>
              </w:rPr>
              <w:t>北</w:t>
            </w:r>
            <w:r>
              <w:rPr>
                <w:rFonts w:hint="default" w:ascii="Times New Roman" w:hAnsi="Times New Roman" w:eastAsia="宋体" w:cs="Times New Roman"/>
                <w:color w:val="auto"/>
                <w:sz w:val="24"/>
                <w:szCs w:val="24"/>
                <w:highlight w:val="none"/>
                <w:lang w:val="en-US" w:eastAsia="zh-CN"/>
              </w:rPr>
              <w:t>厂区</w:t>
            </w:r>
            <w:r>
              <w:rPr>
                <w:rFonts w:hint="eastAsia" w:cs="Times New Roman"/>
                <w:color w:val="auto"/>
                <w:sz w:val="24"/>
                <w:szCs w:val="24"/>
                <w:highlight w:val="none"/>
                <w:lang w:val="en-US" w:eastAsia="zh-CN"/>
              </w:rPr>
              <w:t>和南厂区</w:t>
            </w:r>
            <w:r>
              <w:rPr>
                <w:rFonts w:hint="default" w:ascii="Times New Roman" w:hAnsi="Times New Roman" w:eastAsia="宋体" w:cs="Times New Roman"/>
                <w:color w:val="auto"/>
                <w:sz w:val="24"/>
                <w:szCs w:val="24"/>
                <w:highlight w:val="none"/>
                <w:lang w:val="en-US" w:eastAsia="zh-CN"/>
              </w:rPr>
              <w:t>设置</w:t>
            </w:r>
            <w:r>
              <w:rPr>
                <w:rFonts w:hint="eastAsia"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eastAsia" w:cs="Times New Roman"/>
                <w:color w:val="auto"/>
                <w:sz w:val="24"/>
                <w:szCs w:val="24"/>
                <w:highlight w:val="none"/>
                <w:vertAlign w:val="baseline"/>
                <w:lang w:val="en-US" w:eastAsia="zh-CN"/>
              </w:rPr>
              <w:t>和</w:t>
            </w:r>
            <w:r>
              <w:rPr>
                <w:rFonts w:hint="eastAsia" w:cs="Times New Roman"/>
                <w:color w:val="auto"/>
                <w:sz w:val="24"/>
                <w:szCs w:val="24"/>
                <w:highlight w:val="none"/>
                <w:lang w:val="en-US" w:eastAsia="zh-CN"/>
              </w:rPr>
              <w:t>5m</w:t>
            </w:r>
            <w:r>
              <w:rPr>
                <w:rFonts w:hint="eastAsia" w:cs="Times New Roman"/>
                <w:color w:val="auto"/>
                <w:sz w:val="24"/>
                <w:szCs w:val="24"/>
                <w:highlight w:val="none"/>
                <w:vertAlign w:val="superscript"/>
                <w:lang w:val="en-US" w:eastAsia="zh-CN"/>
              </w:rPr>
              <w:t>2</w:t>
            </w:r>
            <w:r>
              <w:rPr>
                <w:rFonts w:hint="eastAsia" w:cs="Times New Roman"/>
                <w:color w:val="auto"/>
                <w:sz w:val="24"/>
                <w:szCs w:val="24"/>
                <w:highlight w:val="none"/>
                <w:vertAlign w:val="baseline"/>
                <w:lang w:val="en-US" w:eastAsia="zh-CN"/>
              </w:rPr>
              <w:t>的</w:t>
            </w:r>
            <w:r>
              <w:rPr>
                <w:rFonts w:hint="default" w:ascii="Times New Roman" w:hAnsi="Times New Roman" w:eastAsia="宋体" w:cs="Times New Roman"/>
                <w:color w:val="auto"/>
                <w:sz w:val="24"/>
                <w:szCs w:val="24"/>
                <w:highlight w:val="none"/>
                <w:lang w:val="en-US" w:eastAsia="zh-CN"/>
              </w:rPr>
              <w:t>危废暂存间，危废暂存间满足《危险废物贮存污染控制标准》（GB18597-20</w:t>
            </w:r>
            <w:r>
              <w:rPr>
                <w:rFonts w:hint="eastAsia"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lang w:val="en-US" w:eastAsia="zh-CN"/>
              </w:rPr>
              <w:t>）的相关要求。</w:t>
            </w:r>
          </w:p>
          <w:p>
            <w:pPr>
              <w:keepNext/>
              <w:keepLines w:val="0"/>
              <w:pageBreakBefore w:val="0"/>
              <w:widowControl w:val="0"/>
              <w:kinsoku/>
              <w:wordWrap/>
              <w:overflowPunct w:val="0"/>
              <w:topLinePunct w:val="0"/>
              <w:autoSpaceDE/>
              <w:autoSpaceDN/>
              <w:bidi w:val="0"/>
              <w:adjustRightInd/>
              <w:snapToGrid w:val="0"/>
              <w:spacing w:before="157" w:beforeLines="50" w:after="0" w:line="240" w:lineRule="auto"/>
              <w:ind w:left="0" w:firstLine="0"/>
              <w:jc w:val="center"/>
              <w:textAlignment w:val="auto"/>
              <w:outlineLvl w:val="9"/>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表</w:t>
            </w:r>
            <w:r>
              <w:rPr>
                <w:rFonts w:hint="default" w:ascii="Times New Roman" w:hAnsi="Times New Roman" w:eastAsia="宋体" w:cs="Times New Roman"/>
                <w:b w:val="0"/>
                <w:bCs w:val="0"/>
                <w:sz w:val="21"/>
                <w:szCs w:val="21"/>
                <w:lang w:val="en-US" w:eastAsia="zh-CN"/>
              </w:rPr>
              <w:t>1</w:t>
            </w:r>
            <w:r>
              <w:rPr>
                <w:rFonts w:hint="eastAsia" w:cs="Times New Roman"/>
                <w:b w:val="0"/>
                <w:bCs w:val="0"/>
                <w:sz w:val="21"/>
                <w:szCs w:val="21"/>
                <w:lang w:val="en-US" w:eastAsia="zh-CN"/>
              </w:rPr>
              <w:t>5</w:t>
            </w:r>
            <w:r>
              <w:rPr>
                <w:rFonts w:hint="eastAsia" w:ascii="宋体" w:hAnsi="宋体" w:eastAsia="宋体" w:cs="宋体"/>
                <w:b w:val="0"/>
                <w:bCs w:val="0"/>
                <w:sz w:val="21"/>
                <w:szCs w:val="21"/>
                <w:lang w:val="en-US" w:eastAsia="zh-CN"/>
              </w:rPr>
              <w:t xml:space="preserve">      现有项目</w:t>
            </w:r>
            <w:r>
              <w:rPr>
                <w:rFonts w:hint="eastAsia" w:ascii="宋体" w:hAnsi="宋体" w:cs="宋体"/>
                <w:b w:val="0"/>
                <w:bCs w:val="0"/>
                <w:sz w:val="21"/>
                <w:szCs w:val="21"/>
                <w:lang w:val="en-US" w:eastAsia="zh-CN"/>
              </w:rPr>
              <w:t>废气</w:t>
            </w:r>
            <w:r>
              <w:rPr>
                <w:rFonts w:hint="eastAsia" w:ascii="宋体" w:hAnsi="宋体" w:eastAsia="宋体" w:cs="宋体"/>
                <w:b w:val="0"/>
                <w:bCs w:val="0"/>
                <w:sz w:val="21"/>
                <w:szCs w:val="21"/>
                <w:lang w:val="en-US" w:eastAsia="zh-CN"/>
              </w:rPr>
              <w:t>排放情况一览表</w:t>
            </w:r>
          </w:p>
          <w:tbl>
            <w:tblPr>
              <w:tblStyle w:val="23"/>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1226"/>
              <w:gridCol w:w="1200"/>
              <w:gridCol w:w="1200"/>
              <w:gridCol w:w="1385"/>
              <w:gridCol w:w="942"/>
              <w:gridCol w:w="858"/>
              <w:gridCol w:w="8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53" w:hRule="atLeast"/>
                <w:jc w:val="center"/>
              </w:trPr>
              <w:tc>
                <w:tcPr>
                  <w:tcW w:w="284"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污染物</w:t>
                  </w:r>
                </w:p>
              </w:tc>
              <w:tc>
                <w:tcPr>
                  <w:tcW w:w="753"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年产200套模具、200万套汽车（电器）零部件项目（t/a）</w:t>
                  </w:r>
                </w:p>
              </w:tc>
              <w:tc>
                <w:tcPr>
                  <w:tcW w:w="737"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年产2000万套汽车零（电器）部件项目（一期）（t/a）</w:t>
                  </w:r>
                </w:p>
              </w:tc>
              <w:tc>
                <w:tcPr>
                  <w:tcW w:w="73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年产2000万套汽车零（电器）部件项目（二期）（t/a）</w:t>
                  </w:r>
                </w:p>
              </w:tc>
              <w:tc>
                <w:tcPr>
                  <w:tcW w:w="851" w:type="pct"/>
                  <w:tcBorders>
                    <w:tl2br w:val="nil"/>
                    <w:tr2bl w:val="nil"/>
                  </w:tcBorders>
                  <w:vAlign w:val="center"/>
                </w:tcPr>
                <w:p>
                  <w:pPr>
                    <w:jc w:val="center"/>
                    <w:rPr>
                      <w:rFonts w:hint="eastAsia"/>
                      <w:sz w:val="21"/>
                      <w:szCs w:val="21"/>
                      <w:vertAlign w:val="baseline"/>
                      <w:lang w:val="en-US" w:eastAsia="zh-CN"/>
                    </w:rPr>
                  </w:pPr>
                  <w:r>
                    <w:rPr>
                      <w:rFonts w:hint="eastAsia"/>
                      <w:sz w:val="21"/>
                      <w:szCs w:val="21"/>
                      <w:vertAlign w:val="baseline"/>
                      <w:lang w:val="en-US" w:eastAsia="zh-CN"/>
                    </w:rPr>
                    <w:t>年产2000万套汽车零（电器）部件项目（三期现有项目环评中的量）（t/a）</w:t>
                  </w:r>
                </w:p>
              </w:tc>
              <w:tc>
                <w:tcPr>
                  <w:tcW w:w="579"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削减替代量（t/a）</w:t>
                  </w:r>
                </w:p>
              </w:tc>
              <w:tc>
                <w:tcPr>
                  <w:tcW w:w="52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现有项目实际排放量（t/a）</w:t>
                  </w:r>
                </w:p>
              </w:tc>
              <w:tc>
                <w:tcPr>
                  <w:tcW w:w="527" w:type="pct"/>
                  <w:tcBorders>
                    <w:tl2br w:val="nil"/>
                    <w:tr2bl w:val="nil"/>
                  </w:tcBorders>
                  <w:vAlign w:val="center"/>
                </w:tcPr>
                <w:p>
                  <w:pPr>
                    <w:jc w:val="center"/>
                    <w:rPr>
                      <w:rFonts w:hint="eastAsia"/>
                      <w:sz w:val="21"/>
                      <w:szCs w:val="21"/>
                      <w:vertAlign w:val="baseline"/>
                      <w:lang w:val="en-US" w:eastAsia="zh-CN"/>
                    </w:rPr>
                  </w:pPr>
                  <w:r>
                    <w:rPr>
                      <w:rFonts w:hint="eastAsia"/>
                      <w:sz w:val="21"/>
                      <w:szCs w:val="21"/>
                      <w:vertAlign w:val="baseline"/>
                      <w:lang w:val="en-US" w:eastAsia="zh-CN"/>
                    </w:rPr>
                    <w:t>许可排放量（t/a）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284"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颗粒物</w:t>
                  </w:r>
                </w:p>
              </w:tc>
              <w:tc>
                <w:tcPr>
                  <w:tcW w:w="753"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0.015</w:t>
                  </w:r>
                </w:p>
              </w:tc>
              <w:tc>
                <w:tcPr>
                  <w:tcW w:w="737"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0.0028</w:t>
                  </w:r>
                </w:p>
              </w:tc>
              <w:tc>
                <w:tcPr>
                  <w:tcW w:w="73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0.008</w:t>
                  </w:r>
                </w:p>
              </w:tc>
              <w:tc>
                <w:tcPr>
                  <w:tcW w:w="851"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0.012</w:t>
                  </w:r>
                </w:p>
              </w:tc>
              <w:tc>
                <w:tcPr>
                  <w:tcW w:w="579"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0.0045</w:t>
                  </w:r>
                </w:p>
              </w:tc>
              <w:tc>
                <w:tcPr>
                  <w:tcW w:w="52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0.0333</w:t>
                  </w:r>
                </w:p>
              </w:tc>
              <w:tc>
                <w:tcPr>
                  <w:tcW w:w="527" w:type="pct"/>
                  <w:tcBorders>
                    <w:tl2br w:val="nil"/>
                    <w:tr2bl w:val="nil"/>
                  </w:tcBorders>
                  <w:vAlign w:val="center"/>
                </w:tcPr>
                <w:p>
                  <w:pPr>
                    <w:jc w:val="center"/>
                    <w:rPr>
                      <w:rFonts w:hint="eastAsia"/>
                      <w:sz w:val="21"/>
                      <w:szCs w:val="21"/>
                      <w:vertAlign w:val="baseline"/>
                      <w:lang w:val="en-US" w:eastAsia="zh-CN"/>
                    </w:rPr>
                  </w:pPr>
                  <w:r>
                    <w:rPr>
                      <w:rFonts w:hint="eastAsia"/>
                      <w:sz w:val="21"/>
                      <w:szCs w:val="21"/>
                      <w:vertAlign w:val="baseline"/>
                      <w:lang w:val="en-US" w:eastAsia="zh-CN"/>
                    </w:rPr>
                    <w:t>0.039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284"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非甲烷总烃</w:t>
                  </w:r>
                </w:p>
              </w:tc>
              <w:tc>
                <w:tcPr>
                  <w:tcW w:w="753"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0.002（现有项目中环评量）</w:t>
                  </w:r>
                </w:p>
              </w:tc>
              <w:tc>
                <w:tcPr>
                  <w:tcW w:w="737" w:type="pct"/>
                  <w:tcBorders>
                    <w:tl2br w:val="nil"/>
                    <w:tr2bl w:val="nil"/>
                  </w:tcBorders>
                  <w:vAlign w:val="center"/>
                </w:tcPr>
                <w:p>
                  <w:pPr>
                    <w:jc w:val="center"/>
                    <w:rPr>
                      <w:rFonts w:hint="default"/>
                      <w:color w:val="auto"/>
                      <w:sz w:val="21"/>
                      <w:szCs w:val="21"/>
                      <w:vertAlign w:val="baseline"/>
                      <w:lang w:val="en-US" w:eastAsia="zh-CN"/>
                    </w:rPr>
                  </w:pPr>
                  <w:r>
                    <w:rPr>
                      <w:rFonts w:hint="eastAsia"/>
                      <w:color w:val="auto"/>
                      <w:sz w:val="21"/>
                      <w:szCs w:val="21"/>
                      <w:vertAlign w:val="baseline"/>
                      <w:lang w:val="en-US" w:eastAsia="zh-CN"/>
                    </w:rPr>
                    <w:t>0.0153</w:t>
                  </w:r>
                </w:p>
              </w:tc>
              <w:tc>
                <w:tcPr>
                  <w:tcW w:w="73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0.074</w:t>
                  </w:r>
                </w:p>
              </w:tc>
              <w:tc>
                <w:tcPr>
                  <w:tcW w:w="851"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0.132</w:t>
                  </w:r>
                </w:p>
              </w:tc>
              <w:tc>
                <w:tcPr>
                  <w:tcW w:w="579"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0.0515</w:t>
                  </w:r>
                </w:p>
              </w:tc>
              <w:tc>
                <w:tcPr>
                  <w:tcW w:w="527" w:type="pct"/>
                  <w:tcBorders>
                    <w:tl2br w:val="nil"/>
                    <w:tr2bl w:val="nil"/>
                  </w:tcBorders>
                  <w:vAlign w:val="center"/>
                </w:tcPr>
                <w:p>
                  <w:pPr>
                    <w:jc w:val="center"/>
                    <w:rPr>
                      <w:rFonts w:hint="default"/>
                      <w:sz w:val="21"/>
                      <w:szCs w:val="21"/>
                      <w:vertAlign w:val="baseline"/>
                      <w:lang w:val="en-US" w:eastAsia="zh-CN"/>
                    </w:rPr>
                  </w:pPr>
                  <w:r>
                    <w:rPr>
                      <w:rFonts w:hint="eastAsia"/>
                      <w:sz w:val="21"/>
                      <w:szCs w:val="21"/>
                      <w:vertAlign w:val="baseline"/>
                      <w:lang w:val="en-US" w:eastAsia="zh-CN"/>
                    </w:rPr>
                    <w:t>0.1718</w:t>
                  </w:r>
                </w:p>
              </w:tc>
              <w:tc>
                <w:tcPr>
                  <w:tcW w:w="527" w:type="pct"/>
                  <w:tcBorders>
                    <w:tl2br w:val="nil"/>
                    <w:tr2bl w:val="nil"/>
                  </w:tcBorders>
                  <w:vAlign w:val="center"/>
                </w:tcPr>
                <w:p>
                  <w:pPr>
                    <w:jc w:val="center"/>
                    <w:rPr>
                      <w:rFonts w:hint="eastAsia"/>
                      <w:sz w:val="21"/>
                      <w:szCs w:val="21"/>
                      <w:vertAlign w:val="baseline"/>
                      <w:lang w:val="en-US" w:eastAsia="zh-CN"/>
                    </w:rPr>
                  </w:pPr>
                  <w:r>
                    <w:rPr>
                      <w:rFonts w:hint="eastAsia"/>
                      <w:sz w:val="21"/>
                      <w:szCs w:val="21"/>
                      <w:vertAlign w:val="baseline"/>
                      <w:lang w:val="en-US" w:eastAsia="zh-CN"/>
                    </w:rPr>
                    <w:t>0.257</w:t>
                  </w:r>
                </w:p>
              </w:tc>
            </w:tr>
          </w:tbl>
          <w:p>
            <w:pPr>
              <w:keepNext w:val="0"/>
              <w:keepLines w:val="0"/>
              <w:pageBreakBefore w:val="0"/>
              <w:widowControl w:val="0"/>
              <w:kinsoku/>
              <w:wordWrap/>
              <w:overflowPunct/>
              <w:topLinePunct w:val="0"/>
              <w:autoSpaceDE/>
              <w:autoSpaceDN/>
              <w:bidi w:val="0"/>
              <w:adjustRightInd/>
              <w:snapToGrid w:val="0"/>
              <w:spacing w:before="0" w:after="0" w:line="360" w:lineRule="auto"/>
              <w:ind w:left="0" w:firstLine="480" w:firstLineChars="200"/>
              <w:textAlignment w:val="auto"/>
              <w:outlineLvl w:val="9"/>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由上表可知现有项目实际排放量不超过许可排放量。</w:t>
            </w:r>
          </w:p>
          <w:p>
            <w:pPr>
              <w:keepNext w:val="0"/>
              <w:keepLines w:val="0"/>
              <w:pageBreakBefore w:val="0"/>
              <w:widowControl w:val="0"/>
              <w:kinsoku/>
              <w:wordWrap/>
              <w:overflowPunct/>
              <w:topLinePunct w:val="0"/>
              <w:autoSpaceDE/>
              <w:autoSpaceDN/>
              <w:bidi w:val="0"/>
              <w:adjustRightInd/>
              <w:snapToGrid w:val="0"/>
              <w:spacing w:before="0" w:after="0" w:line="360" w:lineRule="auto"/>
              <w:ind w:left="0" w:firstLine="480" w:firstLineChars="200"/>
              <w:textAlignment w:val="auto"/>
              <w:outlineLvl w:val="9"/>
              <w:rPr>
                <w:rFonts w:hint="default" w:ascii="Times New Roman" w:hAnsi="Times New Roman" w:eastAsia="宋体" w:cs="Times New Roman"/>
                <w:b w:val="0"/>
                <w:bCs w:val="0"/>
                <w:sz w:val="24"/>
                <w:szCs w:val="24"/>
                <w:lang w:val="en-US"/>
              </w:rPr>
            </w:pPr>
            <w:r>
              <w:rPr>
                <w:rFonts w:hint="eastAsia" w:cs="Times New Roman"/>
                <w:color w:val="auto"/>
                <w:sz w:val="24"/>
                <w:szCs w:val="24"/>
                <w:highlight w:val="none"/>
                <w:lang w:val="en-US" w:eastAsia="zh-CN"/>
              </w:rPr>
              <w:t>由于南厂区年产</w:t>
            </w:r>
            <w:r>
              <w:rPr>
                <w:rFonts w:hint="eastAsia" w:ascii="Times New Roman" w:hAnsi="Times New Roman" w:eastAsia="宋体" w:cs="Times New Roman"/>
                <w:b w:val="0"/>
                <w:bCs w:val="0"/>
                <w:sz w:val="24"/>
                <w:szCs w:val="24"/>
                <w:u w:val="none"/>
                <w:lang w:val="en-US" w:eastAsia="zh-CN"/>
              </w:rPr>
              <w:t>170</w:t>
            </w:r>
            <w:r>
              <w:rPr>
                <w:rFonts w:hint="default" w:ascii="Times New Roman" w:hAnsi="Times New Roman" w:eastAsia="宋体" w:cs="Times New Roman"/>
                <w:b w:val="0"/>
                <w:bCs w:val="0"/>
                <w:sz w:val="24"/>
                <w:szCs w:val="24"/>
                <w:u w:val="none"/>
                <w:lang w:val="en-US" w:eastAsia="zh-CN"/>
              </w:rPr>
              <w:t>万套汽车</w:t>
            </w:r>
            <w:r>
              <w:rPr>
                <w:rFonts w:hint="eastAsia"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电器</w:t>
            </w:r>
            <w:r>
              <w:rPr>
                <w:rFonts w:hint="eastAsia"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零部件项目不在生产</w:t>
            </w:r>
            <w:r>
              <w:rPr>
                <w:rFonts w:hint="eastAsia" w:ascii="Times New Roman" w:hAnsi="Times New Roman" w:eastAsia="宋体" w:cs="Times New Roman"/>
                <w:b w:val="0"/>
                <w:bCs w:val="0"/>
                <w:sz w:val="24"/>
                <w:szCs w:val="24"/>
                <w:u w:val="none"/>
                <w:lang w:val="en-US" w:eastAsia="zh-CN"/>
              </w:rPr>
              <w:t>（</w:t>
            </w:r>
            <w:r>
              <w:rPr>
                <w:rFonts w:hint="default" w:ascii="Times New Roman" w:hAnsi="Times New Roman" w:eastAsia="宋体" w:cs="Times New Roman"/>
                <w:b w:val="0"/>
                <w:bCs w:val="0"/>
                <w:sz w:val="24"/>
                <w:szCs w:val="24"/>
                <w:u w:val="none"/>
                <w:lang w:val="en-US" w:eastAsia="zh-CN"/>
              </w:rPr>
              <w:t>仅生产</w:t>
            </w:r>
            <w:r>
              <w:rPr>
                <w:rFonts w:hint="eastAsia" w:ascii="Times New Roman" w:hAnsi="Times New Roman" w:eastAsia="宋体" w:cs="Times New Roman"/>
                <w:b w:val="0"/>
                <w:bCs w:val="0"/>
                <w:sz w:val="24"/>
                <w:szCs w:val="24"/>
                <w:u w:val="none"/>
                <w:lang w:val="en-US" w:eastAsia="zh-CN"/>
              </w:rPr>
              <w:t>180</w:t>
            </w:r>
            <w:r>
              <w:rPr>
                <w:rFonts w:hint="default" w:ascii="Times New Roman" w:hAnsi="Times New Roman" w:eastAsia="宋体" w:cs="Times New Roman"/>
                <w:b w:val="0"/>
                <w:bCs w:val="0"/>
                <w:sz w:val="24"/>
                <w:szCs w:val="24"/>
                <w:u w:val="none"/>
                <w:lang w:val="en-US" w:eastAsia="zh-CN"/>
              </w:rPr>
              <w:t>套模具</w:t>
            </w:r>
            <w:r>
              <w:rPr>
                <w:rFonts w:hint="eastAsia" w:ascii="Times New Roman" w:hAnsi="Times New Roman" w:eastAsia="宋体" w:cs="Times New Roman"/>
                <w:b w:val="0"/>
                <w:bCs w:val="0"/>
                <w:sz w:val="24"/>
                <w:szCs w:val="24"/>
                <w:u w:val="none"/>
                <w:lang w:val="en-US" w:eastAsia="zh-CN"/>
              </w:rPr>
              <w:t>），其非甲烷总烃排放量0.002t/a全部作为本次改建项目的</w:t>
            </w:r>
            <w:r>
              <w:rPr>
                <w:rFonts w:hint="eastAsia" w:cs="Times New Roman"/>
                <w:b w:val="0"/>
                <w:bCs w:val="0"/>
                <w:sz w:val="24"/>
                <w:szCs w:val="24"/>
                <w:u w:val="none"/>
                <w:lang w:val="en-US" w:eastAsia="zh-CN"/>
              </w:rPr>
              <w:t>削</w:t>
            </w:r>
            <w:r>
              <w:rPr>
                <w:rFonts w:hint="eastAsia" w:ascii="Times New Roman" w:hAnsi="Times New Roman" w:eastAsia="宋体" w:cs="Times New Roman"/>
                <w:b w:val="0"/>
                <w:bCs w:val="0"/>
                <w:sz w:val="24"/>
                <w:szCs w:val="24"/>
                <w:u w:val="none"/>
                <w:lang w:val="en-US" w:eastAsia="zh-CN"/>
              </w:rPr>
              <w:t>减替代量。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根据</w:t>
            </w:r>
            <w:r>
              <w:rPr>
                <w:rFonts w:hint="eastAsia"/>
                <w:sz w:val="24"/>
                <w:szCs w:val="24"/>
                <w:lang w:val="en-US" w:eastAsia="zh-CN"/>
              </w:rPr>
              <w:t>河南永丰模具有限公司</w:t>
            </w:r>
            <w:r>
              <w:rPr>
                <w:rFonts w:hint="eastAsia" w:ascii="Times New Roman" w:hAnsi="Times New Roman" w:eastAsia="宋体" w:cs="Times New Roman"/>
                <w:b w:val="0"/>
                <w:bCs w:val="0"/>
                <w:sz w:val="24"/>
                <w:szCs w:val="24"/>
                <w:u w:val="none"/>
                <w:lang w:eastAsia="zh-CN"/>
              </w:rPr>
              <w:t>年产200</w:t>
            </w:r>
            <w:r>
              <w:rPr>
                <w:rFonts w:hint="eastAsia" w:cs="Times New Roman"/>
                <w:b w:val="0"/>
                <w:bCs w:val="0"/>
                <w:sz w:val="24"/>
                <w:szCs w:val="24"/>
                <w:u w:val="none"/>
                <w:lang w:val="en-US" w:eastAsia="zh-CN"/>
              </w:rPr>
              <w:t>0</w:t>
            </w:r>
            <w:r>
              <w:rPr>
                <w:rFonts w:hint="eastAsia" w:ascii="Times New Roman" w:hAnsi="Times New Roman" w:eastAsia="宋体" w:cs="Times New Roman"/>
                <w:b w:val="0"/>
                <w:bCs w:val="0"/>
                <w:sz w:val="24"/>
                <w:szCs w:val="24"/>
                <w:u w:val="none"/>
                <w:lang w:eastAsia="zh-CN"/>
              </w:rPr>
              <w:t>万套汽车（电器）零部件项目</w:t>
            </w:r>
            <w:r>
              <w:rPr>
                <w:rFonts w:hint="eastAsia"/>
                <w:sz w:val="24"/>
                <w:szCs w:val="24"/>
                <w:lang w:val="en-US" w:eastAsia="zh-CN"/>
              </w:rPr>
              <w:t>分三期建设，一期已建、已验收</w:t>
            </w:r>
            <w:r>
              <w:rPr>
                <w:rFonts w:hint="eastAsia" w:cs="Times New Roman"/>
                <w:color w:val="auto"/>
                <w:sz w:val="24"/>
                <w:szCs w:val="24"/>
                <w:highlight w:val="none"/>
                <w:lang w:val="en-US" w:eastAsia="zh-CN"/>
              </w:rPr>
              <w:t>，二期、三期未建，一期、二期总量不变，原有三期工程非甲烷总烃排放量0.132t/a（有组织0.088t/a，无组织0.044t/a），颗粒物排放量0.012t/a（有组织0.006t/a，无组织0.006t/a）。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eastAsia="宋体"/>
                <w:sz w:val="24"/>
                <w:szCs w:val="24"/>
                <w:lang w:val="en-US" w:eastAsia="zh-CN"/>
              </w:rPr>
            </w:pPr>
            <w:r>
              <w:rPr>
                <w:rFonts w:hint="eastAsia" w:cs="Times New Roman"/>
                <w:color w:val="auto"/>
                <w:sz w:val="24"/>
                <w:szCs w:val="24"/>
                <w:highlight w:val="none"/>
                <w:lang w:val="en-US" w:eastAsia="zh-CN"/>
              </w:rPr>
              <w:t>由于三期工程部分设备变动，根据企业提供资料，</w:t>
            </w:r>
            <w:r>
              <w:rPr>
                <w:rFonts w:hint="eastAsia"/>
                <w:sz w:val="24"/>
                <w:szCs w:val="24"/>
                <w:lang w:eastAsia="zh-CN"/>
              </w:rPr>
              <w:t>三期注塑机（</w:t>
            </w:r>
            <w:r>
              <w:rPr>
                <w:rFonts w:hint="eastAsia"/>
                <w:sz w:val="24"/>
                <w:szCs w:val="24"/>
                <w:lang w:val="en-US" w:eastAsia="zh-CN"/>
              </w:rPr>
              <w:t>27台</w:t>
            </w:r>
            <w:r>
              <w:rPr>
                <w:rFonts w:hint="eastAsia"/>
                <w:sz w:val="24"/>
                <w:szCs w:val="24"/>
                <w:lang w:eastAsia="zh-CN"/>
              </w:rPr>
              <w:t>）减少</w:t>
            </w:r>
            <w:r>
              <w:rPr>
                <w:rFonts w:hint="eastAsia"/>
                <w:sz w:val="24"/>
                <w:szCs w:val="24"/>
                <w:lang w:val="en-US" w:eastAsia="zh-CN"/>
              </w:rPr>
              <w:t>10台，</w:t>
            </w:r>
            <w:r>
              <w:rPr>
                <w:rFonts w:hint="eastAsia"/>
                <w:sz w:val="24"/>
                <w:szCs w:val="24"/>
                <w:lang w:eastAsia="zh-CN"/>
              </w:rPr>
              <w:t>产品生产规模（</w:t>
            </w:r>
            <w:r>
              <w:rPr>
                <w:rFonts w:hint="eastAsia"/>
                <w:sz w:val="24"/>
                <w:szCs w:val="24"/>
                <w:lang w:val="en-US" w:eastAsia="zh-CN"/>
              </w:rPr>
              <w:t>800万套</w:t>
            </w:r>
            <w:r>
              <w:rPr>
                <w:rFonts w:hint="eastAsia"/>
                <w:sz w:val="24"/>
                <w:szCs w:val="24"/>
                <w:lang w:eastAsia="zh-CN"/>
              </w:rPr>
              <w:t>）减少</w:t>
            </w:r>
            <w:r>
              <w:rPr>
                <w:rFonts w:hint="default"/>
                <w:sz w:val="24"/>
                <w:szCs w:val="24"/>
                <w:lang w:val="en-US" w:eastAsia="zh-CN"/>
              </w:rPr>
              <w:t>300万套/年</w:t>
            </w:r>
            <w:r>
              <w:rPr>
                <w:rFonts w:hint="eastAsia"/>
                <w:sz w:val="24"/>
                <w:szCs w:val="24"/>
                <w:lang w:val="en-US" w:eastAsia="zh-CN"/>
              </w:rPr>
              <w:t>，非甲烷总烃、颗粒物排放量也相对减少，减少的污染物总量指标作为本次消减替代量。</w:t>
            </w:r>
            <w:r>
              <w:rPr>
                <w:rFonts w:hint="eastAsia" w:cs="Times New Roman"/>
                <w:color w:val="auto"/>
                <w:sz w:val="24"/>
                <w:szCs w:val="24"/>
                <w:highlight w:val="none"/>
                <w:lang w:val="en-US" w:eastAsia="zh-CN"/>
              </w:rPr>
              <w:t>非甲烷总烃减少排放量为0.0495t/a（有组织0.033t/a，无组织0.0165t/a），颗粒物减少排放量为0.0045t/a（有组织0.00225t/a，无组织0.00225t/a）。</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lang w:val="en-US" w:eastAsia="zh-CN"/>
              </w:rPr>
            </w:pPr>
            <w:r>
              <w:rPr>
                <w:rFonts w:hint="eastAsia"/>
                <w:lang w:val="en-US" w:eastAsia="zh-CN"/>
              </w:rPr>
              <w:t>则总消减替代量颗粒物为0.0045t/a，非甲烷总烃为0.002+0.0495=0.0515t/a。</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r>
              <w:rPr>
                <w:rFonts w:hint="eastAsia"/>
                <w:lang w:val="en-US" w:eastAsia="zh-CN"/>
              </w:rPr>
              <w:t>现有项目不存在环境问题，无需整改。</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default"/>
                <w:lang w:val="en-US" w:eastAsia="zh-CN"/>
              </w:rPr>
            </w:pPr>
          </w:p>
        </w:tc>
      </w:tr>
    </w:tbl>
    <w:p>
      <w:pPr>
        <w:pStyle w:val="18"/>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宋体" w:hAnsi="宋体" w:eastAsia="宋体" w:cs="宋体"/>
          <w:snapToGrid w:val="0"/>
          <w:sz w:val="24"/>
          <w:szCs w:val="24"/>
        </w:rPr>
        <w:sectPr>
          <w:footerReference r:id="rId7" w:type="default"/>
          <w:pgSz w:w="11906"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pPr>
        <w:pStyle w:val="18"/>
        <w:adjustRightInd w:val="0"/>
        <w:snapToGrid w:val="0"/>
        <w:spacing w:before="0" w:beforeAutospacing="0" w:after="0" w:afterAutospacing="0" w:line="14" w:lineRule="auto"/>
        <w:jc w:val="center"/>
        <w:outlineLvl w:val="0"/>
        <w:rPr>
          <w:rFonts w:hint="eastAsia" w:ascii="黑体" w:hAnsi="黑体" w:eastAsia="黑体"/>
          <w:snapToGrid w:val="0"/>
          <w:sz w:val="30"/>
          <w:szCs w:val="30"/>
        </w:rPr>
      </w:pPr>
    </w:p>
    <w:p>
      <w:pPr>
        <w:pStyle w:val="18"/>
        <w:keepNext w:val="0"/>
        <w:keepLines w:val="0"/>
        <w:pageBreakBefore w:val="0"/>
        <w:widowControl/>
        <w:kinsoku/>
        <w:wordWrap/>
        <w:overflowPunct/>
        <w:topLinePunct w:val="0"/>
        <w:autoSpaceDE/>
        <w:autoSpaceDN/>
        <w:bidi w:val="0"/>
        <w:adjustRightInd/>
        <w:snapToGrid/>
        <w:spacing w:before="120" w:beforeAutospacing="0" w:after="120" w:afterAutospacing="0"/>
        <w:jc w:val="center"/>
        <w:textAlignment w:val="auto"/>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0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区域</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质量</w:t>
            </w:r>
          </w:p>
          <w:p>
            <w:pPr>
              <w:adjustRightInd w:val="0"/>
              <w:snapToGrid w:val="0"/>
              <w:jc w:val="center"/>
              <w:rPr>
                <w:rFonts w:ascii="宋体" w:hAnsi="宋体" w:cs="宋体"/>
                <w:kern w:val="0"/>
                <w:sz w:val="24"/>
                <w:szCs w:val="24"/>
              </w:rPr>
            </w:pPr>
            <w:r>
              <w:rPr>
                <w:rFonts w:hint="eastAsia" w:ascii="宋体" w:hAnsi="宋体" w:cs="宋体"/>
                <w:kern w:val="0"/>
                <w:sz w:val="24"/>
                <w:szCs w:val="24"/>
              </w:rPr>
              <w:t>现状</w:t>
            </w:r>
          </w:p>
        </w:tc>
        <w:tc>
          <w:tcPr>
            <w:tcW w:w="8030" w:type="dxa"/>
            <w:noWrap w:val="0"/>
            <w:vAlign w:val="center"/>
          </w:tcPr>
          <w:p>
            <w:pPr>
              <w:keepNext w:val="0"/>
              <w:keepLines w:val="0"/>
              <w:pageBreakBefore w:val="0"/>
              <w:widowControl w:val="0"/>
              <w:numPr>
                <w:ilvl w:val="0"/>
                <w:numId w:val="9"/>
              </w:numPr>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b/>
                <w:bCs/>
                <w:sz w:val="24"/>
                <w:szCs w:val="24"/>
              </w:rPr>
            </w:pPr>
            <w:r>
              <w:rPr>
                <w:rFonts w:hint="default"/>
                <w:b/>
                <w:bCs/>
                <w:sz w:val="24"/>
                <w:szCs w:val="24"/>
              </w:rPr>
              <w:t>环境空气质量现状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sz w:val="24"/>
                <w:szCs w:val="24"/>
                <w:lang w:val="en-US" w:eastAsia="zh-CN"/>
              </w:rPr>
            </w:pPr>
            <w:r>
              <w:rPr>
                <w:rFonts w:hint="default"/>
                <w:sz w:val="24"/>
                <w:szCs w:val="24"/>
                <w:lang w:val="en-US" w:eastAsia="zh-CN"/>
              </w:rPr>
              <w:t>按环境空气质量功能区的分类及标准分级，本项目大气环境质量评价区域属二类区，故环境空气质量应执行《环境空气质量标准》(GB3095-2012)及2018年修改单中的二级标准。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sz w:val="24"/>
                <w:szCs w:val="24"/>
                <w:lang w:val="en-US" w:eastAsia="zh-CN"/>
              </w:rPr>
            </w:pPr>
            <w:r>
              <w:rPr>
                <w:rFonts w:hint="default"/>
                <w:sz w:val="24"/>
                <w:szCs w:val="24"/>
                <w:lang w:val="en-US" w:eastAsia="zh-CN"/>
              </w:rPr>
              <w:t>为了解本项目所在区域的环境空气质量现状，本报告采用《</w:t>
            </w:r>
            <w:r>
              <w:rPr>
                <w:rFonts w:hint="eastAsia"/>
                <w:sz w:val="24"/>
                <w:szCs w:val="24"/>
                <w:lang w:val="en-US" w:eastAsia="zh-CN"/>
              </w:rPr>
              <w:t>2021</w:t>
            </w:r>
            <w:r>
              <w:rPr>
                <w:rFonts w:hint="default"/>
                <w:sz w:val="24"/>
                <w:szCs w:val="24"/>
                <w:lang w:val="en-US" w:eastAsia="zh-CN"/>
              </w:rPr>
              <w:t>年新乡市市环境空气质量状况》环境质量年报。</w:t>
            </w:r>
            <w:r>
              <w:rPr>
                <w:rFonts w:hint="eastAsia"/>
                <w:sz w:val="24"/>
                <w:szCs w:val="24"/>
                <w:lang w:val="en-US" w:eastAsia="zh-CN"/>
              </w:rPr>
              <w:t>2021</w:t>
            </w:r>
            <w:r>
              <w:rPr>
                <w:rFonts w:hint="default"/>
                <w:sz w:val="24"/>
                <w:szCs w:val="24"/>
                <w:lang w:val="en-US" w:eastAsia="zh-CN"/>
              </w:rPr>
              <w:t>年新乡市环境空气质量主要指标如下表</w:t>
            </w:r>
            <w:r>
              <w:rPr>
                <w:rFonts w:hint="eastAsia"/>
                <w:sz w:val="24"/>
                <w:szCs w:val="24"/>
                <w:lang w:val="en-US" w:eastAsia="zh-CN"/>
              </w:rPr>
              <w:t>16</w:t>
            </w:r>
            <w:r>
              <w:rPr>
                <w:rFonts w:hint="default"/>
                <w:sz w:val="24"/>
                <w:szCs w:val="24"/>
                <w:lang w:val="en-US" w:eastAsia="zh-CN"/>
              </w:rPr>
              <w:t>所示。</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firstLineChars="0"/>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表</w:t>
            </w:r>
            <w:r>
              <w:rPr>
                <w:rFonts w:hint="eastAsia" w:cs="Times New Roman"/>
                <w:color w:val="000000"/>
                <w:sz w:val="21"/>
                <w:szCs w:val="21"/>
                <w:lang w:val="en-US" w:eastAsia="zh-CN"/>
              </w:rPr>
              <w:t xml:space="preserve">16  </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区域空气质量现状评价表</w:t>
            </w:r>
          </w:p>
          <w:tbl>
            <w:tblPr>
              <w:tblStyle w:val="22"/>
              <w:tblW w:w="492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859"/>
              <w:gridCol w:w="1355"/>
              <w:gridCol w:w="1255"/>
              <w:gridCol w:w="1243"/>
              <w:gridCol w:w="10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14" w:type="dxa"/>
                  <w:tcBorders>
                    <w:tl2br w:val="nil"/>
                    <w:tr2bl w:val="nil"/>
                  </w:tcBorders>
                  <w:noWrap w:val="0"/>
                  <w:vAlign w:val="center"/>
                </w:tcPr>
                <w:p>
                  <w:pPr>
                    <w:snapToGrid w:val="0"/>
                    <w:jc w:val="center"/>
                    <w:rPr>
                      <w:rFonts w:hint="eastAsia" w:ascii="Times New Roman" w:hAnsi="Times New Roman" w:eastAsia="宋体"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污染物</w:t>
                  </w:r>
                </w:p>
              </w:tc>
              <w:tc>
                <w:tcPr>
                  <w:tcW w:w="1957" w:type="dxa"/>
                  <w:tcBorders>
                    <w:tl2br w:val="nil"/>
                    <w:tr2bl w:val="nil"/>
                  </w:tcBorders>
                  <w:noWrap w:val="0"/>
                  <w:vAlign w:val="center"/>
                </w:tcPr>
                <w:p>
                  <w:pPr>
                    <w:snapToGrid w:val="0"/>
                    <w:jc w:val="center"/>
                    <w:rPr>
                      <w:rFonts w:hint="eastAsia" w:ascii="Times New Roman" w:hAnsi="Times New Roman" w:eastAsia="宋体"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年评价指标</w:t>
                  </w:r>
                </w:p>
              </w:tc>
              <w:tc>
                <w:tcPr>
                  <w:tcW w:w="1362" w:type="dxa"/>
                  <w:tcBorders>
                    <w:tl2br w:val="nil"/>
                    <w:tr2bl w:val="nil"/>
                  </w:tcBorders>
                  <w:noWrap w:val="0"/>
                  <w:vAlign w:val="center"/>
                </w:tcPr>
                <w:p>
                  <w:pPr>
                    <w:snapToGrid w:val="0"/>
                    <w:jc w:val="center"/>
                    <w:rPr>
                      <w:rFonts w:hint="eastAsia" w:ascii="Times New Roman" w:hAnsi="Times New Roman" w:eastAsia="宋体"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现状浓度</w:t>
                  </w:r>
                </w:p>
              </w:tc>
              <w:tc>
                <w:tcPr>
                  <w:tcW w:w="1269" w:type="dxa"/>
                  <w:tcBorders>
                    <w:tl2br w:val="nil"/>
                    <w:tr2bl w:val="nil"/>
                  </w:tcBorders>
                  <w:noWrap w:val="0"/>
                  <w:vAlign w:val="center"/>
                </w:tcPr>
                <w:p>
                  <w:pPr>
                    <w:snapToGrid w:val="0"/>
                    <w:jc w:val="center"/>
                    <w:rPr>
                      <w:rFonts w:hint="eastAsia" w:ascii="Times New Roman" w:hAnsi="Times New Roman"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标准值</w:t>
                  </w:r>
                </w:p>
              </w:tc>
              <w:tc>
                <w:tcPr>
                  <w:tcW w:w="1254" w:type="dxa"/>
                  <w:tcBorders>
                    <w:tl2br w:val="nil"/>
                    <w:tr2bl w:val="nil"/>
                  </w:tcBorders>
                  <w:noWrap w:val="0"/>
                  <w:vAlign w:val="center"/>
                </w:tcPr>
                <w:p>
                  <w:pPr>
                    <w:snapToGrid w:val="0"/>
                    <w:jc w:val="center"/>
                    <w:rPr>
                      <w:rFonts w:hint="eastAsia" w:ascii="Times New Roman" w:hAnsi="Times New Roman"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占标率</w:t>
                  </w:r>
                </w:p>
              </w:tc>
              <w:tc>
                <w:tcPr>
                  <w:tcW w:w="1094" w:type="dxa"/>
                  <w:tcBorders>
                    <w:tl2br w:val="nil"/>
                    <w:tr2bl w:val="nil"/>
                  </w:tcBorders>
                  <w:noWrap w:val="0"/>
                  <w:vAlign w:val="center"/>
                </w:tcPr>
                <w:p>
                  <w:pPr>
                    <w:snapToGrid w:val="0"/>
                    <w:jc w:val="center"/>
                    <w:rPr>
                      <w:rFonts w:hint="eastAsia" w:ascii="Times New Roman" w:hAnsi="Times New Roman" w:cs="Times New Roman"/>
                      <w:b/>
                      <w:color w:val="auto"/>
                      <w:kern w:val="36"/>
                      <w:szCs w:val="21"/>
                      <w:highlight w:val="none"/>
                      <w:u w:val="none"/>
                      <w:lang w:eastAsia="zh-CN"/>
                    </w:rPr>
                  </w:pPr>
                  <w:r>
                    <w:rPr>
                      <w:rFonts w:hint="eastAsia" w:cs="Times New Roman"/>
                      <w:b/>
                      <w:color w:val="auto"/>
                      <w:kern w:val="36"/>
                      <w:szCs w:val="21"/>
                      <w:highlight w:val="none"/>
                      <w:u w:val="none"/>
                      <w:lang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PM</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10</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89μg/m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70μg/m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127.14%</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PM</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2.5</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51μg/m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35μg/m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145.71%</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SO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13μg/m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60μg/m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21.67%</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NO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35μg/m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40μg/m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87.5%</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CO</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第95百分位浓度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1.675mg/m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4mg/m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41.875%</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3</w:t>
                  </w:r>
                </w:p>
              </w:tc>
              <w:tc>
                <w:tcPr>
                  <w:tcW w:w="19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第90百分位浓度</w:t>
                  </w:r>
                </w:p>
              </w:tc>
              <w:tc>
                <w:tcPr>
                  <w:tcW w:w="1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173μg/m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6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160μg/m</w:t>
                  </w:r>
                  <w:r>
                    <w:rPr>
                      <w:rFonts w:hint="default" w:ascii="Times New Roman" w:hAnsi="Times New Roman" w:cs="Times New Roman"/>
                      <w:b w:val="0"/>
                      <w:bCs w:val="0"/>
                      <w:snapToGrid w:val="0"/>
                      <w:color w:val="auto"/>
                      <w:spacing w:val="1"/>
                      <w:kern w:val="0"/>
                      <w:sz w:val="21"/>
                      <w:szCs w:val="21"/>
                      <w:highlight w:val="none"/>
                      <w:u w:val="none" w:color="auto"/>
                      <w:vertAlign w:val="superscript"/>
                      <w:lang w:val="en-US" w:eastAsia="zh-CN"/>
                    </w:rPr>
                    <w:t>3</w:t>
                  </w:r>
                </w:p>
              </w:tc>
              <w:tc>
                <w:tcPr>
                  <w:tcW w:w="125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108.125%</w:t>
                  </w:r>
                </w:p>
              </w:tc>
              <w:tc>
                <w:tcPr>
                  <w:tcW w:w="109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spacing w:val="1"/>
                      <w:kern w:val="0"/>
                      <w:sz w:val="21"/>
                      <w:szCs w:val="21"/>
                      <w:highlight w:val="none"/>
                      <w:u w:val="none" w:color="auto"/>
                      <w:vertAlign w:val="baseline"/>
                      <w:lang w:val="en-US" w:eastAsia="zh-CN" w:bidi="ar-SA"/>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否</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4" w:firstLineChars="200"/>
              <w:textAlignment w:val="baseline"/>
              <w:rPr>
                <w:rFonts w:hint="default" w:eastAsia="宋体" w:cs="Times New Roman"/>
                <w:b w:val="0"/>
                <w:bCs w:val="0"/>
                <w:snapToGrid w:val="0"/>
                <w:color w:val="auto"/>
                <w:spacing w:val="1"/>
                <w:kern w:val="0"/>
                <w:sz w:val="24"/>
                <w:szCs w:val="24"/>
                <w:highlight w:val="none"/>
                <w:u w:val="none" w:color="auto"/>
                <w:lang w:val="en-US" w:eastAsia="zh-CN"/>
              </w:rPr>
            </w:pP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其中PM</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10</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、PM</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2.5</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和O</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3</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部分时段</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不能满足《环境空气质量标准》（GB3095-2012）二级标准要求。根据《环境影响评价技术导则大气环境》（HJ2.2-2018），本项目所在区域属于未达标区。为改善区域环境空气环境质量，新乡市目前正在实行《新乡市环境污染防治攻坚指挥部办公室关于印发新乡市2022年大气、水、土壤污染防治攻坚战及农业农村污染治理攻坚战实施方案的通知》（新环攻坚办[2022]60号），将不断改善区域大气环境质量。</w:t>
            </w:r>
            <w:r>
              <w:rPr>
                <w:rFonts w:hint="eastAsia" w:cs="Times New Roman"/>
                <w:sz w:val="24"/>
                <w:szCs w:val="24"/>
                <w:lang w:val="en-US" w:eastAsia="zh-CN"/>
              </w:rPr>
              <w:t>本项目产生的废气经治理后做到达标排放，不会对区域大气环境质量造成影响。</w:t>
            </w:r>
          </w:p>
          <w:p>
            <w:pPr>
              <w:keepNext w:val="0"/>
              <w:keepLines w:val="0"/>
              <w:pageBreakBefore w:val="0"/>
              <w:widowControl w:val="0"/>
              <w:numPr>
                <w:ilvl w:val="0"/>
                <w:numId w:val="9"/>
              </w:numPr>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sz w:val="24"/>
                <w:szCs w:val="24"/>
              </w:rPr>
            </w:pPr>
            <w:r>
              <w:rPr>
                <w:rFonts w:hint="default"/>
                <w:b/>
                <w:bCs/>
                <w:sz w:val="24"/>
                <w:szCs w:val="24"/>
              </w:rPr>
              <w:t>水环境质量现状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sz w:val="24"/>
                <w:highlight w:val="yellow"/>
              </w:rPr>
            </w:pPr>
            <w:r>
              <w:rPr>
                <w:rFonts w:ascii="Times New Roman" w:hAnsi="Times New Roman" w:eastAsia="宋体" w:cs="Times New Roman"/>
                <w:color w:val="auto"/>
                <w:sz w:val="24"/>
                <w:szCs w:val="24"/>
                <w:lang w:val="en-US" w:eastAsia="zh-CN"/>
              </w:rPr>
              <w:t>根据现场勘查，</w:t>
            </w:r>
            <w:r>
              <w:rPr>
                <w:rFonts w:hint="eastAsia" w:ascii="Times New Roman" w:hAnsi="Times New Roman" w:eastAsia="宋体" w:cs="Times New Roman"/>
                <w:color w:val="auto"/>
                <w:sz w:val="24"/>
                <w:szCs w:val="24"/>
                <w:lang w:val="en-US" w:eastAsia="zh-CN"/>
              </w:rPr>
              <w:t>本项目无废水外排，离项目最近的</w:t>
            </w:r>
            <w:r>
              <w:rPr>
                <w:rFonts w:hint="eastAsia" w:cs="Times New Roman"/>
                <w:color w:val="auto"/>
                <w:sz w:val="24"/>
                <w:szCs w:val="24"/>
                <w:lang w:val="en-US" w:eastAsia="zh-CN"/>
              </w:rPr>
              <w:t>排河</w:t>
            </w:r>
            <w:r>
              <w:rPr>
                <w:rFonts w:hint="eastAsia" w:ascii="Times New Roman" w:hAnsi="Times New Roman" w:eastAsia="宋体" w:cs="Times New Roman"/>
                <w:color w:val="auto"/>
                <w:sz w:val="24"/>
                <w:szCs w:val="24"/>
                <w:lang w:val="en-US" w:eastAsia="zh-CN"/>
              </w:rPr>
              <w:t>为卫河，</w:t>
            </w:r>
            <w:r>
              <w:rPr>
                <w:rFonts w:hint="eastAsia"/>
                <w:sz w:val="24"/>
                <w:szCs w:val="24"/>
                <w:lang w:val="en-US" w:eastAsia="zh-CN"/>
              </w:rPr>
              <w:t>位于本厂区西侧</w:t>
            </w:r>
            <w:r>
              <w:rPr>
                <w:rFonts w:hint="eastAsia" w:ascii="Times New Roman" w:hAnsi="Times New Roman" w:eastAsia="宋体" w:cs="Times New Roman"/>
                <w:color w:val="auto"/>
                <w:sz w:val="24"/>
                <w:szCs w:val="24"/>
                <w:lang w:val="en-US" w:eastAsia="zh-CN"/>
              </w:rPr>
              <w:t>距离约110m</w:t>
            </w:r>
            <w:r>
              <w:rPr>
                <w:rFonts w:hint="eastAsia" w:cs="Times New Roman"/>
                <w:color w:val="auto"/>
                <w:sz w:val="24"/>
                <w:szCs w:val="24"/>
                <w:lang w:val="en-US" w:eastAsia="zh-CN"/>
              </w:rPr>
              <w:t>。卫河水体功能类别为</w:t>
            </w:r>
            <w:r>
              <w:rPr>
                <w:rFonts w:hint="default" w:ascii="Times New Roman" w:hAnsi="Times New Roman" w:cs="Times New Roman"/>
                <w:color w:val="auto"/>
                <w:sz w:val="24"/>
                <w:szCs w:val="24"/>
                <w:lang w:val="en-US" w:eastAsia="zh-CN"/>
              </w:rPr>
              <w:t>Ⅳ</w:t>
            </w:r>
            <w:r>
              <w:rPr>
                <w:rFonts w:hint="eastAsia" w:cs="Times New Roman"/>
                <w:color w:val="auto"/>
                <w:sz w:val="24"/>
                <w:szCs w:val="24"/>
                <w:lang w:val="en-US" w:eastAsia="zh-CN"/>
              </w:rPr>
              <w:t>类，</w:t>
            </w:r>
            <w:r>
              <w:rPr>
                <w:color w:val="000000"/>
                <w:sz w:val="24"/>
              </w:rPr>
              <w:t>根据新乡市环境监测站对</w:t>
            </w:r>
            <w:r>
              <w:rPr>
                <w:rFonts w:hint="eastAsia"/>
                <w:color w:val="000000"/>
                <w:sz w:val="24"/>
                <w:lang w:val="en-US" w:eastAsia="zh-CN"/>
              </w:rPr>
              <w:t>卫河皇甫</w:t>
            </w:r>
            <w:r>
              <w:rPr>
                <w:color w:val="000000"/>
                <w:sz w:val="24"/>
              </w:rPr>
              <w:t>断面的监测2022年</w:t>
            </w:r>
            <w:r>
              <w:rPr>
                <w:rFonts w:hint="eastAsia"/>
                <w:color w:val="000000"/>
                <w:sz w:val="24"/>
                <w:lang w:val="en-US" w:eastAsia="zh-CN"/>
              </w:rPr>
              <w:t>3</w:t>
            </w:r>
            <w:r>
              <w:rPr>
                <w:color w:val="000000"/>
                <w:sz w:val="24"/>
              </w:rPr>
              <w:t>月数据见下表。</w:t>
            </w:r>
          </w:p>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240" w:lineRule="auto"/>
              <w:ind w:left="0" w:right="0"/>
              <w:jc w:val="center"/>
              <w:textAlignment w:val="auto"/>
              <w:rPr>
                <w:rFonts w:ascii="Times New Roman" w:hAnsi="Times New Roman" w:eastAsia="宋体" w:cs="Times New Roman"/>
                <w:b w:val="0"/>
                <w:bCs/>
                <w:sz w:val="21"/>
                <w:szCs w:val="21"/>
              </w:rPr>
            </w:pPr>
            <w:r>
              <w:rPr>
                <w:rFonts w:ascii="Times New Roman" w:hAnsi="Times New Roman" w:eastAsia="宋体" w:cs="Times New Roman"/>
                <w:b w:val="0"/>
                <w:bCs/>
                <w:sz w:val="21"/>
                <w:szCs w:val="21"/>
              </w:rPr>
              <w:t>表</w:t>
            </w:r>
            <w:r>
              <w:rPr>
                <w:rFonts w:hint="eastAsia" w:ascii="Times New Roman" w:hAnsi="Times New Roman" w:eastAsia="宋体" w:cs="Times New Roman"/>
                <w:b w:val="0"/>
                <w:bCs/>
                <w:sz w:val="21"/>
                <w:szCs w:val="21"/>
                <w:lang w:val="en-US" w:eastAsia="zh-CN"/>
              </w:rPr>
              <w:t>1</w:t>
            </w:r>
            <w:r>
              <w:rPr>
                <w:rFonts w:hint="eastAsia" w:cs="Times New Roman"/>
                <w:b w:val="0"/>
                <w:bCs/>
                <w:sz w:val="21"/>
                <w:szCs w:val="21"/>
                <w:lang w:val="en-US" w:eastAsia="zh-CN"/>
              </w:rPr>
              <w:t>7</w:t>
            </w:r>
            <w:r>
              <w:rPr>
                <w:rFonts w:ascii="Times New Roman" w:hAnsi="Times New Roman" w:eastAsia="宋体" w:cs="Times New Roman"/>
                <w:b w:val="0"/>
                <w:bCs/>
                <w:sz w:val="21"/>
                <w:szCs w:val="21"/>
              </w:rPr>
              <w:t xml:space="preserve">  </w:t>
            </w:r>
            <w:r>
              <w:rPr>
                <w:rFonts w:hint="eastAsia" w:cs="Times New Roman"/>
                <w:b w:val="0"/>
                <w:bCs/>
                <w:sz w:val="21"/>
                <w:szCs w:val="21"/>
                <w:lang w:val="en-US" w:eastAsia="zh-CN"/>
              </w:rPr>
              <w:t xml:space="preserve">    </w:t>
            </w:r>
            <w:r>
              <w:rPr>
                <w:rFonts w:hint="eastAsia" w:ascii="Times New Roman" w:hAnsi="Times New Roman" w:eastAsia="宋体" w:cs="Times New Roman"/>
                <w:b w:val="0"/>
                <w:bCs/>
                <w:sz w:val="21"/>
                <w:szCs w:val="21"/>
              </w:rPr>
              <w:t>卫河</w:t>
            </w:r>
            <w:r>
              <w:rPr>
                <w:rFonts w:hint="eastAsia" w:cs="Times New Roman"/>
                <w:b w:val="0"/>
                <w:bCs/>
                <w:sz w:val="21"/>
                <w:szCs w:val="21"/>
                <w:lang w:val="en-US" w:eastAsia="zh-CN"/>
              </w:rPr>
              <w:t>皇甫</w:t>
            </w:r>
            <w:r>
              <w:rPr>
                <w:rFonts w:hint="eastAsia" w:ascii="Times New Roman" w:hAnsi="Times New Roman" w:eastAsia="宋体" w:cs="Times New Roman"/>
                <w:b w:val="0"/>
                <w:bCs/>
                <w:sz w:val="21"/>
                <w:szCs w:val="21"/>
              </w:rPr>
              <w:t>断面</w:t>
            </w:r>
            <w:r>
              <w:rPr>
                <w:rFonts w:ascii="Times New Roman" w:hAnsi="Times New Roman" w:eastAsia="宋体" w:cs="Times New Roman"/>
                <w:b w:val="0"/>
                <w:bCs/>
                <w:sz w:val="21"/>
                <w:szCs w:val="21"/>
              </w:rPr>
              <w:t xml:space="preserve">地表水质量达标情况一览表 </w:t>
            </w:r>
            <w:r>
              <w:rPr>
                <w:rFonts w:hint="eastAsia" w:cs="Times New Roman"/>
                <w:b w:val="0"/>
                <w:bCs/>
                <w:sz w:val="21"/>
                <w:szCs w:val="21"/>
                <w:lang w:val="en-US" w:eastAsia="zh-CN"/>
              </w:rPr>
              <w:t xml:space="preserve">    </w:t>
            </w:r>
            <w:r>
              <w:rPr>
                <w:rFonts w:ascii="Times New Roman" w:hAnsi="Times New Roman" w:eastAsia="宋体" w:cs="Times New Roman"/>
                <w:b w:val="0"/>
                <w:bCs/>
                <w:sz w:val="21"/>
                <w:szCs w:val="21"/>
              </w:rPr>
              <w:t>单位：mg/L</w:t>
            </w:r>
          </w:p>
          <w:tbl>
            <w:tblPr>
              <w:tblStyle w:val="22"/>
              <w:tblW w:w="4989" w:type="pct"/>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937"/>
              <w:gridCol w:w="1944"/>
              <w:gridCol w:w="1943"/>
              <w:gridCol w:w="19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6" w:hRule="atLeast"/>
              </w:trPr>
              <w:tc>
                <w:tcPr>
                  <w:tcW w:w="1247"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污染因子</w:t>
                  </w:r>
                </w:p>
              </w:tc>
              <w:tc>
                <w:tcPr>
                  <w:tcW w:w="1251"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TP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1247"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监测值</w:t>
                  </w:r>
                </w:p>
              </w:tc>
              <w:tc>
                <w:tcPr>
                  <w:tcW w:w="1251"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19</w:t>
                  </w:r>
                </w:p>
              </w:tc>
              <w:tc>
                <w:tcPr>
                  <w:tcW w:w="1250"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1.06</w:t>
                  </w:r>
                </w:p>
              </w:tc>
              <w:tc>
                <w:tcPr>
                  <w:tcW w:w="1250" w:type="pc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0.19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1247"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标准值</w:t>
                  </w:r>
                </w:p>
              </w:tc>
              <w:tc>
                <w:tcPr>
                  <w:tcW w:w="1251"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30</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0.</w:t>
                  </w:r>
                  <w:r>
                    <w:rPr>
                      <w:rFonts w:hint="eastAsia" w:cs="Times New Roman"/>
                      <w:sz w:val="21"/>
                      <w:szCs w:val="21"/>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8" w:hRule="atLeast"/>
              </w:trPr>
              <w:tc>
                <w:tcPr>
                  <w:tcW w:w="1247"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达标情况</w:t>
                  </w:r>
                </w:p>
              </w:tc>
              <w:tc>
                <w:tcPr>
                  <w:tcW w:w="1251"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c>
                <w:tcPr>
                  <w:tcW w:w="1250" w:type="pct"/>
                  <w:tcBorders>
                    <w:tl2br w:val="nil"/>
                    <w:tr2bl w:val="nil"/>
                  </w:tcBorders>
                  <w:noWrap w:val="0"/>
                  <w:vAlign w:val="center"/>
                </w:tcPr>
                <w:p>
                  <w:pPr>
                    <w:pStyle w:val="5"/>
                    <w:keepNext w:val="0"/>
                    <w:keepLines w:val="0"/>
                    <w:suppressLineNumbers w:val="0"/>
                    <w:spacing w:before="0" w:beforeAutospacing="0" w:after="0" w:afterAutospacing="0" w:line="24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r>
          </w:tbl>
          <w:p>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jc w:val="both"/>
              <w:textAlignment w:val="auto"/>
              <w:rPr>
                <w:rFonts w:hint="eastAsia"/>
                <w:sz w:val="24"/>
                <w:szCs w:val="24"/>
                <w:lang w:val="en-US" w:eastAsia="zh-CN"/>
              </w:rPr>
            </w:pPr>
            <w:r>
              <w:rPr>
                <w:rFonts w:hint="default" w:ascii="Times New Roman" w:hAnsi="Times New Roman" w:eastAsia="宋体" w:cs="Times New Roman"/>
                <w:color w:val="000000"/>
                <w:sz w:val="24"/>
                <w:szCs w:val="24"/>
              </w:rPr>
              <w:t>由上表可知</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2022</w:t>
            </w:r>
            <w:r>
              <w:rPr>
                <w:rFonts w:hint="default" w:ascii="Times New Roman" w:hAnsi="Times New Roman" w:eastAsia="宋体" w:cs="Times New Roman"/>
                <w:color w:val="auto"/>
                <w:sz w:val="24"/>
                <w:szCs w:val="24"/>
                <w:lang w:val="en-US" w:eastAsia="zh-CN"/>
              </w:rPr>
              <w:t>年</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rPr>
              <w:t>月份</w:t>
            </w:r>
            <w:r>
              <w:rPr>
                <w:rFonts w:hint="eastAsia" w:ascii="Times New Roman" w:hAnsi="Times New Roman" w:eastAsia="宋体" w:cs="Times New Roman"/>
                <w:color w:val="auto"/>
                <w:sz w:val="24"/>
                <w:szCs w:val="24"/>
                <w:lang w:eastAsia="zh-CN"/>
              </w:rPr>
              <w:t>卫河</w:t>
            </w:r>
            <w:r>
              <w:rPr>
                <w:rFonts w:hint="eastAsia" w:cs="Times New Roman"/>
                <w:color w:val="auto"/>
                <w:sz w:val="24"/>
                <w:szCs w:val="24"/>
                <w:lang w:val="en-US" w:eastAsia="zh-CN"/>
              </w:rPr>
              <w:t>皇</w:t>
            </w:r>
            <w:r>
              <w:rPr>
                <w:rFonts w:hint="eastAsia" w:cs="Times New Roman"/>
                <w:color w:val="000000"/>
                <w:sz w:val="24"/>
                <w:szCs w:val="24"/>
                <w:lang w:val="en-US" w:eastAsia="zh-CN"/>
              </w:rPr>
              <w:t>甫</w:t>
            </w:r>
            <w:r>
              <w:rPr>
                <w:rFonts w:hint="default" w:ascii="Times New Roman" w:hAnsi="Times New Roman" w:eastAsia="宋体" w:cs="Times New Roman"/>
                <w:color w:val="000000"/>
                <w:sz w:val="24"/>
                <w:szCs w:val="24"/>
              </w:rPr>
              <w:t>断面</w:t>
            </w:r>
            <w:r>
              <w:rPr>
                <w:rFonts w:hint="default" w:ascii="Times New Roman" w:hAnsi="Times New Roman" w:eastAsia="宋体" w:cs="Times New Roman"/>
                <w:sz w:val="24"/>
                <w:szCs w:val="24"/>
              </w:rPr>
              <w:t>数据</w:t>
            </w:r>
            <w:r>
              <w:rPr>
                <w:rFonts w:hint="default" w:ascii="Times New Roman" w:hAnsi="Times New Roman" w:eastAsia="宋体" w:cs="Times New Roman"/>
                <w:sz w:val="24"/>
                <w:szCs w:val="24"/>
                <w:lang w:eastAsia="zh-CN"/>
              </w:rPr>
              <w:t>能够达到《</w:t>
            </w:r>
            <w:r>
              <w:rPr>
                <w:rFonts w:hint="default" w:ascii="Times New Roman" w:hAnsi="Times New Roman" w:eastAsia="宋体" w:cs="Times New Roman"/>
                <w:color w:val="auto"/>
                <w:sz w:val="24"/>
                <w:szCs w:val="24"/>
              </w:rPr>
              <w:t>地表水环境质量标准》（GB3838-2002）</w:t>
            </w:r>
            <w:r>
              <w:rPr>
                <w:rFonts w:hint="eastAsia" w:cs="Times New Roman"/>
                <w:color w:val="auto"/>
                <w:sz w:val="24"/>
                <w:szCs w:val="24"/>
                <w:lang w:val="en-US" w:eastAsia="zh-CN"/>
              </w:rPr>
              <w:t>IV</w:t>
            </w:r>
            <w:r>
              <w:rPr>
                <w:rFonts w:hint="default" w:ascii="Times New Roman" w:hAnsi="Times New Roman" w:eastAsia="宋体" w:cs="Times New Roman"/>
                <w:color w:val="auto"/>
                <w:sz w:val="24"/>
                <w:szCs w:val="24"/>
              </w:rPr>
              <w:t>类标准</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eastAsia"/>
                <w:sz w:val="24"/>
                <w:szCs w:val="24"/>
                <w:lang w:val="en-US" w:eastAsia="zh-CN"/>
              </w:rPr>
              <w:t>本项目不新增员工，无新增生活污水，无生产废水，现有项目生活污水经化粪池处理定期清运不外排。冷却水定期补充、循环使用不外排，对区域地表水环境质量的影响较小。</w:t>
            </w:r>
          </w:p>
          <w:p>
            <w:pPr>
              <w:keepNext w:val="0"/>
              <w:keepLines w:val="0"/>
              <w:pageBreakBefore w:val="0"/>
              <w:widowControl w:val="0"/>
              <w:numPr>
                <w:ilvl w:val="0"/>
                <w:numId w:val="9"/>
              </w:numPr>
              <w:kinsoku/>
              <w:wordWrap/>
              <w:overflowPunct/>
              <w:topLinePunct w:val="0"/>
              <w:autoSpaceDE/>
              <w:autoSpaceDN/>
              <w:bidi w:val="0"/>
              <w:adjustRightInd w:val="0"/>
              <w:snapToGrid w:val="0"/>
              <w:spacing w:line="360" w:lineRule="auto"/>
              <w:ind w:left="0" w:leftChars="0" w:firstLine="482" w:firstLineChars="200"/>
              <w:jc w:val="both"/>
              <w:textAlignment w:val="auto"/>
              <w:outlineLvl w:val="9"/>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color w:val="000000"/>
                <w:sz w:val="24"/>
              </w:rPr>
            </w:pPr>
            <w:r>
              <w:rPr>
                <w:color w:val="000000"/>
                <w:sz w:val="24"/>
              </w:rPr>
              <w:t>本项目厂界外周边50米范围内不存在声环境保护目标，因此不进行声环境质量现状调查。</w:t>
            </w:r>
          </w:p>
          <w:p>
            <w:pPr>
              <w:keepNext w:val="0"/>
              <w:keepLines w:val="0"/>
              <w:pageBreakBefore w:val="0"/>
              <w:widowControl w:val="0"/>
              <w:numPr>
                <w:ilvl w:val="0"/>
                <w:numId w:val="9"/>
              </w:numPr>
              <w:kinsoku/>
              <w:wordWrap/>
              <w:overflowPunct/>
              <w:topLinePunct w:val="0"/>
              <w:autoSpaceDE/>
              <w:autoSpaceDN/>
              <w:bidi w:val="0"/>
              <w:adjustRightInd w:val="0"/>
              <w:snapToGrid w:val="0"/>
              <w:spacing w:line="360" w:lineRule="auto"/>
              <w:ind w:left="0" w:leftChars="0" w:firstLine="482" w:firstLineChars="200"/>
              <w:jc w:val="both"/>
              <w:textAlignment w:val="auto"/>
              <w:outlineLvl w:val="9"/>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color w:val="auto"/>
                <w:sz w:val="24"/>
                <w:highlight w:val="none"/>
              </w:rPr>
              <w:t>生态环境现状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
                <w:bCs/>
                <w:sz w:val="24"/>
                <w:szCs w:val="24"/>
              </w:rPr>
            </w:pPr>
            <w:r>
              <w:rPr>
                <w:rFonts w:hint="default" w:ascii="Times New Roman" w:hAnsi="Times New Roman" w:eastAsia="宋体" w:cs="Times New Roman"/>
                <w:iCs/>
                <w:color w:val="auto"/>
                <w:sz w:val="24"/>
                <w:highlight w:val="none"/>
              </w:rPr>
              <w:t>本项目周边500m范围内</w:t>
            </w:r>
            <w:r>
              <w:rPr>
                <w:rFonts w:hint="default" w:ascii="Times New Roman" w:hAnsi="Times New Roman" w:eastAsia="宋体" w:cs="Times New Roman"/>
                <w:color w:val="auto"/>
                <w:sz w:val="24"/>
                <w:highlight w:val="none"/>
              </w:rPr>
              <w:t>无重点保护的野生动植物、风景名胜区、自然保护区及文化遗产等特殊保护目标</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故不进行生态调查。</w:t>
            </w:r>
          </w:p>
          <w:p>
            <w:pPr>
              <w:keepNext w:val="0"/>
              <w:keepLines w:val="0"/>
              <w:pageBreakBefore w:val="0"/>
              <w:widowControl/>
              <w:numPr>
                <w:ilvl w:val="0"/>
                <w:numId w:val="9"/>
              </w:numPr>
              <w:suppressLineNumbers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地下水、土壤环境。</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both"/>
              <w:textAlignment w:val="auto"/>
              <w:rPr>
                <w:rFonts w:hint="default"/>
                <w:lang w:val="en-US" w:eastAsia="zh-CN"/>
              </w:rPr>
            </w:pPr>
            <w:r>
              <w:rPr>
                <w:rFonts w:hint="default" w:ascii="Times New Roman" w:hAnsi="Times New Roman" w:cs="Times New Roman"/>
                <w:sz w:val="24"/>
                <w:szCs w:val="24"/>
                <w:lang w:eastAsia="zh-CN"/>
              </w:rPr>
              <w:t>根据《建设项目环境影响报告表编制技术指南（污染影响类）（试行）》原则上</w:t>
            </w:r>
            <w:r>
              <w:rPr>
                <w:rFonts w:hint="default" w:ascii="Times New Roman" w:hAnsi="Times New Roman" w:eastAsia="宋体" w:cs="Times New Roman"/>
                <w:b w:val="0"/>
                <w:bCs w:val="0"/>
                <w:color w:val="000000"/>
                <w:kern w:val="0"/>
                <w:sz w:val="24"/>
                <w:szCs w:val="24"/>
                <w:lang w:val="en-US" w:eastAsia="zh-CN" w:bidi="ar"/>
              </w:rPr>
              <w:t>不</w:t>
            </w:r>
            <w:r>
              <w:rPr>
                <w:rFonts w:hint="default" w:ascii="Times New Roman" w:hAnsi="Times New Roman" w:cs="Times New Roman"/>
                <w:b w:val="0"/>
                <w:bCs w:val="0"/>
                <w:color w:val="000000"/>
                <w:kern w:val="0"/>
                <w:sz w:val="24"/>
                <w:szCs w:val="24"/>
                <w:lang w:val="en-US" w:eastAsia="zh-CN" w:bidi="ar"/>
              </w:rPr>
              <w:t>开展</w:t>
            </w:r>
            <w:r>
              <w:rPr>
                <w:rFonts w:hint="default" w:ascii="Times New Roman" w:hAnsi="Times New Roman" w:eastAsia="宋体" w:cs="Times New Roman"/>
                <w:b w:val="0"/>
                <w:bCs w:val="0"/>
                <w:color w:val="000000"/>
                <w:kern w:val="0"/>
                <w:sz w:val="24"/>
                <w:szCs w:val="24"/>
                <w:lang w:val="en-US" w:eastAsia="zh-CN" w:bidi="ar"/>
              </w:rPr>
              <w:t>环境质量现状调查</w:t>
            </w:r>
            <w:r>
              <w:rPr>
                <w:rFonts w:hint="default" w:ascii="Times New Roman" w:hAnsi="Times New Roman" w:cs="Times New Roman"/>
                <w:b w:val="0"/>
                <w:bCs w:val="0"/>
                <w:color w:val="000000"/>
                <w:kern w:val="0"/>
                <w:sz w:val="24"/>
                <w:szCs w:val="24"/>
                <w:lang w:val="en-US" w:eastAsia="zh-CN" w:bidi="ar"/>
              </w:rPr>
              <w:t>，且本</w:t>
            </w:r>
            <w:r>
              <w:rPr>
                <w:rFonts w:hint="default" w:ascii="Times New Roman" w:hAnsi="Times New Roman" w:eastAsia="宋体" w:cs="Times New Roman"/>
                <w:b w:val="0"/>
                <w:bCs w:val="0"/>
                <w:color w:val="000000"/>
                <w:kern w:val="0"/>
                <w:sz w:val="24"/>
                <w:szCs w:val="24"/>
                <w:lang w:val="en-US" w:eastAsia="zh-CN" w:bidi="ar"/>
              </w:rPr>
              <w:t>项目不存在土壤、地下水环境污染途径</w:t>
            </w:r>
            <w:r>
              <w:rPr>
                <w:rFonts w:hint="default" w:ascii="Times New Roman" w:hAnsi="Times New Roman" w:cs="Times New Roman"/>
                <w:b w:val="0"/>
                <w:bCs w:val="0"/>
                <w:color w:val="000000"/>
                <w:kern w:val="0"/>
                <w:sz w:val="24"/>
                <w:szCs w:val="24"/>
                <w:lang w:val="en-US" w:eastAsia="zh-CN" w:bidi="ar"/>
              </w:rPr>
              <w:t>，故不进行</w:t>
            </w:r>
            <w:r>
              <w:rPr>
                <w:rFonts w:hint="default" w:ascii="Times New Roman" w:hAnsi="Times New Roman" w:eastAsia="宋体" w:cs="Times New Roman"/>
                <w:b w:val="0"/>
                <w:bCs w:val="0"/>
                <w:color w:val="000000"/>
                <w:kern w:val="0"/>
                <w:sz w:val="24"/>
                <w:szCs w:val="24"/>
                <w:lang w:val="en-US" w:eastAsia="zh-CN" w:bidi="ar"/>
              </w:rPr>
              <w:t>土壤、地下水环境质量现状调查</w:t>
            </w:r>
            <w:r>
              <w:rPr>
                <w:rFonts w:hint="default" w:ascii="Times New Roman" w:hAnsi="Times New Roman" w:cs="Times New Roman"/>
                <w:b w:val="0"/>
                <w:bCs w:val="0"/>
                <w:color w:val="000000"/>
                <w:kern w:val="0"/>
                <w:sz w:val="24"/>
                <w:szCs w:val="24"/>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保护</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目标</w:t>
            </w:r>
          </w:p>
        </w:tc>
        <w:tc>
          <w:tcPr>
            <w:tcW w:w="8030" w:type="dxa"/>
            <w:noWrap w:val="0"/>
            <w:vAlign w:val="center"/>
          </w:tcPr>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环境空气保护目标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1"/>
                <w:szCs w:val="21"/>
                <w:highlight w:val="none"/>
              </w:rPr>
            </w:pPr>
            <w:r>
              <w:rPr>
                <w:rFonts w:hint="default" w:ascii="Times New Roman" w:hAnsi="Times New Roman" w:cs="Times New Roman"/>
                <w:sz w:val="24"/>
                <w:szCs w:val="24"/>
                <w:highlight w:val="none"/>
              </w:rPr>
              <w:t>项目厂界外500米范围内的大气环境保护目标名称及相对位置关系见下表</w:t>
            </w:r>
            <w:r>
              <w:rPr>
                <w:rFonts w:hint="eastAsia" w:ascii="Times New Roman" w:hAnsi="Times New Roman" w:cs="Times New Roman"/>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1"/>
                <w:szCs w:val="21"/>
                <w:highlight w:val="none"/>
              </w:rPr>
              <w:t>表</w:t>
            </w:r>
            <w:r>
              <w:rPr>
                <w:rFonts w:hint="eastAsia" w:ascii="Times New Roman" w:hAnsi="Times New Roman" w:eastAsia="宋体" w:cs="Times New Roman"/>
                <w:sz w:val="21"/>
                <w:szCs w:val="21"/>
                <w:highlight w:val="none"/>
                <w:lang w:val="en-US" w:eastAsia="zh-CN"/>
              </w:rPr>
              <w:t>1</w:t>
            </w:r>
            <w:r>
              <w:rPr>
                <w:rFonts w:hint="eastAsia" w:cs="Times New Roman"/>
                <w:sz w:val="21"/>
                <w:szCs w:val="21"/>
                <w:highlight w:val="none"/>
                <w:lang w:val="en-US" w:eastAsia="zh-CN"/>
              </w:rPr>
              <w:t>8</w:t>
            </w:r>
            <w:r>
              <w:rPr>
                <w:rFonts w:hint="default" w:ascii="Times New Roman" w:hAnsi="Times New Roman" w:eastAsia="宋体" w:cs="Times New Roman"/>
                <w:sz w:val="21"/>
                <w:szCs w:val="21"/>
                <w:highlight w:val="none"/>
              </w:rPr>
              <w:t xml:space="preserve">    本项目周围</w:t>
            </w:r>
            <w:r>
              <w:rPr>
                <w:rFonts w:hint="eastAsia" w:ascii="Times New Roman" w:hAnsi="Times New Roman" w:eastAsia="宋体" w:cs="Times New Roman"/>
                <w:sz w:val="21"/>
                <w:szCs w:val="21"/>
                <w:highlight w:val="none"/>
                <w:lang w:val="en-US" w:eastAsia="zh-CN"/>
              </w:rPr>
              <w:t>大气</w:t>
            </w:r>
            <w:r>
              <w:rPr>
                <w:rFonts w:hint="default" w:ascii="Times New Roman" w:hAnsi="Times New Roman" w:eastAsia="宋体" w:cs="Times New Roman"/>
                <w:sz w:val="21"/>
                <w:szCs w:val="21"/>
                <w:highlight w:val="none"/>
              </w:rPr>
              <w:t>环境保护目标及其距离</w:t>
            </w:r>
          </w:p>
          <w:tbl>
            <w:tblPr>
              <w:tblStyle w:val="22"/>
              <w:tblW w:w="462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1"/>
              <w:gridCol w:w="663"/>
              <w:gridCol w:w="1240"/>
              <w:gridCol w:w="1235"/>
              <w:gridCol w:w="862"/>
              <w:gridCol w:w="1223"/>
              <w:gridCol w:w="662"/>
              <w:gridCol w:w="8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299"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保护类别</w:t>
                  </w:r>
                </w:p>
              </w:tc>
              <w:tc>
                <w:tcPr>
                  <w:tcW w:w="460"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保护目标名称</w:t>
                  </w:r>
                </w:p>
              </w:tc>
              <w:tc>
                <w:tcPr>
                  <w:tcW w:w="1716" w:type="pct"/>
                  <w:gridSpan w:val="2"/>
                  <w:noWrap w:val="0"/>
                  <w:vAlign w:val="center"/>
                </w:tcPr>
                <w:p>
                  <w:pPr>
                    <w:keepNext/>
                    <w:keepLines/>
                    <w:pageBreakBefore w:val="0"/>
                    <w:widowControl w:val="0"/>
                    <w:kinsoku/>
                    <w:wordWrap/>
                    <w:overflowPunct/>
                    <w:topLinePunct w:val="0"/>
                    <w:autoSpaceDE/>
                    <w:autoSpaceDN/>
                    <w:bidi w:val="0"/>
                    <w:adjustRightInd w:val="0"/>
                    <w:snapToGrid w:val="0"/>
                    <w:spacing w:before="0" w:after="0" w:line="240" w:lineRule="auto"/>
                    <w:ind w:left="0" w:right="0" w:rightChars="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坐标</w:t>
                  </w:r>
                </w:p>
              </w:tc>
              <w:tc>
                <w:tcPr>
                  <w:tcW w:w="598"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保护对象</w:t>
                  </w:r>
                </w:p>
              </w:tc>
              <w:tc>
                <w:tcPr>
                  <w:tcW w:w="848"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环境功能区</w:t>
                  </w:r>
                </w:p>
              </w:tc>
              <w:tc>
                <w:tcPr>
                  <w:tcW w:w="459"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相对厂址</w:t>
                  </w:r>
                  <w:r>
                    <w:rPr>
                      <w:rFonts w:hint="default" w:ascii="Times New Roman" w:hAnsi="Times New Roman" w:eastAsia="宋体" w:cs="Times New Roman"/>
                      <w:color w:val="auto"/>
                      <w:sz w:val="21"/>
                      <w:szCs w:val="21"/>
                      <w:highlight w:val="none"/>
                    </w:rPr>
                    <w:t>方位</w:t>
                  </w:r>
                </w:p>
              </w:tc>
              <w:tc>
                <w:tcPr>
                  <w:tcW w:w="616"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相对厂界</w:t>
                  </w:r>
                  <w:r>
                    <w:rPr>
                      <w:rFonts w:hint="default" w:ascii="Times New Roman" w:hAnsi="Times New Roman" w:eastAsia="宋体" w:cs="Times New Roman"/>
                      <w:color w:val="auto"/>
                      <w:sz w:val="21"/>
                      <w:szCs w:val="21"/>
                      <w:highlight w:val="none"/>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299" w:type="pct"/>
                  <w:vMerge w:val="continue"/>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460"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860" w:type="pct"/>
                  <w:noWrap w:val="0"/>
                  <w:vAlign w:val="center"/>
                </w:tcPr>
                <w:p>
                  <w:pPr>
                    <w:keepNext/>
                    <w:keepLines/>
                    <w:pageBreakBefore w:val="0"/>
                    <w:widowControl w:val="0"/>
                    <w:kinsoku/>
                    <w:wordWrap/>
                    <w:overflowPunct/>
                    <w:topLinePunct w:val="0"/>
                    <w:autoSpaceDE/>
                    <w:autoSpaceDN/>
                    <w:bidi w:val="0"/>
                    <w:adjustRightInd w:val="0"/>
                    <w:snapToGrid w:val="0"/>
                    <w:spacing w:before="0" w:after="0" w:line="240" w:lineRule="auto"/>
                    <w:ind w:left="0" w:right="0" w:rightChars="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X</w:t>
                  </w:r>
                </w:p>
              </w:tc>
              <w:tc>
                <w:tcPr>
                  <w:tcW w:w="855" w:type="pct"/>
                  <w:noWrap w:val="0"/>
                  <w:vAlign w:val="center"/>
                </w:tcPr>
                <w:p>
                  <w:pPr>
                    <w:keepNext/>
                    <w:keepLines/>
                    <w:pageBreakBefore w:val="0"/>
                    <w:widowControl w:val="0"/>
                    <w:kinsoku/>
                    <w:wordWrap/>
                    <w:overflowPunct/>
                    <w:topLinePunct w:val="0"/>
                    <w:autoSpaceDE/>
                    <w:autoSpaceDN/>
                    <w:bidi w:val="0"/>
                    <w:adjustRightInd w:val="0"/>
                    <w:snapToGrid w:val="0"/>
                    <w:spacing w:before="0" w:after="0" w:line="240" w:lineRule="auto"/>
                    <w:ind w:left="0" w:right="0" w:rightChars="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Y</w:t>
                  </w:r>
                </w:p>
              </w:tc>
              <w:tc>
                <w:tcPr>
                  <w:tcW w:w="598"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848" w:type="pct"/>
                  <w:vMerge w:val="continue"/>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459"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616"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299"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w:t>
                  </w:r>
                </w:p>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w:t>
                  </w:r>
                </w:p>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w:t>
                  </w:r>
                </w:p>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境</w:t>
                  </w:r>
                </w:p>
              </w:tc>
              <w:tc>
                <w:tcPr>
                  <w:tcW w:w="460"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安庄</w:t>
                  </w:r>
                </w:p>
              </w:tc>
              <w:tc>
                <w:tcPr>
                  <w:tcW w:w="860"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113.</w:t>
                  </w:r>
                  <w:r>
                    <w:rPr>
                      <w:rFonts w:hint="eastAsia" w:cs="Times New Roman"/>
                      <w:color w:val="auto"/>
                      <w:sz w:val="21"/>
                      <w:szCs w:val="21"/>
                      <w:highlight w:val="none"/>
                      <w:lang w:val="en-US" w:eastAsia="zh-CN"/>
                    </w:rPr>
                    <w:t>767547</w:t>
                  </w:r>
                </w:p>
              </w:tc>
              <w:tc>
                <w:tcPr>
                  <w:tcW w:w="855"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35.331</w:t>
                  </w:r>
                  <w:r>
                    <w:rPr>
                      <w:rFonts w:hint="eastAsia" w:cs="Times New Roman"/>
                      <w:color w:val="auto"/>
                      <w:sz w:val="21"/>
                      <w:szCs w:val="21"/>
                      <w:highlight w:val="none"/>
                      <w:lang w:val="en-US" w:eastAsia="zh-CN"/>
                    </w:rPr>
                    <w:t>913</w:t>
                  </w:r>
                </w:p>
              </w:tc>
              <w:tc>
                <w:tcPr>
                  <w:tcW w:w="598"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居民区</w:t>
                  </w:r>
                </w:p>
              </w:tc>
              <w:tc>
                <w:tcPr>
                  <w:tcW w:w="848" w:type="pct"/>
                  <w:vMerge w:val="restar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大气环境</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eastAsia="zh-CN"/>
                    </w:rPr>
                    <w:t>二类功能区</w:t>
                  </w:r>
                </w:p>
              </w:tc>
              <w:tc>
                <w:tcPr>
                  <w:tcW w:w="459"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w:t>
                  </w:r>
                </w:p>
              </w:tc>
              <w:tc>
                <w:tcPr>
                  <w:tcW w:w="616"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289</w:t>
                  </w:r>
                  <w:r>
                    <w:rPr>
                      <w:rFonts w:hint="eastAsia" w:ascii="Times New Roman" w:hAnsi="Times New Roman" w:eastAsia="宋体" w:cs="Times New Roman"/>
                      <w:color w:val="auto"/>
                      <w:sz w:val="21"/>
                      <w:szCs w:val="21"/>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299"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460"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贾桥村</w:t>
                  </w:r>
                </w:p>
              </w:tc>
              <w:tc>
                <w:tcPr>
                  <w:tcW w:w="860"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113.7</w:t>
                  </w:r>
                  <w:r>
                    <w:rPr>
                      <w:rFonts w:hint="eastAsia" w:cs="Times New Roman"/>
                      <w:color w:val="auto"/>
                      <w:sz w:val="21"/>
                      <w:szCs w:val="21"/>
                      <w:highlight w:val="none"/>
                      <w:lang w:val="en-US" w:eastAsia="zh-CN"/>
                    </w:rPr>
                    <w:t>55939</w:t>
                  </w:r>
                </w:p>
              </w:tc>
              <w:tc>
                <w:tcPr>
                  <w:tcW w:w="855"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35.326185</w:t>
                  </w:r>
                </w:p>
              </w:tc>
              <w:tc>
                <w:tcPr>
                  <w:tcW w:w="598"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848"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p>
              </w:tc>
              <w:tc>
                <w:tcPr>
                  <w:tcW w:w="459"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东南</w:t>
                  </w:r>
                </w:p>
              </w:tc>
              <w:tc>
                <w:tcPr>
                  <w:tcW w:w="616"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305</w:t>
                  </w:r>
                  <w:r>
                    <w:rPr>
                      <w:rFonts w:hint="eastAsia" w:ascii="Times New Roman" w:hAnsi="Times New Roman" w:eastAsia="宋体" w:cs="Times New Roman"/>
                      <w:color w:val="auto"/>
                      <w:sz w:val="21"/>
                      <w:szCs w:val="21"/>
                      <w:highlight w:val="no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299"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rPr>
                  </w:pPr>
                </w:p>
              </w:tc>
              <w:tc>
                <w:tcPr>
                  <w:tcW w:w="460"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合河村</w:t>
                  </w:r>
                </w:p>
              </w:tc>
              <w:tc>
                <w:tcPr>
                  <w:tcW w:w="860"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113.769423</w:t>
                  </w:r>
                </w:p>
              </w:tc>
              <w:tc>
                <w:tcPr>
                  <w:tcW w:w="855" w:type="pct"/>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35.329866</w:t>
                  </w:r>
                </w:p>
              </w:tc>
              <w:tc>
                <w:tcPr>
                  <w:tcW w:w="598"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848" w:type="pct"/>
                  <w:vMerge w:val="continue"/>
                  <w:noWrap w:val="0"/>
                  <w:vAlign w:val="center"/>
                </w:tcPr>
                <w:p>
                  <w:pPr>
                    <w:pageBreakBefore w:val="0"/>
                    <w:widowControl w:val="0"/>
                    <w:kinsoku/>
                    <w:wordWrap/>
                    <w:overflowPunct/>
                    <w:topLinePunct w:val="0"/>
                    <w:autoSpaceDE/>
                    <w:autoSpaceDN/>
                    <w:bidi w:val="0"/>
                    <w:adjustRightInd w:val="0"/>
                    <w:snapToGrid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eastAsia="zh-CN"/>
                    </w:rPr>
                  </w:pPr>
                </w:p>
              </w:tc>
              <w:tc>
                <w:tcPr>
                  <w:tcW w:w="459"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w:t>
                  </w:r>
                </w:p>
              </w:tc>
              <w:tc>
                <w:tcPr>
                  <w:tcW w:w="616" w:type="pct"/>
                  <w:noWrap w:val="0"/>
                  <w:vAlign w:val="center"/>
                </w:tcPr>
                <w:p>
                  <w:pPr>
                    <w:pageBreakBefore w:val="0"/>
                    <w:widowControl w:val="0"/>
                    <w:kinsoku/>
                    <w:wordWrap/>
                    <w:overflowPunct/>
                    <w:topLinePunct w:val="0"/>
                    <w:autoSpaceDE/>
                    <w:autoSpaceDN/>
                    <w:bidi w:val="0"/>
                    <w:spacing w:line="240" w:lineRule="auto"/>
                    <w:ind w:lef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228</w:t>
                  </w:r>
                  <w:r>
                    <w:rPr>
                      <w:rFonts w:hint="eastAsia" w:ascii="Times New Roman" w:hAnsi="Times New Roman" w:eastAsia="宋体" w:cs="Times New Roman"/>
                      <w:color w:val="auto"/>
                      <w:sz w:val="21"/>
                      <w:szCs w:val="21"/>
                      <w:highlight w:val="none"/>
                      <w:lang w:val="en-US" w:eastAsia="zh-CN"/>
                    </w:rPr>
                    <w:t>m</w:t>
                  </w:r>
                </w:p>
              </w:tc>
            </w:tr>
          </w:tbl>
          <w:p>
            <w:pPr>
              <w:keepNext w:val="0"/>
              <w:keepLines w:val="0"/>
              <w:pageBreakBefore w:val="0"/>
              <w:widowControl w:val="0"/>
              <w:numPr>
                <w:ilvl w:val="0"/>
                <w:numId w:val="10"/>
              </w:numPr>
              <w:kinsoku/>
              <w:wordWrap/>
              <w:overflowPunct/>
              <w:topLinePunct w:val="0"/>
              <w:autoSpaceDE/>
              <w:autoSpaceDN/>
              <w:bidi w:val="0"/>
              <w:adjustRightInd/>
              <w:snapToGrid/>
              <w:spacing w:before="313" w:beforeLines="100" w:line="360" w:lineRule="auto"/>
              <w:ind w:left="0" w:leftChars="0" w:firstLine="482" w:firstLineChars="200"/>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声环境保护目标</w:t>
            </w:r>
          </w:p>
          <w:p>
            <w:pPr>
              <w:keepNext/>
              <w:keepLines w:val="0"/>
              <w:pageBreakBefore w:val="0"/>
              <w:widowControl w:val="0"/>
              <w:numPr>
                <w:ilvl w:val="0"/>
                <w:numId w:val="0"/>
              </w:numPr>
              <w:kinsoku/>
              <w:wordWrap/>
              <w:overflowPunct w:val="0"/>
              <w:topLinePunct w:val="0"/>
              <w:autoSpaceDE/>
              <w:autoSpaceDN/>
              <w:bidi w:val="0"/>
              <w:adjustRightInd/>
              <w:snapToGrid w:val="0"/>
              <w:spacing w:before="0" w:after="0" w:line="360" w:lineRule="auto"/>
              <w:ind w:leftChars="0" w:firstLine="480" w:firstLineChars="200"/>
              <w:textAlignment w:val="auto"/>
              <w:outlineLvl w:val="9"/>
              <w:rPr>
                <w:rFonts w:hint="eastAsia"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highlight w:val="none"/>
              </w:rPr>
              <w:t>厂界外50米范围内</w:t>
            </w:r>
            <w:r>
              <w:rPr>
                <w:rFonts w:hint="default" w:ascii="Times New Roman" w:hAnsi="Times New Roman" w:eastAsia="宋体" w:cs="Times New Roman"/>
                <w:b w:val="0"/>
                <w:bCs w:val="0"/>
                <w:sz w:val="24"/>
                <w:szCs w:val="24"/>
                <w:highlight w:val="none"/>
                <w:lang w:val="en-US" w:eastAsia="zh-CN"/>
              </w:rPr>
              <w:t>无</w:t>
            </w:r>
            <w:r>
              <w:rPr>
                <w:rFonts w:hint="default" w:ascii="Times New Roman" w:hAnsi="Times New Roman" w:eastAsia="宋体" w:cs="Times New Roman"/>
                <w:b w:val="0"/>
                <w:bCs w:val="0"/>
                <w:sz w:val="24"/>
                <w:szCs w:val="24"/>
                <w:highlight w:val="none"/>
              </w:rPr>
              <w:t>声环境保护目标</w:t>
            </w:r>
            <w:r>
              <w:rPr>
                <w:rFonts w:hint="eastAsia" w:ascii="Times New Roman" w:hAnsi="Times New Roman" w:eastAsia="宋体" w:cs="Times New Roman"/>
                <w:b w:val="0"/>
                <w:bCs w:val="0"/>
                <w:sz w:val="24"/>
                <w:szCs w:val="24"/>
                <w:highlight w:val="none"/>
                <w:lang w:eastAsia="zh-CN"/>
              </w:rPr>
              <w:t>。</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val="en-US" w:eastAsia="zh-CN"/>
              </w:rPr>
              <w:t>本项目不产生生产废水，</w:t>
            </w:r>
            <w:r>
              <w:rPr>
                <w:rFonts w:hint="default" w:ascii="Times New Roman" w:hAnsi="Times New Roman" w:cs="Times New Roman"/>
                <w:sz w:val="24"/>
                <w:szCs w:val="24"/>
                <w:highlight w:val="none"/>
              </w:rPr>
              <w:t>项目厂界500米范围内无地下水集中式饮用水水源和热水、矿泉水、温泉等特殊地下水资源。</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生态环境保护目标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ascii="宋体" w:hAnsi="宋体" w:cs="宋体"/>
                <w:kern w:val="0"/>
                <w:szCs w:val="21"/>
              </w:rPr>
            </w:pPr>
            <w:r>
              <w:rPr>
                <w:rFonts w:hint="eastAsia" w:ascii="宋体" w:hAnsi="宋体" w:cs="宋体"/>
                <w:kern w:val="0"/>
                <w:sz w:val="24"/>
                <w:szCs w:val="24"/>
                <w:highlight w:val="none"/>
                <w:lang w:val="en-US" w:eastAsia="zh-CN"/>
              </w:rPr>
              <w:t>本项目</w:t>
            </w:r>
            <w:r>
              <w:rPr>
                <w:rFonts w:hint="eastAsia" w:ascii="Times New Roman" w:hAnsi="Times New Roman" w:eastAsia="宋体" w:cs="Times New Roman"/>
                <w:sz w:val="24"/>
                <w:highlight w:val="none"/>
                <w:lang w:val="en-US" w:eastAsia="zh-CN"/>
              </w:rPr>
              <w:t>位于</w:t>
            </w:r>
            <w:r>
              <w:rPr>
                <w:rFonts w:hint="eastAsia" w:ascii="Times New Roman" w:hAnsi="Times New Roman" w:eastAsia="宋体" w:cs="Times New Roman"/>
                <w:sz w:val="24"/>
                <w:szCs w:val="24"/>
                <w:highlight w:val="none"/>
                <w:lang w:val="en-US" w:eastAsia="zh-CN"/>
              </w:rPr>
              <w:t>河南省</w:t>
            </w:r>
            <w:r>
              <w:rPr>
                <w:rFonts w:hint="default" w:ascii="Times New Roman" w:hAnsi="Times New Roman" w:eastAsia="宋体" w:cs="Times New Roman"/>
                <w:sz w:val="24"/>
                <w:szCs w:val="24"/>
                <w:highlight w:val="none"/>
                <w:lang w:val="en-US" w:eastAsia="zh-CN"/>
              </w:rPr>
              <w:t>新乡</w:t>
            </w:r>
            <w:r>
              <w:rPr>
                <w:rFonts w:hint="eastAsia" w:ascii="Times New Roman" w:hAnsi="Times New Roman" w:eastAsia="宋体" w:cs="Times New Roman"/>
                <w:sz w:val="24"/>
                <w:szCs w:val="24"/>
                <w:highlight w:val="none"/>
                <w:lang w:val="en-US" w:eastAsia="zh-CN"/>
              </w:rPr>
              <w:t>市新乡县合河乡贾桥工业区</w:t>
            </w:r>
            <w:r>
              <w:rPr>
                <w:rFonts w:hint="eastAsia" w:ascii="Times New Roman" w:hAnsi="Times New Roman" w:eastAsia="宋体" w:cs="Times New Roman"/>
                <w:sz w:val="24"/>
                <w:highlight w:val="none"/>
                <w:lang w:val="en-US" w:eastAsia="zh-CN"/>
              </w:rPr>
              <w:t>，</w:t>
            </w:r>
            <w:r>
              <w:rPr>
                <w:rFonts w:hint="eastAsia"/>
                <w:sz w:val="24"/>
                <w:szCs w:val="24"/>
                <w:lang w:val="en-US" w:eastAsia="zh-CN"/>
              </w:rPr>
              <w:t>利用现有空厂房生产，不新增土地，</w:t>
            </w:r>
            <w:r>
              <w:rPr>
                <w:rFonts w:hint="eastAsia" w:ascii="宋体" w:hAnsi="宋体" w:cs="宋体"/>
                <w:kern w:val="0"/>
                <w:sz w:val="24"/>
                <w:szCs w:val="24"/>
                <w:highlight w:val="none"/>
                <w:lang w:val="en-US" w:eastAsia="zh-CN"/>
              </w:rPr>
              <w:t>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8"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污染</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物排</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放控</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制标</w:t>
            </w:r>
          </w:p>
          <w:p>
            <w:pPr>
              <w:adjustRightInd w:val="0"/>
              <w:snapToGrid w:val="0"/>
              <w:jc w:val="center"/>
              <w:rPr>
                <w:rFonts w:ascii="宋体" w:hAnsi="宋体" w:cs="宋体"/>
                <w:kern w:val="0"/>
                <w:sz w:val="24"/>
                <w:szCs w:val="24"/>
              </w:rPr>
            </w:pPr>
            <w:r>
              <w:rPr>
                <w:rFonts w:hint="eastAsia" w:ascii="宋体" w:hAnsi="宋体" w:cs="宋体"/>
                <w:kern w:val="0"/>
                <w:sz w:val="24"/>
                <w:szCs w:val="24"/>
              </w:rPr>
              <w:t>准</w:t>
            </w:r>
          </w:p>
        </w:tc>
        <w:tc>
          <w:tcPr>
            <w:tcW w:w="8030" w:type="dxa"/>
            <w:noWrap w:val="0"/>
            <w:vAlign w:val="center"/>
          </w:tcPr>
          <w:p>
            <w:pPr>
              <w:keepNext w:val="0"/>
              <w:keepLines w:val="0"/>
              <w:pageBreakBefore w:val="0"/>
              <w:widowControl w:val="0"/>
              <w:numPr>
                <w:ilvl w:val="0"/>
                <w:numId w:val="11"/>
              </w:numPr>
              <w:kinsoku/>
              <w:wordWrap/>
              <w:overflowPunct/>
              <w:topLinePunct w:val="0"/>
              <w:autoSpaceDE/>
              <w:autoSpaceDN/>
              <w:bidi w:val="0"/>
              <w:adjustRightInd w:val="0"/>
              <w:snapToGrid w:val="0"/>
              <w:spacing w:line="360" w:lineRule="auto"/>
              <w:ind w:left="0" w:leftChars="0" w:firstLine="482" w:firstLineChars="200"/>
              <w:textAlignment w:val="auto"/>
              <w:outlineLvl w:val="9"/>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eastAsia="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rPr>
            </w:pP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生产过程中产生的</w:t>
            </w:r>
            <w:r>
              <w:rPr>
                <w:rFonts w:hint="default" w:ascii="Times New Roman" w:hAnsi="Times New Roman" w:eastAsia="宋体" w:cs="Times New Roman"/>
                <w:color w:val="auto"/>
                <w:sz w:val="24"/>
                <w:highlight w:val="none"/>
              </w:rPr>
              <w:t>废气执行具体标准值见下表。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表</w:t>
            </w:r>
            <w:r>
              <w:rPr>
                <w:rFonts w:hint="eastAsia" w:cs="Times New Roman"/>
                <w:sz w:val="21"/>
                <w:szCs w:val="21"/>
                <w:highlight w:val="none"/>
                <w:lang w:val="en-US" w:eastAsia="zh-CN"/>
              </w:rPr>
              <w:t xml:space="preserve">19    </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大气污染物排放相关标准</w:t>
            </w:r>
          </w:p>
          <w:tbl>
            <w:tblPr>
              <w:tblStyle w:val="2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518"/>
              <w:gridCol w:w="796"/>
              <w:gridCol w:w="34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标准名称</w:t>
                  </w:r>
                </w:p>
              </w:tc>
              <w:tc>
                <w:tcPr>
                  <w:tcW w:w="51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污染因子</w:t>
                  </w:r>
                </w:p>
              </w:tc>
              <w:tc>
                <w:tcPr>
                  <w:tcW w:w="22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标准限值浓度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lang w:eastAsia="zh-CN"/>
                    </w:rPr>
                  </w:pPr>
                  <w:r>
                    <w:rPr>
                      <w:rFonts w:hint="default"/>
                      <w:lang w:val="en-US" w:eastAsia="zh-CN"/>
                    </w:rPr>
                    <w:t>《</w:t>
                  </w:r>
                  <w:bookmarkStart w:id="3" w:name="OLE_LINK9"/>
                  <w:r>
                    <w:rPr>
                      <w:rFonts w:hint="default"/>
                      <w:lang w:val="en-US" w:eastAsia="zh-CN"/>
                    </w:rPr>
                    <w:t>合成树脂工业污染物排放标准</w:t>
                  </w:r>
                  <w:bookmarkEnd w:id="3"/>
                  <w:r>
                    <w:rPr>
                      <w:rFonts w:hint="default"/>
                      <w:lang w:val="en-US" w:eastAsia="zh-CN"/>
                    </w:rPr>
                    <w:t>》(GB31572-2015)表5</w:t>
                  </w:r>
                </w:p>
              </w:tc>
              <w:tc>
                <w:tcPr>
                  <w:tcW w:w="51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非甲烷总烃</w:t>
                  </w:r>
                </w:p>
              </w:tc>
              <w:tc>
                <w:tcPr>
                  <w:tcW w:w="22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eastAsia"/>
                      <w:lang w:val="en-US" w:eastAsia="zh-CN"/>
                    </w:rPr>
                    <w:t>工业企业挥发性有机物排放建议值60mg/m</w:t>
                  </w:r>
                  <w:r>
                    <w:rPr>
                      <w:rFonts w:hint="eastAsia"/>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2259" w:type="pct"/>
                  <w:noWrap w:val="0"/>
                  <w:vAlign w:val="center"/>
                </w:tcPr>
                <w:p>
                  <w:pPr>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outlineLvl w:val="9"/>
                    <w:rPr>
                      <w:rFonts w:hint="default" w:ascii="Times New Roman" w:hAnsi="Times New Roman" w:eastAsia="宋体" w:cs="Times New Roman"/>
                      <w:b w:val="0"/>
                      <w:bCs/>
                      <w:color w:val="auto"/>
                      <w:sz w:val="21"/>
                      <w:szCs w:val="21"/>
                      <w:lang w:val="en-US" w:eastAsia="zh-CN"/>
                    </w:rPr>
                  </w:pPr>
                  <w:r>
                    <w:rPr>
                      <w:rFonts w:hint="eastAsia"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eastAsia="zh-CN"/>
                    </w:rPr>
                    <w:t>河南省重污染天气重点行业应急减排措施制定技术指南</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val="en-US" w:eastAsia="zh-CN"/>
                    </w:rPr>
                    <w:t>2021年修订版塑料制品行业</w:t>
                  </w:r>
                  <w:r>
                    <w:rPr>
                      <w:rFonts w:hint="eastAsia" w:cs="Times New Roman"/>
                      <w:b w:val="0"/>
                      <w:bCs/>
                      <w:color w:val="auto"/>
                      <w:sz w:val="21"/>
                      <w:szCs w:val="21"/>
                      <w:lang w:val="en-US" w:eastAsia="zh-CN"/>
                    </w:rPr>
                    <w:t>-B</w:t>
                  </w:r>
                  <w:r>
                    <w:rPr>
                      <w:rFonts w:hint="default" w:ascii="Times New Roman" w:hAnsi="Times New Roman" w:eastAsia="宋体" w:cs="Times New Roman"/>
                      <w:b w:val="0"/>
                      <w:bCs/>
                      <w:color w:val="auto"/>
                      <w:sz w:val="21"/>
                      <w:szCs w:val="21"/>
                      <w:lang w:val="en-US" w:eastAsia="zh-CN"/>
                    </w:rPr>
                    <w:t>级</w:t>
                  </w:r>
                  <w:r>
                    <w:rPr>
                      <w:rFonts w:hint="eastAsia" w:cs="Times New Roman"/>
                      <w:b w:val="0"/>
                      <w:bCs/>
                      <w:color w:val="auto"/>
                      <w:sz w:val="21"/>
                      <w:szCs w:val="21"/>
                      <w:lang w:val="en-US" w:eastAsia="zh-CN"/>
                    </w:rPr>
                    <w:t>非甲烷总烃排放标准</w:t>
                  </w:r>
                </w:p>
              </w:tc>
              <w:tc>
                <w:tcPr>
                  <w:tcW w:w="511" w:type="pct"/>
                  <w:vMerge w:val="continue"/>
                  <w:noWrap w:val="0"/>
                  <w:vAlign w:val="center"/>
                </w:tcPr>
                <w:p>
                  <w:pPr>
                    <w:pStyle w:val="2"/>
                    <w:jc w:val="center"/>
                    <w:rPr>
                      <w:rFonts w:hint="eastAsia" w:ascii="Times New Roman" w:hAnsi="Times New Roman" w:eastAsia="宋体" w:cs="Times New Roman"/>
                      <w:b w:val="0"/>
                      <w:bCs/>
                      <w:color w:val="auto"/>
                      <w:sz w:val="21"/>
                      <w:szCs w:val="21"/>
                      <w:lang w:eastAsia="zh-CN"/>
                    </w:rPr>
                  </w:pPr>
                </w:p>
              </w:tc>
              <w:tc>
                <w:tcPr>
                  <w:tcW w:w="2228" w:type="pct"/>
                  <w:noWrap w:val="0"/>
                  <w:vAlign w:val="center"/>
                </w:tcPr>
                <w:p>
                  <w:pPr>
                    <w:keepNext w:val="0"/>
                    <w:keepLines w:val="0"/>
                    <w:widowControl/>
                    <w:suppressLineNumbers w:val="0"/>
                    <w:jc w:val="center"/>
                    <w:rPr>
                      <w:rFonts w:hint="default" w:ascii="Times New Roman" w:hAnsi="Times New Roman" w:eastAsia="宋体" w:cs="Times New Roman"/>
                      <w:b w:val="0"/>
                      <w:bCs/>
                      <w:color w:val="auto"/>
                      <w:sz w:val="21"/>
                      <w:szCs w:val="21"/>
                      <w:lang w:val="en-US" w:eastAsia="zh-CN"/>
                    </w:rPr>
                  </w:pPr>
                  <w:r>
                    <w:rPr>
                      <w:rFonts w:hint="eastAsia" w:ascii="宋体" w:hAnsi="宋体" w:eastAsia="宋体" w:cs="宋体"/>
                      <w:color w:val="000000"/>
                      <w:kern w:val="0"/>
                      <w:sz w:val="21"/>
                      <w:szCs w:val="21"/>
                      <w:lang w:val="en-US" w:eastAsia="zh-CN" w:bidi="ar"/>
                    </w:rPr>
                    <w:t>全厂有组织</w:t>
                  </w:r>
                  <w:r>
                    <w:rPr>
                      <w:rFonts w:hint="default" w:ascii="Times New Roman" w:hAnsi="Times New Roman" w:eastAsia="宋体" w:cs="Times New Roman"/>
                      <w:color w:val="000000"/>
                      <w:kern w:val="0"/>
                      <w:sz w:val="21"/>
                      <w:szCs w:val="21"/>
                      <w:lang w:val="en-US" w:eastAsia="zh-CN" w:bidi="ar"/>
                    </w:rPr>
                    <w:t xml:space="preserve">NMHC </w:t>
                  </w:r>
                  <w:r>
                    <w:rPr>
                      <w:rFonts w:hint="eastAsia" w:ascii="宋体" w:hAnsi="宋体" w:eastAsia="宋体" w:cs="宋体"/>
                      <w:color w:val="000000"/>
                      <w:kern w:val="0"/>
                      <w:sz w:val="21"/>
                      <w:szCs w:val="21"/>
                      <w:lang w:val="en-US" w:eastAsia="zh-CN" w:bidi="ar"/>
                    </w:rPr>
                    <w:t>有组织排放浓度不高于</w:t>
                  </w:r>
                  <w:r>
                    <w:rPr>
                      <w:rFonts w:hint="default" w:ascii="Times New Roman" w:hAnsi="Times New Roman" w:eastAsia="宋体" w:cs="Times New Roman"/>
                      <w:color w:val="000000"/>
                      <w:kern w:val="0"/>
                      <w:sz w:val="21"/>
                      <w:szCs w:val="21"/>
                      <w:lang w:val="en-US" w:eastAsia="zh-CN" w:bidi="ar"/>
                    </w:rPr>
                    <w:t>30mg/m</w:t>
                  </w:r>
                  <w:r>
                    <w:rPr>
                      <w:rFonts w:hint="eastAsia" w:ascii="Times New Roman" w:hAnsi="Times New Roman" w:eastAsia="宋体" w:cs="Times New Roman"/>
                      <w:color w:val="000000"/>
                      <w:kern w:val="0"/>
                      <w:sz w:val="21"/>
                      <w:szCs w:val="21"/>
                      <w:vertAlign w:val="superscript"/>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rPr>
                      <w:rFonts w:hint="default" w:ascii="Times New Roman" w:hAnsi="Times New Roman" w:eastAsia="宋体" w:cs="Times New Roman"/>
                      <w:sz w:val="21"/>
                      <w:szCs w:val="21"/>
                      <w:highlight w:val="none"/>
                    </w:rPr>
                    <w:t>《关于全省开展工业企业挥发性有机物专项治理工作中排放建议值的通知》豫环攻坚办</w:t>
                  </w:r>
                  <w:r>
                    <w:rPr>
                      <w:rFonts w:hint="default" w:ascii="Times New Roman" w:hAnsi="Times New Roman" w:eastAsia="宋体" w:cs="Times New Roman"/>
                      <w:sz w:val="21"/>
                      <w:szCs w:val="21"/>
                      <w:highlight w:val="none"/>
                      <w:lang w:eastAsia="zh-CN"/>
                    </w:rPr>
                    <w:t>[2017]</w:t>
                  </w:r>
                  <w:r>
                    <w:rPr>
                      <w:rFonts w:hint="default" w:ascii="Times New Roman" w:hAnsi="Times New Roman" w:eastAsia="宋体" w:cs="Times New Roman"/>
                      <w:sz w:val="21"/>
                      <w:szCs w:val="21"/>
                      <w:highlight w:val="none"/>
                    </w:rPr>
                    <w:t>162号文</w:t>
                  </w:r>
                </w:p>
              </w:tc>
              <w:tc>
                <w:tcPr>
                  <w:tcW w:w="51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tc>
              <w:tc>
                <w:tcPr>
                  <w:tcW w:w="22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厂界无组织排放监控浓度限值</w:t>
                  </w:r>
                  <w:r>
                    <w:rPr>
                      <w:rFonts w:hint="default" w:ascii="Times New Roman" w:hAnsi="Times New Roman" w:eastAsia="宋体" w:cs="Times New Roman"/>
                      <w:sz w:val="21"/>
                      <w:szCs w:val="21"/>
                      <w:highlight w:val="none"/>
                      <w:lang w:val="en-US" w:eastAsia="zh-CN"/>
                    </w:rPr>
                    <w:t>2.0</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lang w:val="en-US" w:eastAsia="zh-CN"/>
                    </w:rPr>
                    <w:t>《合成树脂工业污染物排放标准》(GB31572-2015)表5</w:t>
                  </w:r>
                </w:p>
              </w:tc>
              <w:tc>
                <w:tcPr>
                  <w:tcW w:w="51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颗粒物</w:t>
                  </w:r>
                </w:p>
              </w:tc>
              <w:tc>
                <w:tcPr>
                  <w:tcW w:w="2228" w:type="pct"/>
                  <w:noWrap w:val="0"/>
                  <w:vAlign w:val="center"/>
                </w:tcPr>
                <w:p>
                  <w:pPr>
                    <w:pStyle w:val="43"/>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lang w:val="en-US" w:eastAsia="zh-CN"/>
                    </w:rPr>
                    <w:t>工业企业</w:t>
                  </w:r>
                  <w:r>
                    <w:rPr>
                      <w:rFonts w:hint="eastAsia" w:ascii="Times New Roman" w:hAnsi="Times New Roman" w:cs="Times New Roman"/>
                      <w:lang w:val="en-US" w:eastAsia="zh-CN"/>
                    </w:rPr>
                    <w:t>颗粒物</w:t>
                  </w:r>
                  <w:r>
                    <w:rPr>
                      <w:rFonts w:hint="default" w:ascii="Times New Roman" w:hAnsi="Times New Roman" w:cs="Times New Roman"/>
                      <w:lang w:val="en-US" w:eastAsia="zh-CN"/>
                    </w:rPr>
                    <w:t>排放建议值</w:t>
                  </w:r>
                  <w:r>
                    <w:rPr>
                      <w:rFonts w:hint="eastAsia" w:ascii="Times New Roman" w:hAnsi="Times New Roman" w:cs="Times New Roman"/>
                      <w:lang w:val="en-US" w:eastAsia="zh-CN"/>
                    </w:rPr>
                    <w:t>20</w:t>
                  </w:r>
                  <w:r>
                    <w:rPr>
                      <w:rFonts w:hint="default" w:ascii="Times New Roman" w:hAnsi="Times New Roman" w:cs="Times New Roman"/>
                      <w:lang w:val="en-US" w:eastAsia="zh-CN"/>
                    </w:rPr>
                    <w:t>mg/m</w:t>
                  </w:r>
                  <w:r>
                    <w:rPr>
                      <w:rFonts w:hint="default" w:ascii="Times New Roman" w:hAnsi="Times New Roman" w:cs="Times New Roman"/>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val="en-US" w:eastAsia="zh-CN"/>
                    </w:rPr>
                    <w:t>新乡市生态环境局</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highlight w:val="none"/>
                      <w:lang w:eastAsia="zh-CN"/>
                    </w:rPr>
                    <w:t>关于进一步规范工业企业颗粒物排放限值的通知</w:t>
                  </w:r>
                  <w:r>
                    <w:rPr>
                      <w:rFonts w:hint="default" w:ascii="Times New Roman" w:hAnsi="Times New Roman" w:eastAsia="宋体" w:cs="Times New Roman"/>
                      <w:sz w:val="21"/>
                      <w:szCs w:val="21"/>
                      <w:highlight w:val="none"/>
                    </w:rPr>
                    <w:t>》</w:t>
                  </w:r>
                </w:p>
              </w:tc>
              <w:tc>
                <w:tcPr>
                  <w:tcW w:w="51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p>
              </w:tc>
              <w:tc>
                <w:tcPr>
                  <w:tcW w:w="2228" w:type="pct"/>
                  <w:noWrap w:val="0"/>
                  <w:vAlign w:val="center"/>
                </w:tcPr>
                <w:p>
                  <w:pPr>
                    <w:pStyle w:val="43"/>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lang w:val="en-US" w:eastAsia="zh-CN"/>
                    </w:rPr>
                  </w:pPr>
                  <w:r>
                    <w:rPr>
                      <w:rFonts w:hint="eastAsia"/>
                      <w:lang w:val="en-US" w:eastAsia="zh-CN"/>
                    </w:rPr>
                    <w:t>有组织</w:t>
                  </w:r>
                  <w:r>
                    <w:rPr>
                      <w:rFonts w:hint="default" w:ascii="Times New Roman" w:hAnsi="Times New Roman" w:eastAsia="宋体" w:cs="Times New Roman"/>
                      <w:sz w:val="21"/>
                      <w:szCs w:val="21"/>
                      <w:highlight w:val="none"/>
                      <w:lang w:eastAsia="zh-CN"/>
                    </w:rPr>
                    <w:t>最高允许浓度：</w:t>
                  </w:r>
                  <w:r>
                    <w:rPr>
                      <w:rFonts w:hint="default"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p>
                <w:p>
                  <w:pPr>
                    <w:pStyle w:val="43"/>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eastAsia="zh-CN"/>
                    </w:rPr>
                    <w:t>厂界</w:t>
                  </w:r>
                  <w:r>
                    <w:rPr>
                      <w:rFonts w:hint="default" w:ascii="Times New Roman" w:hAnsi="Times New Roman" w:eastAsia="宋体" w:cs="Times New Roman"/>
                      <w:sz w:val="21"/>
                      <w:szCs w:val="21"/>
                      <w:highlight w:val="none"/>
                    </w:rPr>
                    <w:t>无组织排放</w:t>
                  </w:r>
                  <w:r>
                    <w:rPr>
                      <w:rFonts w:hint="default" w:ascii="Times New Roman" w:hAnsi="Times New Roman" w:eastAsia="宋体" w:cs="Times New Roman"/>
                      <w:sz w:val="21"/>
                      <w:szCs w:val="21"/>
                      <w:highlight w:val="none"/>
                      <w:lang w:eastAsia="zh-CN"/>
                    </w:rPr>
                    <w:t>监控浓度</w:t>
                  </w:r>
                  <w:r>
                    <w:rPr>
                      <w:rFonts w:hint="default" w:ascii="Times New Roman" w:hAnsi="Times New Roman" w:eastAsia="宋体" w:cs="Times New Roman"/>
                      <w:sz w:val="21"/>
                      <w:szCs w:val="21"/>
                      <w:highlight w:val="none"/>
                    </w:rPr>
                    <w:t>限值</w:t>
                  </w:r>
                  <w:r>
                    <w:rPr>
                      <w:rFonts w:hint="default" w:ascii="Times New Roman" w:hAnsi="Times New Roman" w:eastAsia="宋体" w:cs="Times New Roman"/>
                      <w:sz w:val="21"/>
                      <w:szCs w:val="21"/>
                      <w:highlight w:val="none"/>
                      <w:lang w:val="en-US" w:eastAsia="zh-CN"/>
                    </w:rPr>
                    <w:t>0.5</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2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eastAsia="zh-CN"/>
                    </w:rPr>
                    <w:t>河南省重污染天气重点行业应急减排措施制定技术指南</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val="en-US" w:eastAsia="zh-CN"/>
                    </w:rPr>
                    <w:t>2021年修订版塑料制品行业</w:t>
                  </w:r>
                  <w:r>
                    <w:rPr>
                      <w:rFonts w:hint="eastAsia" w:cs="Times New Roman"/>
                      <w:b w:val="0"/>
                      <w:bCs/>
                      <w:color w:val="auto"/>
                      <w:sz w:val="21"/>
                      <w:szCs w:val="21"/>
                      <w:lang w:val="en-US" w:eastAsia="zh-CN"/>
                    </w:rPr>
                    <w:t>-B</w:t>
                  </w:r>
                  <w:r>
                    <w:rPr>
                      <w:rFonts w:hint="default" w:ascii="Times New Roman" w:hAnsi="Times New Roman" w:eastAsia="宋体" w:cs="Times New Roman"/>
                      <w:b w:val="0"/>
                      <w:bCs/>
                      <w:color w:val="auto"/>
                      <w:sz w:val="21"/>
                      <w:szCs w:val="21"/>
                      <w:lang w:val="en-US" w:eastAsia="zh-CN"/>
                    </w:rPr>
                    <w:t>级</w:t>
                  </w:r>
                  <w:r>
                    <w:rPr>
                      <w:rFonts w:hint="eastAsia" w:cs="Times New Roman"/>
                      <w:b w:val="0"/>
                      <w:bCs/>
                      <w:color w:val="auto"/>
                      <w:sz w:val="21"/>
                      <w:szCs w:val="21"/>
                      <w:lang w:val="en-US" w:eastAsia="zh-CN"/>
                    </w:rPr>
                    <w:t>颗粒物排放标准</w:t>
                  </w:r>
                </w:p>
              </w:tc>
              <w:tc>
                <w:tcPr>
                  <w:tcW w:w="51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p>
              </w:tc>
              <w:tc>
                <w:tcPr>
                  <w:tcW w:w="2228" w:type="pct"/>
                  <w:noWrap w:val="0"/>
                  <w:vAlign w:val="center"/>
                </w:tcPr>
                <w:p>
                  <w:pPr>
                    <w:keepNext w:val="0"/>
                    <w:keepLines w:val="0"/>
                    <w:widowControl/>
                    <w:suppressLineNumbers w:val="0"/>
                    <w:jc w:val="center"/>
                    <w:rPr>
                      <w:rFonts w:hint="default" w:ascii="Times New Roman" w:hAnsi="Times New Roman" w:eastAsia="宋体" w:cs="Times New Roman"/>
                      <w:sz w:val="21"/>
                      <w:szCs w:val="21"/>
                      <w:highlight w:val="none"/>
                      <w:lang w:val="en-US" w:eastAsia="zh-CN"/>
                    </w:rPr>
                  </w:pPr>
                  <w:r>
                    <w:rPr>
                      <w:rFonts w:hint="eastAsia" w:ascii="宋体" w:hAnsi="宋体" w:eastAsia="宋体" w:cs="宋体"/>
                      <w:color w:val="000000"/>
                      <w:kern w:val="0"/>
                      <w:sz w:val="21"/>
                      <w:szCs w:val="21"/>
                      <w:lang w:val="en-US" w:eastAsia="zh-CN" w:bidi="ar"/>
                    </w:rPr>
                    <w:t>全厂有组织</w:t>
                  </w:r>
                  <w:r>
                    <w:rPr>
                      <w:rFonts w:hint="default" w:ascii="Times New Roman" w:hAnsi="Times New Roman" w:eastAsia="宋体" w:cs="Times New Roman"/>
                      <w:color w:val="000000"/>
                      <w:kern w:val="0"/>
                      <w:sz w:val="21"/>
                      <w:szCs w:val="21"/>
                      <w:lang w:val="en-US" w:eastAsia="zh-CN" w:bidi="ar"/>
                    </w:rPr>
                    <w:t>PM</w:t>
                  </w:r>
                  <w:r>
                    <w:rPr>
                      <w:rFonts w:hint="eastAsia" w:ascii="宋体" w:hAnsi="宋体" w:eastAsia="宋体" w:cs="宋体"/>
                      <w:color w:val="000000"/>
                      <w:kern w:val="0"/>
                      <w:sz w:val="21"/>
                      <w:szCs w:val="21"/>
                      <w:lang w:val="en-US" w:eastAsia="zh-CN" w:bidi="ar"/>
                    </w:rPr>
                    <w:t>有组织排放浓度</w:t>
                  </w:r>
                  <w:r>
                    <w:rPr>
                      <w:rFonts w:hint="default" w:ascii="Times New Roman" w:hAnsi="Times New Roman" w:eastAsia="宋体" w:cs="Times New Roman"/>
                      <w:color w:val="000000"/>
                      <w:kern w:val="0"/>
                      <w:sz w:val="21"/>
                      <w:szCs w:val="21"/>
                      <w:lang w:val="en-US" w:eastAsia="zh-CN" w:bidi="ar"/>
                    </w:rPr>
                    <w:t>10mg/m</w:t>
                  </w:r>
                  <w:r>
                    <w:rPr>
                      <w:rFonts w:hint="eastAsia" w:ascii="Times New Roman" w:hAnsi="Times New Roman" w:eastAsia="宋体" w:cs="Times New Roman"/>
                      <w:color w:val="000000"/>
                      <w:kern w:val="0"/>
                      <w:sz w:val="21"/>
                      <w:szCs w:val="21"/>
                      <w:vertAlign w:val="superscript"/>
                      <w:lang w:val="en-US" w:eastAsia="zh-CN" w:bidi="ar"/>
                    </w:rPr>
                    <w:t>3</w:t>
                  </w:r>
                </w:p>
              </w:tc>
            </w:tr>
          </w:tbl>
          <w:p>
            <w:pPr>
              <w:keepNext w:val="0"/>
              <w:keepLines w:val="0"/>
              <w:pageBreakBefore w:val="0"/>
              <w:widowControl w:val="0"/>
              <w:numPr>
                <w:ilvl w:val="0"/>
                <w:numId w:val="11"/>
              </w:numPr>
              <w:kinsoku/>
              <w:wordWrap/>
              <w:overflowPunct/>
              <w:topLinePunct w:val="0"/>
              <w:autoSpaceDE/>
              <w:autoSpaceDN/>
              <w:bidi w:val="0"/>
              <w:adjustRightInd w:val="0"/>
              <w:snapToGrid w:val="0"/>
              <w:spacing w:before="157" w:beforeLines="50" w:line="360" w:lineRule="auto"/>
              <w:ind w:left="0" w:leftChars="0" w:firstLine="482" w:firstLineChars="200"/>
              <w:textAlignment w:val="auto"/>
              <w:outlineLvl w:val="9"/>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color w:val="auto"/>
                <w:sz w:val="24"/>
                <w:szCs w:val="24"/>
                <w:highlight w:val="none"/>
                <w:lang w:eastAsia="zh-CN"/>
              </w:rPr>
              <w:t>运营期噪声执行《工业企业厂界环境噪声排放标准》（GB12348-2008）</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类标准，具体标准值见下表。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表</w:t>
            </w:r>
            <w:r>
              <w:rPr>
                <w:rFonts w:hint="eastAsia" w:cs="Times New Roman"/>
                <w:sz w:val="21"/>
                <w:szCs w:val="21"/>
                <w:highlight w:val="none"/>
                <w:lang w:val="en-US" w:eastAsia="zh-CN"/>
              </w:rPr>
              <w:t>20</w:t>
            </w:r>
            <w:r>
              <w:rPr>
                <w:rFonts w:hint="default" w:ascii="Times New Roman" w:hAnsi="Times New Roman" w:eastAsia="宋体" w:cs="Times New Roman"/>
                <w:sz w:val="21"/>
                <w:szCs w:val="21"/>
                <w:highlight w:val="none"/>
              </w:rPr>
              <w:t xml:space="preserve">    </w:t>
            </w:r>
            <w:r>
              <w:rPr>
                <w:rFonts w:hint="eastAsia"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 xml:space="preserve">项目噪声执行标准    </w:t>
            </w:r>
            <w:r>
              <w:rPr>
                <w:rFonts w:hint="eastAsia"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 xml:space="preserve">  单位：dB（A）</w:t>
            </w:r>
          </w:p>
          <w:tbl>
            <w:tblPr>
              <w:tblStyle w:val="22"/>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28"/>
              <w:gridCol w:w="2960"/>
              <w:gridCol w:w="25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类别</w:t>
                  </w:r>
                </w:p>
              </w:tc>
              <w:tc>
                <w:tcPr>
                  <w:tcW w:w="19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昼间</w:t>
                  </w:r>
                </w:p>
              </w:tc>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4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val="en-US" w:eastAsia="zh-CN"/>
                    </w:rPr>
                    <w:t>2</w:t>
                  </w:r>
                  <w:r>
                    <w:rPr>
                      <w:rFonts w:hint="default" w:ascii="Times New Roman" w:hAnsi="Times New Roman" w:eastAsia="宋体" w:cs="Times New Roman"/>
                      <w:highlight w:val="none"/>
                    </w:rPr>
                    <w:t>类</w:t>
                  </w:r>
                </w:p>
              </w:tc>
              <w:tc>
                <w:tcPr>
                  <w:tcW w:w="19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rPr>
                    <w:t>6</w:t>
                  </w:r>
                  <w:r>
                    <w:rPr>
                      <w:rFonts w:hint="default" w:ascii="Times New Roman" w:hAnsi="Times New Roman" w:eastAsia="宋体" w:cs="Times New Roman"/>
                      <w:highlight w:val="none"/>
                      <w:lang w:val="en-US" w:eastAsia="zh-CN"/>
                    </w:rPr>
                    <w:t>0</w:t>
                  </w:r>
                </w:p>
              </w:tc>
              <w:tc>
                <w:tcPr>
                  <w:tcW w:w="166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rPr>
                    <w:t>5</w:t>
                  </w:r>
                  <w:r>
                    <w:rPr>
                      <w:rFonts w:hint="default" w:ascii="Times New Roman" w:hAnsi="Times New Roman" w:eastAsia="宋体" w:cs="Times New Roman"/>
                      <w:highlight w:val="none"/>
                      <w:lang w:val="en-US" w:eastAsia="zh-CN"/>
                    </w:rPr>
                    <w:t>0</w:t>
                  </w:r>
                </w:p>
              </w:tc>
            </w:tr>
          </w:tbl>
          <w:p>
            <w:pPr>
              <w:keepNext w:val="0"/>
              <w:keepLines w:val="0"/>
              <w:pageBreakBefore w:val="0"/>
              <w:widowControl w:val="0"/>
              <w:numPr>
                <w:ilvl w:val="0"/>
                <w:numId w:val="11"/>
              </w:numPr>
              <w:kinsoku/>
              <w:wordWrap/>
              <w:overflowPunct/>
              <w:topLinePunct w:val="0"/>
              <w:autoSpaceDE/>
              <w:autoSpaceDN/>
              <w:bidi w:val="0"/>
              <w:adjustRightInd w:val="0"/>
              <w:snapToGrid w:val="0"/>
              <w:spacing w:before="313" w:beforeLines="100" w:line="360" w:lineRule="auto"/>
              <w:ind w:left="0" w:leftChars="0" w:firstLine="482" w:firstLineChars="200"/>
              <w:textAlignment w:val="auto"/>
              <w:outlineLvl w:val="9"/>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eastAsia="zh-CN"/>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kern w:val="0"/>
                <w:szCs w:val="21"/>
              </w:rPr>
            </w:pPr>
            <w:r>
              <w:rPr>
                <w:rFonts w:hint="default" w:ascii="Times New Roman" w:hAnsi="Times New Roman" w:cs="Times New Roman"/>
                <w:sz w:val="24"/>
                <w:szCs w:val="24"/>
              </w:rPr>
              <w:t>固体废弃物执行</w:t>
            </w:r>
            <w:r>
              <w:rPr>
                <w:rFonts w:hint="eastAsia" w:ascii="Times New Roman" w:hAnsi="Times New Roman" w:cs="Times New Roman"/>
                <w:sz w:val="24"/>
                <w:szCs w:val="24"/>
                <w:lang w:eastAsia="zh-CN"/>
              </w:rPr>
              <w:t>《</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"http://www.mee.gov.cn/ywgz/fgbz/bz/bzwb/gthw/gtfwwrkzbz/202012/W020201218695845325455.pdf"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一般工业固体废物贮存和填埋污染控制标准</w:t>
            </w:r>
            <w:r>
              <w:rPr>
                <w:rFonts w:hint="eastAsia" w:ascii="Times New Roman" w:hAnsi="Times New Roman" w:cs="Times New Roman"/>
                <w:sz w:val="24"/>
                <w:szCs w:val="24"/>
                <w:lang w:eastAsia="zh-CN"/>
              </w:rPr>
              <w:t>》</w:t>
            </w:r>
            <w:r>
              <w:rPr>
                <w:rFonts w:hint="default" w:ascii="Times New Roman" w:hAnsi="Times New Roman" w:cs="Times New Roman"/>
                <w:sz w:val="24"/>
                <w:szCs w:val="24"/>
              </w:rPr>
              <w:t>（GB 18599-2020）</w:t>
            </w:r>
            <w:r>
              <w:rPr>
                <w:rFonts w:hint="default" w:ascii="Times New Roman" w:hAnsi="Times New Roman" w:cs="Times New Roman"/>
                <w:sz w:val="24"/>
                <w:szCs w:val="24"/>
              </w:rPr>
              <w:fldChar w:fldCharType="end"/>
            </w:r>
            <w:r>
              <w:rPr>
                <w:rFonts w:hint="eastAsia" w:ascii="Times New Roman" w:hAnsi="Times New Roman" w:cs="Times New Roman"/>
                <w:sz w:val="24"/>
                <w:szCs w:val="24"/>
                <w:lang w:eastAsia="zh-CN"/>
              </w:rPr>
              <w:t>要求及</w:t>
            </w:r>
            <w:r>
              <w:rPr>
                <w:rFonts w:hint="eastAsia" w:cs="Times New Roman"/>
                <w:color w:val="000000"/>
                <w:sz w:val="24"/>
                <w:lang w:eastAsia="zh-CN"/>
              </w:rPr>
              <w:t>《</w:t>
            </w:r>
            <w:bookmarkStart w:id="4" w:name="OLE_LINK10"/>
            <w:r>
              <w:rPr>
                <w:rFonts w:hint="eastAsia" w:cs="Times New Roman"/>
                <w:color w:val="000000"/>
                <w:sz w:val="24"/>
                <w:lang w:eastAsia="zh-CN"/>
              </w:rPr>
              <w:t>危险废物贮存污染控制标准》（GB18597-2023）</w:t>
            </w:r>
            <w:bookmarkEnd w:id="4"/>
            <w:r>
              <w:rPr>
                <w:rFonts w:hint="default" w:ascii="Times New Roman" w:hAnsi="Times New Roman" w:cs="Times New Roman"/>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88" w:hRule="atLeast"/>
          <w:jc w:val="center"/>
        </w:trPr>
        <w:tc>
          <w:tcPr>
            <w:tcW w:w="800" w:type="dxa"/>
            <w:noWrap w:val="0"/>
            <w:vAlign w:val="center"/>
          </w:tcPr>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总量</w:t>
            </w:r>
          </w:p>
          <w:p>
            <w:pPr>
              <w:adjustRightInd w:val="0"/>
              <w:snapToGrid w:val="0"/>
              <w:jc w:val="center"/>
              <w:rPr>
                <w:rFonts w:hint="eastAsia" w:ascii="宋体" w:hAnsi="宋体" w:cs="宋体"/>
                <w:kern w:val="0"/>
                <w:sz w:val="24"/>
                <w:szCs w:val="24"/>
              </w:rPr>
            </w:pPr>
            <w:r>
              <w:rPr>
                <w:rFonts w:hint="eastAsia" w:ascii="宋体" w:hAnsi="宋体" w:cs="宋体"/>
                <w:kern w:val="0"/>
                <w:sz w:val="24"/>
                <w:szCs w:val="24"/>
              </w:rPr>
              <w:t>控制</w:t>
            </w:r>
          </w:p>
          <w:p>
            <w:pPr>
              <w:adjustRightInd w:val="0"/>
              <w:snapToGrid w:val="0"/>
              <w:jc w:val="center"/>
              <w:rPr>
                <w:rFonts w:ascii="宋体" w:hAnsi="宋体" w:cs="宋体"/>
                <w:kern w:val="0"/>
                <w:sz w:val="24"/>
                <w:szCs w:val="24"/>
              </w:rPr>
            </w:pPr>
            <w:r>
              <w:rPr>
                <w:rFonts w:hint="eastAsia" w:ascii="宋体" w:hAnsi="宋体" w:cs="宋体"/>
                <w:kern w:val="0"/>
                <w:sz w:val="24"/>
                <w:szCs w:val="24"/>
              </w:rPr>
              <w:t>指标</w:t>
            </w:r>
          </w:p>
        </w:tc>
        <w:tc>
          <w:tcPr>
            <w:tcW w:w="8030" w:type="dxa"/>
            <w:noWrap w:val="0"/>
            <w:vAlign w:val="center"/>
          </w:tcPr>
          <w:p>
            <w:pPr>
              <w:keepNext/>
              <w:keepLines w:val="0"/>
              <w:pageBreakBefore w:val="0"/>
              <w:widowControl w:val="0"/>
              <w:kinsoku/>
              <w:wordWrap/>
              <w:overflowPunct w:val="0"/>
              <w:topLinePunct w:val="0"/>
              <w:autoSpaceDE/>
              <w:autoSpaceDN/>
              <w:bidi w:val="0"/>
              <w:adjustRightInd/>
              <w:snapToGrid w:val="0"/>
              <w:spacing w:before="157" w:beforeLines="50" w:after="0" w:line="240" w:lineRule="auto"/>
              <w:jc w:val="center"/>
              <w:textAlignment w:val="auto"/>
              <w:outlineLvl w:val="9"/>
              <w:rPr>
                <w:rFonts w:hint="default" w:ascii="Times New Roman" w:hAnsi="Times New Roman" w:eastAsia="宋体" w:cs="Times New Roman"/>
                <w:sz w:val="21"/>
                <w:szCs w:val="21"/>
                <w:lang w:val="en-US" w:eastAsia="zh-CN"/>
              </w:rPr>
            </w:pPr>
            <w:bookmarkStart w:id="5" w:name="OLE_LINK16"/>
            <w:r>
              <w:rPr>
                <w:rFonts w:hint="default" w:ascii="Times New Roman" w:hAnsi="Times New Roman" w:eastAsia="宋体" w:cs="Times New Roman"/>
                <w:sz w:val="21"/>
                <w:szCs w:val="21"/>
                <w:lang w:val="en-US" w:eastAsia="zh-CN"/>
              </w:rPr>
              <w:t>表21    总量控制指标</w:t>
            </w:r>
          </w:p>
          <w:tbl>
            <w:tblPr>
              <w:tblStyle w:val="2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1247"/>
              <w:gridCol w:w="1283"/>
              <w:gridCol w:w="937"/>
              <w:gridCol w:w="1107"/>
              <w:gridCol w:w="16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8" w:hRule="atLeast"/>
              </w:trPr>
              <w:tc>
                <w:tcPr>
                  <w:tcW w:w="997"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分类</w:t>
                  </w:r>
                </w:p>
              </w:tc>
              <w:tc>
                <w:tcPr>
                  <w:tcW w:w="80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污染物名称</w:t>
                  </w:r>
                </w:p>
              </w:tc>
              <w:tc>
                <w:tcPr>
                  <w:tcW w:w="824"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现有工程</w:t>
                  </w: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排放量</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包括未建项目）</w:t>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 1 \* GB3 \* MERGEFORMAT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①</w:t>
                  </w:r>
                  <w:r>
                    <w:rPr>
                      <w:rFonts w:hint="default" w:ascii="Times New Roman" w:hAnsi="Times New Roman" w:eastAsia="宋体" w:cs="Times New Roman"/>
                      <w:sz w:val="21"/>
                      <w:szCs w:val="21"/>
                    </w:rPr>
                    <w:fldChar w:fldCharType="end"/>
                  </w:r>
                </w:p>
              </w:tc>
              <w:tc>
                <w:tcPr>
                  <w:tcW w:w="602"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排放量</w:t>
                  </w:r>
                  <w:r>
                    <w:rPr>
                      <w:rFonts w:hint="default" w:ascii="Times New Roman" w:hAnsi="Times New Roman" w:eastAsia="宋体" w:cs="Times New Roman"/>
                      <w:sz w:val="21"/>
                      <w:szCs w:val="21"/>
                      <w:lang w:val="en-US" w:eastAsia="zh-CN"/>
                    </w:rPr>
                    <w:t>②</w:t>
                  </w:r>
                </w:p>
              </w:tc>
              <w:tc>
                <w:tcPr>
                  <w:tcW w:w="71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以新带老削减量</w:t>
                  </w:r>
                  <w:r>
                    <w:rPr>
                      <w:rFonts w:hint="default" w:ascii="Times New Roman" w:hAnsi="Times New Roman" w:eastAsia="宋体" w:cs="Times New Roman"/>
                      <w:sz w:val="21"/>
                      <w:szCs w:val="21"/>
                      <w:lang w:val="en-US" w:eastAsia="zh-CN"/>
                    </w:rPr>
                    <w:t>③</w:t>
                  </w:r>
                </w:p>
              </w:tc>
              <w:tc>
                <w:tcPr>
                  <w:tcW w:w="1062"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本项目建成后全厂排放量</w:t>
                  </w:r>
                  <w:r>
                    <w:rPr>
                      <w:rFonts w:hint="default" w:ascii="Times New Roman" w:hAnsi="Times New Roman" w:eastAsia="宋体" w:cs="Times New Roman"/>
                      <w:sz w:val="21"/>
                      <w:szCs w:val="21"/>
                      <w:lang w:val="en-US" w:eastAsia="zh-CN"/>
                    </w:rPr>
                    <w:t>④=①+②-③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997" w:type="pct"/>
                  <w:vMerge w:val="restar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废气</w:t>
                  </w:r>
                </w:p>
              </w:tc>
              <w:tc>
                <w:tcPr>
                  <w:tcW w:w="80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非甲烷总烃t/a</w:t>
                  </w:r>
                </w:p>
              </w:tc>
              <w:tc>
                <w:tcPr>
                  <w:tcW w:w="1283" w:type="dxa"/>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0.2</w:t>
                  </w:r>
                  <w:r>
                    <w:rPr>
                      <w:rFonts w:hint="eastAsia" w:cs="Times New Roman"/>
                      <w:sz w:val="21"/>
                      <w:szCs w:val="21"/>
                      <w:vertAlign w:val="baseline"/>
                      <w:lang w:val="en-US" w:eastAsia="zh-CN"/>
                    </w:rPr>
                    <w:t>233</w:t>
                  </w:r>
                </w:p>
              </w:tc>
              <w:tc>
                <w:tcPr>
                  <w:tcW w:w="937" w:type="dxa"/>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0.0</w:t>
                  </w:r>
                  <w:r>
                    <w:rPr>
                      <w:rFonts w:hint="eastAsia" w:cs="Times New Roman"/>
                      <w:sz w:val="21"/>
                      <w:szCs w:val="21"/>
                      <w:vertAlign w:val="baseline"/>
                      <w:lang w:val="en-US" w:eastAsia="zh-CN"/>
                    </w:rPr>
                    <w:t>512</w:t>
                  </w:r>
                </w:p>
              </w:tc>
              <w:tc>
                <w:tcPr>
                  <w:tcW w:w="1107" w:type="dxa"/>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0.0</w:t>
                  </w:r>
                  <w:r>
                    <w:rPr>
                      <w:rFonts w:hint="eastAsia" w:cs="Times New Roman"/>
                      <w:sz w:val="21"/>
                      <w:szCs w:val="21"/>
                      <w:vertAlign w:val="baseline"/>
                      <w:lang w:val="en-US" w:eastAsia="zh-CN"/>
                    </w:rPr>
                    <w:t>515</w:t>
                  </w:r>
                </w:p>
              </w:tc>
              <w:tc>
                <w:tcPr>
                  <w:tcW w:w="1654" w:type="dxa"/>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0.</w:t>
                  </w:r>
                  <w:r>
                    <w:rPr>
                      <w:rFonts w:hint="eastAsia" w:cs="Times New Roman"/>
                      <w:sz w:val="21"/>
                      <w:szCs w:val="21"/>
                      <w:vertAlign w:val="baseline"/>
                      <w:lang w:val="en-US" w:eastAsia="zh-CN"/>
                    </w:rPr>
                    <w:t>2230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997"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p>
              </w:tc>
              <w:tc>
                <w:tcPr>
                  <w:tcW w:w="80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颗粒物t/a</w:t>
                  </w:r>
                </w:p>
              </w:tc>
              <w:tc>
                <w:tcPr>
                  <w:tcW w:w="824"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r>
                    <w:rPr>
                      <w:rFonts w:hint="eastAsia" w:ascii="Times New Roman" w:hAnsi="Times New Roman" w:eastAsia="宋体" w:cs="Times New Roman"/>
                      <w:sz w:val="21"/>
                      <w:szCs w:val="21"/>
                      <w:lang w:val="en-US" w:eastAsia="zh-CN"/>
                    </w:rPr>
                    <w:t>78</w:t>
                  </w:r>
                </w:p>
              </w:tc>
              <w:tc>
                <w:tcPr>
                  <w:tcW w:w="60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r>
                    <w:rPr>
                      <w:rFonts w:hint="eastAsia" w:cs="Times New Roman"/>
                      <w:sz w:val="21"/>
                      <w:szCs w:val="21"/>
                      <w:lang w:val="en-US" w:eastAsia="zh-CN"/>
                    </w:rPr>
                    <w:t>31</w:t>
                  </w:r>
                </w:p>
              </w:tc>
              <w:tc>
                <w:tcPr>
                  <w:tcW w:w="71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0.0045</w:t>
                  </w:r>
                </w:p>
              </w:tc>
              <w:tc>
                <w:tcPr>
                  <w:tcW w:w="106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w:t>
                  </w:r>
                  <w:r>
                    <w:rPr>
                      <w:rFonts w:hint="eastAsia" w:cs="Times New Roman"/>
                      <w:sz w:val="21"/>
                      <w:szCs w:val="21"/>
                      <w:lang w:val="en-US" w:eastAsia="zh-CN"/>
                    </w:rPr>
                    <w:t>364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97" w:type="pct"/>
                  <w:vMerge w:val="restar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废水</w:t>
                  </w:r>
                </w:p>
              </w:tc>
              <w:tc>
                <w:tcPr>
                  <w:tcW w:w="801" w:type="pct"/>
                  <w:tcBorders>
                    <w:tl2br w:val="nil"/>
                    <w:tr2bl w:val="nil"/>
                  </w:tcBorders>
                  <w:vAlign w:val="center"/>
                </w:tcPr>
                <w:p>
                  <w:pPr>
                    <w:pStyle w:val="59"/>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COD</w:t>
                  </w:r>
                </w:p>
              </w:tc>
              <w:tc>
                <w:tcPr>
                  <w:tcW w:w="824"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1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06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97"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p>
              </w:tc>
              <w:tc>
                <w:tcPr>
                  <w:tcW w:w="801" w:type="pct"/>
                  <w:tcBorders>
                    <w:tl2br w:val="nil"/>
                    <w:tr2bl w:val="nil"/>
                  </w:tcBorders>
                  <w:vAlign w:val="center"/>
                </w:tcPr>
                <w:p>
                  <w:pPr>
                    <w:pStyle w:val="59"/>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氨氮</w:t>
                  </w:r>
                </w:p>
              </w:tc>
              <w:tc>
                <w:tcPr>
                  <w:tcW w:w="824"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1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062"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bookmarkEnd w:id="5"/>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both"/>
              <w:textAlignment w:val="auto"/>
              <w:outlineLvl w:val="9"/>
              <w:rPr>
                <w:rFonts w:hint="default"/>
                <w:sz w:val="24"/>
                <w:szCs w:val="24"/>
                <w:lang w:val="en-US" w:eastAsia="zh-CN"/>
              </w:rPr>
            </w:pPr>
            <w:r>
              <w:rPr>
                <w:rFonts w:hint="default"/>
                <w:sz w:val="24"/>
                <w:szCs w:val="24"/>
                <w:lang w:val="en-US" w:eastAsia="zh-CN"/>
              </w:rPr>
              <w:t>本项目建成后全厂不新增总量控制指标</w:t>
            </w:r>
            <w:r>
              <w:rPr>
                <w:rFonts w:hint="eastAsia"/>
                <w:sz w:val="24"/>
                <w:szCs w:val="24"/>
                <w:lang w:val="en-US" w:eastAsia="zh-CN"/>
              </w:rPr>
              <w:t>，以新带老自身削减替代，不需要进行区域削减替代。</w:t>
            </w:r>
            <w:r>
              <w:rPr>
                <w:rFonts w:hint="eastAsia"/>
                <w:sz w:val="24"/>
                <w:szCs w:val="24"/>
                <w:lang w:eastAsia="zh-CN"/>
              </w:rPr>
              <w:t>本项目</w:t>
            </w:r>
            <w:r>
              <w:rPr>
                <w:rFonts w:hint="eastAsia"/>
                <w:sz w:val="24"/>
                <w:szCs w:val="24"/>
                <w:lang w:val="en-US" w:eastAsia="zh-CN"/>
              </w:rPr>
              <w:t>非甲烷总烃排放量控制指标为0.0512t/a；颗粒物总量控制指标为0.0031t/a。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sz w:val="24"/>
                <w:szCs w:val="24"/>
                <w:lang w:val="en-US" w:eastAsia="zh-CN"/>
              </w:rPr>
            </w:pPr>
            <w:r>
              <w:rPr>
                <w:rFonts w:hint="eastAsia"/>
                <w:sz w:val="24"/>
                <w:szCs w:val="24"/>
                <w:lang w:val="en-US" w:eastAsia="zh-CN"/>
              </w:rPr>
              <w:t>项目建成后，全公司非甲烷总烃总量控制指标为0.2230t/a；颗粒物总量控制指标为0.0364t/a。</w:t>
            </w: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rPr>
                <w:rFonts w:hint="default"/>
                <w:lang w:val="en-US"/>
              </w:rPr>
            </w:pPr>
          </w:p>
        </w:tc>
      </w:tr>
    </w:tbl>
    <w:p>
      <w:pPr>
        <w:pStyle w:val="18"/>
        <w:keepNext w:val="0"/>
        <w:keepLines w:val="0"/>
        <w:pageBreakBefore w:val="0"/>
        <w:widowControl/>
        <w:kinsoku/>
        <w:wordWrap/>
        <w:overflowPunct/>
        <w:topLinePunct w:val="0"/>
        <w:autoSpaceDE/>
        <w:autoSpaceDN/>
        <w:bidi w:val="0"/>
        <w:adjustRightInd/>
        <w:snapToGrid/>
        <w:spacing w:before="120" w:beforeAutospacing="0" w:after="120" w:afterAutospacing="0"/>
        <w:jc w:val="center"/>
        <w:textAlignment w:val="auto"/>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2"/>
        <w:tblW w:w="88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9"/>
        <w:gridCol w:w="81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1" w:hRule="atLeast"/>
          <w:jc w:val="center"/>
        </w:trPr>
        <w:tc>
          <w:tcPr>
            <w:tcW w:w="669" w:type="dxa"/>
            <w:noWrap w:val="0"/>
            <w:tcMar>
              <w:left w:w="28" w:type="dxa"/>
              <w:right w:w="28" w:type="dxa"/>
            </w:tcMar>
            <w:vAlign w:val="center"/>
          </w:tcPr>
          <w:p>
            <w:pPr>
              <w:pStyle w:val="1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施工</w:t>
            </w:r>
          </w:p>
          <w:p>
            <w:pPr>
              <w:pStyle w:val="1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期环</w:t>
            </w:r>
          </w:p>
          <w:p>
            <w:pPr>
              <w:pStyle w:val="1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境保</w:t>
            </w:r>
          </w:p>
          <w:p>
            <w:pPr>
              <w:pStyle w:val="18"/>
              <w:adjustRightInd w:val="0"/>
              <w:snapToGrid w:val="0"/>
              <w:spacing w:before="0" w:beforeAutospacing="0" w:after="0" w:afterAutospacing="0"/>
              <w:jc w:val="center"/>
              <w:rPr>
                <w:rFonts w:hint="eastAsia" w:cs="宋体"/>
                <w:kern w:val="2"/>
                <w:sz w:val="24"/>
                <w:szCs w:val="24"/>
              </w:rPr>
            </w:pPr>
            <w:r>
              <w:rPr>
                <w:rFonts w:hint="eastAsia" w:cs="宋体"/>
                <w:kern w:val="2"/>
                <w:sz w:val="24"/>
                <w:szCs w:val="24"/>
              </w:rPr>
              <w:t>护措</w:t>
            </w:r>
          </w:p>
          <w:p>
            <w:pPr>
              <w:pStyle w:val="18"/>
              <w:adjustRightInd w:val="0"/>
              <w:snapToGrid w:val="0"/>
              <w:spacing w:before="0" w:beforeAutospacing="0" w:after="0" w:afterAutospacing="0"/>
              <w:jc w:val="center"/>
              <w:rPr>
                <w:rFonts w:hint="eastAsia" w:cs="宋体"/>
                <w:bCs/>
                <w:kern w:val="2"/>
                <w:sz w:val="24"/>
                <w:szCs w:val="24"/>
              </w:rPr>
            </w:pPr>
            <w:r>
              <w:rPr>
                <w:rFonts w:hint="eastAsia" w:cs="宋体"/>
                <w:kern w:val="2"/>
                <w:sz w:val="24"/>
                <w:szCs w:val="24"/>
              </w:rPr>
              <w:t>施</w:t>
            </w:r>
          </w:p>
        </w:tc>
        <w:tc>
          <w:tcPr>
            <w:tcW w:w="818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eastAsia="宋体" w:cs="宋体"/>
                <w:bCs/>
                <w:spacing w:val="-10"/>
                <w:szCs w:val="21"/>
                <w:lang w:val="en-US" w:eastAsia="zh-CN"/>
              </w:rPr>
            </w:pPr>
            <w:r>
              <w:rPr>
                <w:rFonts w:hint="eastAsia" w:ascii="宋体" w:hAnsi="宋体" w:cs="宋体"/>
                <w:bCs/>
                <w:spacing w:val="-10"/>
                <w:sz w:val="24"/>
                <w:szCs w:val="24"/>
                <w:lang w:val="en-US" w:eastAsia="zh-CN"/>
              </w:rPr>
              <w:t>本项目为利用现有空厂房，</w:t>
            </w:r>
            <w:r>
              <w:rPr>
                <w:rFonts w:hint="eastAsia"/>
                <w:sz w:val="24"/>
                <w:szCs w:val="24"/>
                <w:lang w:val="en-US" w:eastAsia="zh-CN"/>
              </w:rPr>
              <w:t>施工期仅安装设备，</w:t>
            </w:r>
            <w:r>
              <w:rPr>
                <w:rFonts w:hint="eastAsia" w:ascii="宋体" w:hAnsi="宋体" w:cs="宋体"/>
                <w:bCs/>
                <w:spacing w:val="-10"/>
                <w:sz w:val="24"/>
                <w:szCs w:val="24"/>
                <w:lang w:val="en-US" w:eastAsia="zh-CN"/>
              </w:rPr>
              <w:t>因此不存在施工期影响。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669" w:type="dxa"/>
            <w:noWrap w:val="0"/>
            <w:tcMar>
              <w:left w:w="28" w:type="dxa"/>
              <w:right w:w="28" w:type="dxa"/>
            </w:tcMar>
            <w:vAlign w:val="center"/>
          </w:tcPr>
          <w:p>
            <w:pPr>
              <w:adjustRightInd w:val="0"/>
              <w:snapToGrid w:val="0"/>
              <w:jc w:val="center"/>
              <w:rPr>
                <w:rFonts w:hint="eastAsia" w:ascii="宋体" w:hAnsi="宋体" w:cs="宋体"/>
                <w:bCs/>
                <w:sz w:val="24"/>
                <w:szCs w:val="24"/>
              </w:rPr>
            </w:pPr>
            <w:r>
              <w:rPr>
                <w:rFonts w:hint="eastAsia" w:ascii="宋体" w:hAnsi="宋体" w:cs="宋体"/>
                <w:bCs/>
                <w:sz w:val="24"/>
                <w:szCs w:val="24"/>
              </w:rPr>
              <w:t>运营</w:t>
            </w:r>
          </w:p>
          <w:p>
            <w:pPr>
              <w:adjustRightInd w:val="0"/>
              <w:snapToGrid w:val="0"/>
              <w:jc w:val="center"/>
              <w:rPr>
                <w:rFonts w:hint="eastAsia" w:ascii="宋体" w:hAnsi="宋体" w:cs="宋体"/>
                <w:bCs/>
                <w:sz w:val="24"/>
                <w:szCs w:val="24"/>
              </w:rPr>
            </w:pPr>
            <w:r>
              <w:rPr>
                <w:rFonts w:hint="eastAsia" w:ascii="宋体" w:hAnsi="宋体" w:cs="宋体"/>
                <w:bCs/>
                <w:sz w:val="24"/>
                <w:szCs w:val="24"/>
              </w:rPr>
              <w:t>期环</w:t>
            </w:r>
          </w:p>
          <w:p>
            <w:pPr>
              <w:adjustRightInd w:val="0"/>
              <w:snapToGrid w:val="0"/>
              <w:jc w:val="center"/>
              <w:rPr>
                <w:rFonts w:hint="eastAsia" w:ascii="宋体" w:hAnsi="宋体" w:cs="宋体"/>
                <w:bCs/>
                <w:sz w:val="24"/>
                <w:szCs w:val="24"/>
              </w:rPr>
            </w:pPr>
            <w:r>
              <w:rPr>
                <w:rFonts w:hint="eastAsia" w:ascii="宋体" w:hAnsi="宋体" w:cs="宋体"/>
                <w:bCs/>
                <w:sz w:val="24"/>
                <w:szCs w:val="24"/>
              </w:rPr>
              <w:t>境影</w:t>
            </w:r>
          </w:p>
          <w:p>
            <w:pPr>
              <w:adjustRightInd w:val="0"/>
              <w:snapToGrid w:val="0"/>
              <w:jc w:val="center"/>
              <w:rPr>
                <w:rFonts w:hint="eastAsia" w:ascii="宋体" w:hAnsi="宋体" w:cs="宋体"/>
                <w:bCs/>
                <w:sz w:val="24"/>
                <w:szCs w:val="24"/>
              </w:rPr>
            </w:pPr>
            <w:r>
              <w:rPr>
                <w:rFonts w:hint="eastAsia" w:ascii="宋体" w:hAnsi="宋体" w:cs="宋体"/>
                <w:bCs/>
                <w:sz w:val="24"/>
                <w:szCs w:val="24"/>
              </w:rPr>
              <w:t>响和</w:t>
            </w:r>
          </w:p>
          <w:p>
            <w:pPr>
              <w:adjustRightInd w:val="0"/>
              <w:snapToGrid w:val="0"/>
              <w:jc w:val="center"/>
              <w:rPr>
                <w:rFonts w:hint="eastAsia" w:ascii="宋体" w:hAnsi="宋体" w:cs="宋体"/>
                <w:bCs/>
                <w:sz w:val="24"/>
                <w:szCs w:val="24"/>
              </w:rPr>
            </w:pPr>
            <w:r>
              <w:rPr>
                <w:rFonts w:hint="eastAsia" w:ascii="宋体" w:hAnsi="宋体" w:cs="宋体"/>
                <w:bCs/>
                <w:sz w:val="24"/>
                <w:szCs w:val="24"/>
              </w:rPr>
              <w:t>保护</w:t>
            </w:r>
          </w:p>
          <w:p>
            <w:pPr>
              <w:adjustRightInd w:val="0"/>
              <w:snapToGrid w:val="0"/>
              <w:jc w:val="center"/>
              <w:rPr>
                <w:rFonts w:ascii="宋体" w:hAnsi="宋体" w:cs="宋体"/>
                <w:bCs/>
                <w:sz w:val="24"/>
                <w:szCs w:val="24"/>
              </w:rPr>
            </w:pPr>
            <w:r>
              <w:rPr>
                <w:rFonts w:hint="eastAsia" w:ascii="宋体" w:hAnsi="宋体" w:cs="宋体"/>
                <w:bCs/>
                <w:sz w:val="24"/>
                <w:szCs w:val="24"/>
              </w:rPr>
              <w:t>措施</w:t>
            </w:r>
          </w:p>
        </w:tc>
        <w:tc>
          <w:tcPr>
            <w:tcW w:w="8182" w:type="dxa"/>
            <w:noWrap w:val="0"/>
            <w:vAlign w:val="center"/>
          </w:tcPr>
          <w:p>
            <w:pPr>
              <w:keepNext w:val="0"/>
              <w:keepLines w:val="0"/>
              <w:pageBreakBefore w:val="0"/>
              <w:widowControl w:val="0"/>
              <w:tabs>
                <w:tab w:val="left" w:pos="375"/>
              </w:tabs>
              <w:kinsoku/>
              <w:wordWrap/>
              <w:overflowPunct/>
              <w:topLinePunct w:val="0"/>
              <w:bidi w:val="0"/>
              <w:adjustRightInd w:val="0"/>
              <w:snapToGrid w:val="0"/>
              <w:spacing w:line="360" w:lineRule="auto"/>
              <w:ind w:firstLine="482" w:firstLineChars="200"/>
              <w:jc w:val="both"/>
              <w:textAlignment w:val="baseline"/>
              <w:outlineLvl w:val="9"/>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lang w:eastAsia="zh-CN"/>
              </w:rPr>
              <w:t>（一）</w:t>
            </w:r>
            <w:r>
              <w:rPr>
                <w:rFonts w:hint="default" w:ascii="Times New Roman" w:hAnsi="Times New Roman" w:eastAsia="宋体" w:cs="Times New Roman"/>
                <w:b/>
                <w:bCs/>
                <w:sz w:val="24"/>
                <w:szCs w:val="24"/>
              </w:rPr>
              <w:t>、废气对环境的影响分析</w:t>
            </w:r>
          </w:p>
          <w:p>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大气污染源强核算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本项目所产生的大气污染物主要为破碎工艺产生的粉尘以及</w:t>
            </w:r>
            <w:r>
              <w:rPr>
                <w:rFonts w:hint="default" w:ascii="Times New Roman" w:hAnsi="Times New Roman" w:eastAsia="宋体" w:cs="Times New Roman"/>
                <w:sz w:val="24"/>
                <w:szCs w:val="24"/>
                <w:lang w:val="en-US" w:eastAsia="zh-CN"/>
              </w:rPr>
              <w:t>注塑</w:t>
            </w:r>
            <w:r>
              <w:rPr>
                <w:rFonts w:hint="eastAsia" w:cs="Times New Roman"/>
                <w:sz w:val="24"/>
                <w:szCs w:val="24"/>
                <w:lang w:val="en-US" w:eastAsia="zh-CN"/>
              </w:rPr>
              <w:t>、</w:t>
            </w:r>
            <w:r>
              <w:rPr>
                <w:rFonts w:hint="eastAsia"/>
                <w:sz w:val="24"/>
                <w:szCs w:val="24"/>
                <w:lang w:val="en-US" w:eastAsia="zh-CN"/>
              </w:rPr>
              <w:t>加热挤出、吹塑工序</w:t>
            </w:r>
            <w:r>
              <w:rPr>
                <w:rFonts w:hint="default" w:ascii="Times New Roman" w:hAnsi="Times New Roman" w:eastAsia="宋体" w:cs="Times New Roman"/>
                <w:sz w:val="24"/>
                <w:szCs w:val="24"/>
              </w:rPr>
              <w:t>产生的非甲烷总烃。</w:t>
            </w:r>
          </w:p>
          <w:p>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粉尘</w:t>
            </w:r>
          </w:p>
          <w:p>
            <w:pPr>
              <w:keepNext w:val="0"/>
              <w:keepLines w:val="0"/>
              <w:pageBreakBefore w:val="0"/>
              <w:widowControl w:val="0"/>
              <w:numPr>
                <w:ilvl w:val="0"/>
                <w:numId w:val="13"/>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有组织废气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1 \* GB3 \* MERGEFORMAT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①</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混合上料粉尘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rPr>
                <w:rFonts w:hint="eastAsia" w:ascii="Times New Roman" w:hAnsi="Times New Roman" w:eastAsia="宋体" w:cs="Times New Roman"/>
                <w:sz w:val="24"/>
                <w:szCs w:val="24"/>
                <w:lang w:val="en-US" w:eastAsia="zh-CN"/>
              </w:rPr>
            </w:pPr>
            <w:r>
              <w:rPr>
                <w:rFonts w:hint="eastAsia" w:cs="Times New Roman"/>
                <w:sz w:val="24"/>
                <w:szCs w:val="24"/>
                <w:lang w:val="en-US" w:eastAsia="zh-CN"/>
              </w:rPr>
              <w:t>本</w:t>
            </w:r>
            <w:r>
              <w:rPr>
                <w:rFonts w:hint="default" w:ascii="Times New Roman" w:hAnsi="Times New Roman" w:eastAsia="宋体" w:cs="Times New Roman"/>
                <w:sz w:val="24"/>
                <w:szCs w:val="24"/>
                <w:lang w:val="en-US" w:eastAsia="zh-CN"/>
              </w:rPr>
              <w:t>项目</w:t>
            </w:r>
            <w:r>
              <w:rPr>
                <w:rFonts w:hint="eastAsia"/>
                <w:sz w:val="24"/>
                <w:szCs w:val="24"/>
                <w:lang w:val="en-US" w:eastAsia="zh-CN"/>
              </w:rPr>
              <w:t>将外购高密度聚乙烯颗粒人工拆包后，</w:t>
            </w:r>
            <w:r>
              <w:rPr>
                <w:rFonts w:hint="eastAsia"/>
                <w:color w:val="000000" w:themeColor="text1"/>
                <w:spacing w:val="-2"/>
                <w:sz w:val="24"/>
                <w:szCs w:val="24"/>
                <w14:textFill>
                  <w14:solidFill>
                    <w14:schemeClr w14:val="tx1"/>
                  </w14:solidFill>
                </w14:textFill>
              </w:rPr>
              <w:t>采用自动投料器</w:t>
            </w:r>
            <w:r>
              <w:rPr>
                <w:rFonts w:hint="eastAsia"/>
                <w:color w:val="000000" w:themeColor="text1"/>
                <w:sz w:val="24"/>
                <w:szCs w:val="24"/>
                <w14:textFill>
                  <w14:solidFill>
                    <w14:schemeClr w14:val="tx1"/>
                  </w14:solidFill>
                </w14:textFill>
              </w:rPr>
              <w:t>投入上料料斗</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混料机为密闭设备，</w:t>
            </w:r>
            <w:r>
              <w:rPr>
                <w:rFonts w:hint="default"/>
                <w:sz w:val="24"/>
                <w:szCs w:val="24"/>
              </w:rPr>
              <w:t>混料后的原材料经过上料机输送至中空吹塑</w:t>
            </w:r>
            <w:r>
              <w:rPr>
                <w:rFonts w:hint="eastAsia"/>
                <w:sz w:val="24"/>
                <w:szCs w:val="24"/>
                <w:lang w:eastAsia="zh-CN"/>
              </w:rPr>
              <w:t>机</w:t>
            </w:r>
            <w:r>
              <w:rPr>
                <w:rFonts w:hint="default"/>
                <w:sz w:val="24"/>
                <w:szCs w:val="24"/>
              </w:rPr>
              <w:t>。本项目使用的上料机为螺旋上料机，外壳是由钢管通过法兰将各段连接为整体，输送时由</w:t>
            </w:r>
            <w:r>
              <w:rPr>
                <w:rFonts w:hint="eastAsia"/>
                <w:sz w:val="24"/>
                <w:szCs w:val="24"/>
                <w:lang w:eastAsia="zh-CN"/>
              </w:rPr>
              <w:t>密闭负压</w:t>
            </w:r>
            <w:r>
              <w:rPr>
                <w:rFonts w:hint="default"/>
                <w:sz w:val="24"/>
                <w:szCs w:val="24"/>
              </w:rPr>
              <w:t>管道</w:t>
            </w:r>
            <w:r>
              <w:rPr>
                <w:rFonts w:hint="eastAsia"/>
                <w:sz w:val="24"/>
                <w:szCs w:val="24"/>
                <w:lang w:eastAsia="zh-CN"/>
              </w:rPr>
              <w:t>真空</w:t>
            </w:r>
            <w:r>
              <w:rPr>
                <w:rFonts w:hint="default"/>
                <w:sz w:val="24"/>
                <w:szCs w:val="24"/>
              </w:rPr>
              <w:t>输送，具有良好的密封性，</w:t>
            </w:r>
            <w:r>
              <w:rPr>
                <w:rFonts w:hint="eastAsia"/>
                <w:sz w:val="24"/>
                <w:szCs w:val="24"/>
                <w:lang w:val="en-US" w:eastAsia="zh-CN"/>
              </w:rPr>
              <w:t>且项目原料为颗粒状，</w:t>
            </w:r>
            <w:r>
              <w:rPr>
                <w:rFonts w:hint="default"/>
                <w:sz w:val="24"/>
                <w:szCs w:val="24"/>
              </w:rPr>
              <w:t>故上料</w:t>
            </w:r>
            <w:r>
              <w:rPr>
                <w:rFonts w:hint="eastAsia"/>
                <w:sz w:val="24"/>
                <w:szCs w:val="24"/>
                <w:lang w:eastAsia="zh-CN"/>
              </w:rPr>
              <w:t>、混料</w:t>
            </w:r>
            <w:r>
              <w:rPr>
                <w:rFonts w:hint="default"/>
                <w:sz w:val="24"/>
                <w:szCs w:val="24"/>
              </w:rPr>
              <w:t>过程中无粉尘产生</w:t>
            </w:r>
            <w:r>
              <w:rPr>
                <w:rFonts w:hint="eastAsia"/>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2 \* GB3 \* MERGEFORMAT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rPr>
              <w:t>②</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破碎粉尘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w:t>
            </w:r>
            <w:r>
              <w:rPr>
                <w:rFonts w:hint="eastAsia" w:cs="Times New Roman"/>
                <w:sz w:val="24"/>
                <w:szCs w:val="24"/>
                <w:lang w:val="en-US" w:eastAsia="zh-CN"/>
              </w:rPr>
              <w:t>为</w:t>
            </w:r>
            <w:r>
              <w:rPr>
                <w:rFonts w:hint="default" w:ascii="Times New Roman" w:hAnsi="Times New Roman" w:eastAsia="宋体" w:cs="Times New Roman"/>
                <w:sz w:val="24"/>
                <w:szCs w:val="24"/>
                <w:lang w:val="en-US" w:eastAsia="zh-CN"/>
              </w:rPr>
              <w:t>年产</w:t>
            </w:r>
            <w:r>
              <w:rPr>
                <w:rFonts w:hint="eastAsia" w:cs="Times New Roman"/>
                <w:sz w:val="24"/>
                <w:szCs w:val="24"/>
                <w:lang w:val="en-US" w:eastAsia="zh-CN"/>
              </w:rPr>
              <w:t>13</w:t>
            </w:r>
            <w:r>
              <w:rPr>
                <w:rFonts w:hint="default" w:ascii="Times New Roman" w:hAnsi="Times New Roman" w:eastAsia="宋体" w:cs="Times New Roman"/>
                <w:sz w:val="24"/>
                <w:szCs w:val="24"/>
                <w:lang w:val="en-US" w:eastAsia="zh-CN"/>
              </w:rPr>
              <w:t>万</w:t>
            </w:r>
            <w:r>
              <w:rPr>
                <w:rFonts w:hint="eastAsia" w:cs="Times New Roman"/>
                <w:sz w:val="24"/>
                <w:szCs w:val="24"/>
                <w:lang w:val="en-US" w:eastAsia="zh-CN"/>
              </w:rPr>
              <w:t>只</w:t>
            </w:r>
            <w:r>
              <w:rPr>
                <w:rFonts w:hint="default" w:ascii="Times New Roman" w:hAnsi="Times New Roman" w:eastAsia="宋体" w:cs="Times New Roman"/>
                <w:sz w:val="24"/>
                <w:szCs w:val="24"/>
                <w:lang w:val="en-US" w:eastAsia="zh-CN"/>
              </w:rPr>
              <w:t>塑料</w:t>
            </w:r>
            <w:r>
              <w:rPr>
                <w:rFonts w:hint="eastAsia" w:cs="Times New Roman"/>
                <w:sz w:val="24"/>
                <w:szCs w:val="24"/>
                <w:lang w:val="en-US" w:eastAsia="zh-CN"/>
              </w:rPr>
              <w:t>包装容器</w:t>
            </w:r>
            <w:r>
              <w:rPr>
                <w:rFonts w:hint="default" w:ascii="Times New Roman" w:hAnsi="Times New Roman" w:eastAsia="宋体" w:cs="Times New Roman"/>
                <w:sz w:val="24"/>
                <w:szCs w:val="24"/>
                <w:lang w:val="en-US" w:eastAsia="zh-CN"/>
              </w:rPr>
              <w:t>，项目生产过程中</w:t>
            </w:r>
            <w:r>
              <w:rPr>
                <w:rFonts w:hint="eastAsia"/>
                <w:sz w:val="24"/>
                <w:szCs w:val="24"/>
                <w:lang w:val="en-US" w:eastAsia="zh-CN"/>
              </w:rPr>
              <w:t>产生的</w:t>
            </w:r>
            <w:r>
              <w:rPr>
                <w:rFonts w:hint="eastAsia" w:cs="Times New Roman"/>
                <w:bCs/>
                <w:iCs/>
                <w:color w:val="auto"/>
                <w:sz w:val="24"/>
                <w:szCs w:val="24"/>
                <w:u w:val="none"/>
                <w:lang w:val="en-US" w:eastAsia="zh-CN"/>
              </w:rPr>
              <w:t>不合格品、废边角料产生量约为75t/a，</w:t>
            </w:r>
            <w:r>
              <w:rPr>
                <w:rFonts w:hint="default" w:ascii="Times New Roman" w:hAnsi="Times New Roman" w:eastAsia="宋体" w:cs="Times New Roman"/>
                <w:sz w:val="24"/>
                <w:szCs w:val="24"/>
                <w:lang w:val="en-US" w:eastAsia="zh-CN"/>
              </w:rPr>
              <w:t>产生的不合格产品</w:t>
            </w:r>
            <w:r>
              <w:rPr>
                <w:rFonts w:hint="eastAsia"/>
                <w:sz w:val="24"/>
                <w:szCs w:val="24"/>
                <w:lang w:val="en-US" w:eastAsia="zh-CN"/>
              </w:rPr>
              <w:t>和废边角料</w:t>
            </w:r>
            <w:r>
              <w:rPr>
                <w:rFonts w:hint="default" w:ascii="Times New Roman" w:hAnsi="Times New Roman" w:eastAsia="宋体" w:cs="Times New Roman"/>
                <w:sz w:val="24"/>
                <w:szCs w:val="24"/>
                <w:lang w:val="en-US" w:eastAsia="zh-CN"/>
              </w:rPr>
              <w:t>进回收系统重新破碎成颗粒状，作为原料循环利用。在破碎的过程中会产生少量的破碎粉尘，在</w:t>
            </w:r>
            <w:r>
              <w:rPr>
                <w:rFonts w:hint="eastAsia" w:cs="Times New Roman"/>
                <w:sz w:val="24"/>
                <w:szCs w:val="24"/>
                <w:lang w:val="en-US" w:eastAsia="zh-CN"/>
              </w:rPr>
              <w:t>破碎</w:t>
            </w:r>
            <w:r>
              <w:rPr>
                <w:rFonts w:hint="default" w:ascii="Times New Roman" w:hAnsi="Times New Roman" w:eastAsia="宋体" w:cs="Times New Roman"/>
                <w:sz w:val="24"/>
                <w:szCs w:val="24"/>
                <w:lang w:val="en-US" w:eastAsia="zh-CN"/>
              </w:rPr>
              <w:t>机上方分别设集气罩（收集口采用喇叭口形状其收集面积应超过投影面边长至少10cm</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，经引风机使产尘区域形成微负压，含尘废气引至</w:t>
            </w:r>
            <w:r>
              <w:rPr>
                <w:rFonts w:hint="eastAsia" w:cs="Times New Roman"/>
                <w:sz w:val="24"/>
                <w:szCs w:val="24"/>
                <w:lang w:val="en-US" w:eastAsia="zh-CN"/>
              </w:rPr>
              <w:t>袋式除尘器</w:t>
            </w:r>
            <w:r>
              <w:rPr>
                <w:rFonts w:hint="default" w:ascii="Times New Roman" w:hAnsi="Times New Roman" w:eastAsia="宋体" w:cs="Times New Roman"/>
                <w:sz w:val="24"/>
                <w:szCs w:val="24"/>
                <w:lang w:val="en-US" w:eastAsia="zh-CN"/>
              </w:rPr>
              <w:t>处理，最终经1根15m高排气筒</w:t>
            </w:r>
            <w:r>
              <w:rPr>
                <w:rFonts w:hint="eastAsia" w:cs="Times New Roman"/>
                <w:sz w:val="24"/>
                <w:szCs w:val="24"/>
                <w:lang w:val="en-US" w:eastAsia="zh-CN"/>
              </w:rPr>
              <w:t>P</w:t>
            </w:r>
            <w:r>
              <w:rPr>
                <w:rFonts w:hint="default" w:ascii="Times New Roman" w:hAnsi="Times New Roman" w:eastAsia="宋体" w:cs="Times New Roman"/>
                <w:sz w:val="24"/>
                <w:szCs w:val="24"/>
                <w:lang w:val="en-US" w:eastAsia="zh-CN"/>
              </w:rPr>
              <w:t>1排放。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该治理措施工艺属于</w:t>
            </w:r>
            <w:bookmarkStart w:id="6" w:name="OLE_LINK14"/>
            <w:r>
              <w:rPr>
                <w:rFonts w:hint="default" w:ascii="Times New Roman" w:hAnsi="Times New Roman" w:eastAsia="宋体" w:cs="Times New Roman"/>
                <w:sz w:val="24"/>
                <w:szCs w:val="24"/>
              </w:rPr>
              <w:t>《</w:t>
            </w:r>
            <w:bookmarkStart w:id="7" w:name="OLE_LINK1"/>
            <w:r>
              <w:rPr>
                <w:rFonts w:hint="default" w:ascii="Times New Roman" w:hAnsi="Times New Roman" w:eastAsia="宋体" w:cs="Times New Roman"/>
                <w:sz w:val="24"/>
                <w:szCs w:val="24"/>
              </w:rPr>
              <w:t>排污许可证申请与核发技术规范  橡胶和塑料制品工业》</w:t>
            </w:r>
            <w:bookmarkEnd w:id="6"/>
            <w:r>
              <w:rPr>
                <w:rFonts w:hint="default" w:ascii="Times New Roman" w:hAnsi="Times New Roman" w:eastAsia="宋体" w:cs="Times New Roman"/>
                <w:sz w:val="24"/>
                <w:szCs w:val="24"/>
              </w:rPr>
              <w:t>（HJ1122-2020）</w:t>
            </w:r>
            <w:bookmarkEnd w:id="7"/>
            <w:r>
              <w:rPr>
                <w:rFonts w:hint="eastAsia" w:cs="Times New Roman"/>
                <w:sz w:val="24"/>
                <w:szCs w:val="24"/>
                <w:lang w:val="en-US" w:eastAsia="zh-CN"/>
              </w:rPr>
              <w:t>中根据</w:t>
            </w:r>
            <w:r>
              <w:rPr>
                <w:rFonts w:hint="default" w:ascii="Times New Roman" w:hAnsi="Times New Roman" w:eastAsia="宋体" w:cs="Times New Roman"/>
                <w:color w:val="000000"/>
                <w:kern w:val="0"/>
                <w:sz w:val="24"/>
                <w:szCs w:val="24"/>
                <w:lang w:val="en-US" w:eastAsia="zh-CN" w:bidi="ar"/>
              </w:rPr>
              <w:t>表 A.2 塑料制品工业排污单位废气污染防治可行技术参考表</w:t>
            </w:r>
            <w:r>
              <w:rPr>
                <w:rFonts w:hint="eastAsia" w:ascii="Times New Roman" w:hAnsi="Times New Roman" w:eastAsia="宋体" w:cs="Times New Roman"/>
                <w:color w:val="000000"/>
                <w:kern w:val="0"/>
                <w:sz w:val="24"/>
                <w:szCs w:val="24"/>
                <w:lang w:val="en-US" w:eastAsia="zh-CN" w:bidi="ar"/>
              </w:rPr>
              <w:t>可知</w:t>
            </w:r>
            <w:r>
              <w:rPr>
                <w:rFonts w:hint="eastAsia" w:ascii="宋体" w:hAnsi="宋体" w:eastAsia="宋体" w:cs="宋体"/>
                <w:color w:val="000000"/>
                <w:kern w:val="0"/>
                <w:sz w:val="24"/>
                <w:szCs w:val="24"/>
                <w:lang w:val="en-US" w:eastAsia="zh-CN" w:bidi="ar"/>
              </w:rPr>
              <w:t>塑料包装箱及容器</w:t>
            </w:r>
            <w:r>
              <w:rPr>
                <w:rFonts w:hint="default" w:ascii="Times New Roman" w:hAnsi="Times New Roman" w:eastAsia="宋体" w:cs="Times New Roman"/>
                <w:sz w:val="24"/>
                <w:szCs w:val="24"/>
              </w:rPr>
              <w:t>制</w:t>
            </w:r>
            <w:r>
              <w:rPr>
                <w:rFonts w:hint="eastAsia"/>
                <w:sz w:val="24"/>
                <w:szCs w:val="24"/>
                <w:lang w:val="en-US" w:eastAsia="zh-CN"/>
              </w:rPr>
              <w:t>造</w:t>
            </w:r>
            <w:r>
              <w:rPr>
                <w:rFonts w:hint="default" w:ascii="Times New Roman" w:hAnsi="Times New Roman" w:eastAsia="宋体" w:cs="Times New Roman"/>
                <w:sz w:val="24"/>
                <w:szCs w:val="24"/>
              </w:rPr>
              <w:t>中</w:t>
            </w:r>
            <w:r>
              <w:rPr>
                <w:rFonts w:hint="eastAsia" w:cs="Times New Roman"/>
                <w:sz w:val="24"/>
                <w:szCs w:val="24"/>
                <w:lang w:val="en-US" w:eastAsia="zh-CN"/>
              </w:rPr>
              <w:t>使用袋式除尘器处理破碎工序产生的颗粒物是</w:t>
            </w:r>
            <w:r>
              <w:rPr>
                <w:rFonts w:hint="default" w:ascii="Times New Roman" w:hAnsi="Times New Roman" w:eastAsia="宋体" w:cs="Times New Roman"/>
                <w:sz w:val="24"/>
                <w:szCs w:val="24"/>
              </w:rPr>
              <w:t>可行技术。</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default"/>
                <w:sz w:val="24"/>
                <w:szCs w:val="24"/>
                <w:lang w:val="en-US" w:eastAsia="zh-CN"/>
              </w:rPr>
            </w:pPr>
            <w:r>
              <w:rPr>
                <w:rFonts w:hint="eastAsia" w:cs="Times New Roman"/>
                <w:bCs/>
                <w:iCs/>
                <w:color w:val="auto"/>
                <w:sz w:val="24"/>
                <w:szCs w:val="24"/>
                <w:u w:val="none"/>
                <w:lang w:val="en-US" w:eastAsia="zh-CN"/>
              </w:rPr>
              <w:t>根据企业提供资料，本项目原料使用量为1500t，</w:t>
            </w:r>
            <w:r>
              <w:rPr>
                <w:rFonts w:hint="default" w:ascii="Times New Roman" w:hAnsi="Times New Roman" w:eastAsia="宋体" w:cs="Times New Roman"/>
                <w:bCs/>
                <w:iCs/>
                <w:color w:val="auto"/>
                <w:sz w:val="24"/>
                <w:szCs w:val="24"/>
                <w:u w:val="none"/>
                <w:lang w:val="en-US" w:eastAsia="zh-CN"/>
              </w:rPr>
              <w:t>不合格产品</w:t>
            </w:r>
            <w:r>
              <w:rPr>
                <w:rFonts w:hint="eastAsia" w:ascii="Times New Roman" w:hAnsi="Times New Roman" w:eastAsia="宋体" w:cs="Times New Roman"/>
                <w:bCs/>
                <w:iCs/>
                <w:color w:val="auto"/>
                <w:sz w:val="24"/>
                <w:szCs w:val="24"/>
                <w:u w:val="none"/>
                <w:lang w:val="en-US" w:eastAsia="zh-CN"/>
              </w:rPr>
              <w:t>、废边角料</w:t>
            </w:r>
            <w:r>
              <w:rPr>
                <w:rFonts w:hint="eastAsia" w:cs="Times New Roman"/>
                <w:bCs/>
                <w:iCs/>
                <w:color w:val="auto"/>
                <w:sz w:val="24"/>
                <w:szCs w:val="24"/>
                <w:u w:val="none"/>
                <w:lang w:val="en-US" w:eastAsia="zh-CN"/>
              </w:rPr>
              <w:t>产生量约为原料的5%，即不合格品、废边角料产生量约为75t/a，</w:t>
            </w:r>
            <w:r>
              <w:rPr>
                <w:rFonts w:hint="default" w:ascii="Times New Roman" w:hAnsi="Times New Roman" w:eastAsia="宋体" w:cs="Times New Roman"/>
                <w:bCs/>
                <w:iCs/>
                <w:color w:val="auto"/>
                <w:sz w:val="24"/>
                <w:szCs w:val="24"/>
                <w:u w:val="none"/>
                <w:lang w:val="en-US" w:eastAsia="zh-CN"/>
              </w:rPr>
              <w:t>不合格产品</w:t>
            </w:r>
            <w:r>
              <w:rPr>
                <w:rFonts w:hint="eastAsia" w:ascii="Times New Roman" w:hAnsi="Times New Roman" w:eastAsia="宋体" w:cs="Times New Roman"/>
                <w:bCs/>
                <w:iCs/>
                <w:color w:val="auto"/>
                <w:sz w:val="24"/>
                <w:szCs w:val="24"/>
                <w:u w:val="none"/>
                <w:lang w:val="en-US" w:eastAsia="zh-CN"/>
              </w:rPr>
              <w:t>、废边角料</w:t>
            </w:r>
            <w:r>
              <w:rPr>
                <w:rFonts w:hint="default" w:ascii="Times New Roman" w:hAnsi="Times New Roman" w:eastAsia="宋体" w:cs="Times New Roman"/>
                <w:bCs/>
                <w:iCs/>
                <w:color w:val="auto"/>
                <w:sz w:val="24"/>
                <w:szCs w:val="24"/>
                <w:u w:val="none"/>
                <w:lang w:val="en-US" w:eastAsia="zh-CN"/>
              </w:rPr>
              <w:t>使用</w:t>
            </w:r>
            <w:r>
              <w:rPr>
                <w:rFonts w:hint="eastAsia" w:cs="Times New Roman"/>
                <w:bCs/>
                <w:iCs/>
                <w:color w:val="auto"/>
                <w:sz w:val="24"/>
                <w:szCs w:val="24"/>
                <w:u w:val="none"/>
                <w:lang w:val="en-US" w:eastAsia="zh-CN"/>
              </w:rPr>
              <w:t>破碎</w:t>
            </w:r>
            <w:r>
              <w:rPr>
                <w:rFonts w:hint="default" w:ascii="Times New Roman" w:hAnsi="Times New Roman" w:eastAsia="宋体" w:cs="Times New Roman"/>
                <w:bCs/>
                <w:iCs/>
                <w:color w:val="auto"/>
                <w:sz w:val="24"/>
                <w:szCs w:val="24"/>
                <w:u w:val="none"/>
                <w:lang w:val="en-US" w:eastAsia="zh-CN"/>
              </w:rPr>
              <w:t>机进行</w:t>
            </w:r>
            <w:r>
              <w:rPr>
                <w:rFonts w:hint="eastAsia" w:cs="Times New Roman"/>
                <w:bCs/>
                <w:iCs/>
                <w:color w:val="auto"/>
                <w:sz w:val="24"/>
                <w:szCs w:val="24"/>
                <w:u w:val="none"/>
                <w:lang w:val="en-US" w:eastAsia="zh-CN"/>
              </w:rPr>
              <w:t>破碎</w:t>
            </w:r>
            <w:r>
              <w:rPr>
                <w:rFonts w:hint="default" w:ascii="Times New Roman" w:hAnsi="Times New Roman" w:eastAsia="宋体" w:cs="Times New Roman"/>
                <w:bCs/>
                <w:iCs/>
                <w:color w:val="auto"/>
                <w:sz w:val="24"/>
                <w:szCs w:val="24"/>
                <w:u w:val="none"/>
                <w:lang w:val="en-US" w:eastAsia="zh-CN"/>
              </w:rPr>
              <w:t>时会有粉尘产生，</w:t>
            </w:r>
            <w:r>
              <w:rPr>
                <w:rFonts w:hint="eastAsia" w:ascii="Times New Roman" w:hAnsi="Times New Roman" w:eastAsia="宋体" w:cs="Times New Roman"/>
                <w:bCs/>
                <w:iCs/>
                <w:color w:val="auto"/>
                <w:sz w:val="24"/>
                <w:szCs w:val="24"/>
                <w:u w:val="none"/>
                <w:lang w:val="en-US" w:eastAsia="zh-CN"/>
              </w:rPr>
              <w:t>参考《排放源统计调查产排污核算方法和系数手册（第二次污染源普查）-废弃资源综合利用行业系数手册》（2021年）产污系数</w:t>
            </w:r>
            <w:r>
              <w:rPr>
                <w:rFonts w:hint="eastAsia" w:ascii="Times New Roman" w:hAnsi="Times New Roman" w:eastAsia="宋体" w:cs="Times New Roman"/>
                <w:color w:val="auto"/>
                <w:sz w:val="24"/>
                <w:szCs w:val="24"/>
                <w:lang w:eastAsia="zh-CN"/>
              </w:rPr>
              <w:t>，按照</w:t>
            </w:r>
            <w:r>
              <w:rPr>
                <w:rFonts w:hint="eastAsia" w:ascii="Times New Roman" w:hAnsi="Times New Roman" w:eastAsia="宋体" w:cs="Times New Roman"/>
                <w:color w:val="auto"/>
                <w:sz w:val="24"/>
                <w:szCs w:val="24"/>
                <w:lang w:val="en-US" w:eastAsia="zh-CN"/>
              </w:rPr>
              <w:t>375g/t-原料计算</w:t>
            </w:r>
            <w:r>
              <w:rPr>
                <w:rFonts w:hint="default" w:ascii="Times New Roman" w:hAnsi="Times New Roman" w:eastAsia="宋体" w:cs="Times New Roman"/>
                <w:color w:val="auto"/>
                <w:sz w:val="24"/>
                <w:szCs w:val="24"/>
              </w:rPr>
              <w:t>，则</w:t>
            </w:r>
            <w:r>
              <w:rPr>
                <w:rFonts w:hint="eastAsia" w:ascii="Times New Roman" w:hAnsi="Times New Roman" w:eastAsia="宋体" w:cs="Times New Roman"/>
                <w:color w:val="auto"/>
                <w:sz w:val="24"/>
                <w:szCs w:val="24"/>
                <w:lang w:val="en-US" w:eastAsia="zh-CN"/>
              </w:rPr>
              <w:t>颗粒物排放</w:t>
            </w:r>
            <w:r>
              <w:rPr>
                <w:rFonts w:hint="default" w:ascii="Times New Roman" w:hAnsi="Times New Roman" w:eastAsia="宋体" w:cs="Times New Roman"/>
                <w:color w:val="auto"/>
                <w:sz w:val="24"/>
                <w:szCs w:val="24"/>
              </w:rPr>
              <w:t>量为</w:t>
            </w:r>
            <w:r>
              <w:rPr>
                <w:rFonts w:hint="eastAsia" w:ascii="Times New Roman" w:hAnsi="Times New Roman" w:eastAsia="宋体" w:cs="Times New Roman"/>
                <w:color w:val="auto"/>
                <w:sz w:val="24"/>
                <w:szCs w:val="24"/>
                <w:lang w:val="en-US" w:eastAsia="zh-CN"/>
              </w:rPr>
              <w:t>0.0</w:t>
            </w:r>
            <w:r>
              <w:rPr>
                <w:rFonts w:hint="eastAsia" w:cs="Times New Roman"/>
                <w:color w:val="auto"/>
                <w:sz w:val="24"/>
                <w:szCs w:val="24"/>
                <w:lang w:val="en-US" w:eastAsia="zh-CN"/>
              </w:rPr>
              <w:t>281</w:t>
            </w:r>
            <w:r>
              <w:rPr>
                <w:rFonts w:hint="eastAsia"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sz w:val="24"/>
                <w:szCs w:val="24"/>
                <w:lang w:val="en-US" w:eastAsia="zh-CN"/>
              </w:rPr>
              <w:t>本项目共有</w:t>
            </w:r>
            <w:r>
              <w:rPr>
                <w:rFonts w:hint="eastAsia" w:cs="Times New Roman"/>
                <w:sz w:val="24"/>
                <w:szCs w:val="24"/>
                <w:lang w:val="en-US" w:eastAsia="zh-CN"/>
              </w:rPr>
              <w:t>3</w:t>
            </w:r>
            <w:r>
              <w:rPr>
                <w:rFonts w:hint="default" w:ascii="Times New Roman" w:hAnsi="Times New Roman" w:eastAsia="宋体" w:cs="Times New Roman"/>
                <w:sz w:val="24"/>
                <w:szCs w:val="24"/>
                <w:lang w:val="en-US" w:eastAsia="zh-CN"/>
              </w:rPr>
              <w:t>台破碎机，</w:t>
            </w:r>
            <w:r>
              <w:rPr>
                <w:rFonts w:hint="eastAsia"/>
                <w:sz w:val="24"/>
                <w:szCs w:val="24"/>
                <w:lang w:eastAsia="zh-CN"/>
              </w:rPr>
              <w:t>不同时使用，</w:t>
            </w:r>
            <w:r>
              <w:rPr>
                <w:rFonts w:hint="default"/>
                <w:sz w:val="24"/>
                <w:szCs w:val="24"/>
                <w:lang w:val="en-US" w:eastAsia="zh-CN"/>
              </w:rPr>
              <w:t>建议按照实际情况，</w:t>
            </w:r>
            <w:r>
              <w:rPr>
                <w:rFonts w:hint="eastAsia"/>
                <w:sz w:val="24"/>
                <w:szCs w:val="24"/>
                <w:lang w:val="en-US" w:eastAsia="zh-CN"/>
              </w:rPr>
              <w:t>在破碎机上方设置3</w:t>
            </w:r>
            <w:r>
              <w:rPr>
                <w:rFonts w:hint="default"/>
                <w:sz w:val="24"/>
                <w:szCs w:val="24"/>
                <w:lang w:val="en-US" w:eastAsia="zh-CN"/>
              </w:rPr>
              <w:t>个集气罩</w:t>
            </w:r>
            <w:r>
              <w:rPr>
                <w:rFonts w:hint="eastAsia"/>
                <w:sz w:val="24"/>
                <w:szCs w:val="24"/>
                <w:lang w:val="en-US" w:eastAsia="zh-CN"/>
              </w:rPr>
              <w:t>，</w:t>
            </w:r>
            <w:r>
              <w:rPr>
                <w:rFonts w:hint="default"/>
                <w:sz w:val="24"/>
                <w:szCs w:val="24"/>
                <w:lang w:val="en-US" w:eastAsia="zh-CN"/>
              </w:rPr>
              <w:t>集气罩设计成漏斗状、投影面积不小于0</w:t>
            </w:r>
            <w:r>
              <w:rPr>
                <w:rFonts w:hint="eastAsia"/>
                <w:sz w:val="24"/>
                <w:szCs w:val="24"/>
                <w:lang w:val="en-US" w:eastAsia="zh-CN"/>
              </w:rPr>
              <w:t>.</w:t>
            </w:r>
            <w:r>
              <w:rPr>
                <w:rFonts w:hint="default"/>
                <w:sz w:val="24"/>
                <w:szCs w:val="24"/>
                <w:lang w:val="en-US" w:eastAsia="zh-CN"/>
              </w:rPr>
              <w:t>2m</w:t>
            </w:r>
            <w:r>
              <w:rPr>
                <w:rFonts w:hint="default"/>
                <w:sz w:val="24"/>
                <w:szCs w:val="24"/>
                <w:vertAlign w:val="superscript"/>
                <w:lang w:val="en-US" w:eastAsia="zh-CN"/>
              </w:rPr>
              <w:t>2</w:t>
            </w:r>
            <w:r>
              <w:rPr>
                <w:rFonts w:hint="default"/>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本项目破碎工序每天工作4h，年工作时间1040h。评价要求在破碎机上方安装集气罩，颗粒物经集气罩（集气效率为90%）进行收集。收集的颗粒物由</w:t>
            </w:r>
            <w:r>
              <w:rPr>
                <w:rFonts w:hint="eastAsia" w:cs="Times New Roman"/>
                <w:sz w:val="24"/>
                <w:szCs w:val="24"/>
                <w:lang w:val="en-US" w:eastAsia="zh-CN"/>
              </w:rPr>
              <w:t>袋式除尘器</w:t>
            </w:r>
            <w:r>
              <w:rPr>
                <w:rFonts w:hint="default" w:ascii="Times New Roman" w:hAnsi="Times New Roman" w:eastAsia="宋体" w:cs="Times New Roman"/>
                <w:sz w:val="24"/>
                <w:szCs w:val="24"/>
                <w:lang w:val="en-US" w:eastAsia="zh-CN"/>
              </w:rPr>
              <w:t>（除尘效率99%）进行处理，处理后经15m排气筒</w:t>
            </w:r>
            <w:r>
              <w:rPr>
                <w:rFonts w:hint="eastAsia" w:cs="Times New Roman"/>
                <w:sz w:val="24"/>
                <w:szCs w:val="24"/>
                <w:lang w:val="en-US" w:eastAsia="zh-CN"/>
              </w:rPr>
              <w:t>DA001</w:t>
            </w:r>
            <w:r>
              <w:rPr>
                <w:rFonts w:hint="default" w:ascii="Times New Roman" w:hAnsi="Times New Roman" w:eastAsia="宋体" w:cs="Times New Roman"/>
                <w:sz w:val="24"/>
                <w:szCs w:val="24"/>
                <w:lang w:val="en-US" w:eastAsia="zh-CN"/>
              </w:rPr>
              <w:t>排放。</w:t>
            </w:r>
          </w:p>
          <w:p>
            <w:pPr>
              <w:pageBreakBefore w:val="0"/>
              <w:numPr>
                <w:ilvl w:val="0"/>
                <w:numId w:val="0"/>
              </w:numPr>
              <w:kinsoku/>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根据《大气污染控制工程》（第三版）中集气罩风量计算公式：</w:t>
            </w:r>
          </w:p>
          <w:p>
            <w:pPr>
              <w:pageBreakBefore w:val="0"/>
              <w:numPr>
                <w:ilvl w:val="0"/>
                <w:numId w:val="0"/>
              </w:numPr>
              <w:kinsoku/>
              <w:overflowPunct/>
              <w:topLinePunct w:val="0"/>
              <w:bidi w:val="0"/>
              <w:adjustRightInd w:val="0"/>
              <w:snapToGrid w:val="0"/>
              <w:spacing w:line="360" w:lineRule="auto"/>
              <w:ind w:firstLine="480" w:firstLineChars="200"/>
              <w:jc w:val="center"/>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Q=0.75*(10X</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+A)*</w:t>
            </w:r>
            <w:r>
              <w:rPr>
                <w:rFonts w:hint="eastAsia" w:cs="Times New Roman"/>
                <w:sz w:val="24"/>
                <w:szCs w:val="24"/>
                <w:lang w:val="en-US" w:eastAsia="zh-CN"/>
              </w:rPr>
              <w:t>Vx</w:t>
            </w:r>
          </w:p>
          <w:p>
            <w:pPr>
              <w:pageBreakBefore w:val="0"/>
              <w:numPr>
                <w:ilvl w:val="0"/>
                <w:numId w:val="0"/>
              </w:numPr>
              <w:kinsoku/>
              <w:overflowPunct/>
              <w:topLinePunct w:val="0"/>
              <w:bidi w:val="0"/>
              <w:adjustRightInd w:val="0"/>
              <w:snapToGrid w:val="0"/>
              <w:spacing w:line="360" w:lineRule="auto"/>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式中：Q—集气罩排风量，m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/s；</w:t>
            </w:r>
          </w:p>
          <w:p>
            <w:pPr>
              <w:pageBreakBefore w:val="0"/>
              <w:numPr>
                <w:ilvl w:val="0"/>
                <w:numId w:val="0"/>
              </w:numPr>
              <w:kinsoku/>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X—污染物产生点至罩口的距离，m，本项目取0.5；</w:t>
            </w:r>
          </w:p>
          <w:p>
            <w:pPr>
              <w:pageBreakBefore w:val="0"/>
              <w:numPr>
                <w:ilvl w:val="0"/>
                <w:numId w:val="0"/>
              </w:numPr>
              <w:kinsoku/>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A—罩口面积，m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w:t>
            </w:r>
          </w:p>
          <w:p>
            <w:pPr>
              <w:pageBreakBefore w:val="0"/>
              <w:numPr>
                <w:ilvl w:val="0"/>
                <w:numId w:val="0"/>
              </w:numPr>
              <w:kinsoku/>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lang w:val="en-US" w:eastAsia="zh-CN"/>
              </w:rPr>
            </w:pPr>
            <w:r>
              <w:rPr>
                <w:rFonts w:hint="eastAsia" w:cs="Times New Roman"/>
                <w:sz w:val="24"/>
                <w:szCs w:val="24"/>
                <w:lang w:val="en-US" w:eastAsia="zh-CN"/>
              </w:rPr>
              <w:t>V</w:t>
            </w:r>
            <w:r>
              <w:rPr>
                <w:rFonts w:hint="default" w:ascii="Times New Roman" w:hAnsi="Times New Roman" w:eastAsia="宋体" w:cs="Times New Roman"/>
                <w:sz w:val="24"/>
                <w:szCs w:val="24"/>
                <w:lang w:val="en-US" w:eastAsia="zh-CN"/>
              </w:rPr>
              <w:t>x—最小控制风速，m/s，一般取0.25~0.5m/s，本项目取0.5m/s。</w:t>
            </w:r>
          </w:p>
          <w:p>
            <w:pPr>
              <w:adjustRightInd w:val="0"/>
              <w:snapToGrid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w:t>
            </w:r>
            <w:r>
              <w:rPr>
                <w:rFonts w:hint="eastAsia"/>
                <w:sz w:val="24"/>
                <w:szCs w:val="24"/>
                <w:lang w:val="en-US" w:eastAsia="zh-CN"/>
              </w:rPr>
              <w:t>在破碎机上方分别</w:t>
            </w:r>
            <w:r>
              <w:rPr>
                <w:rFonts w:hint="default" w:ascii="Times New Roman" w:hAnsi="Times New Roman" w:eastAsia="宋体" w:cs="Times New Roman"/>
                <w:sz w:val="24"/>
                <w:szCs w:val="24"/>
                <w:lang w:val="en-US" w:eastAsia="zh-CN"/>
              </w:rPr>
              <w:t>设</w:t>
            </w:r>
            <w:r>
              <w:rPr>
                <w:rFonts w:hint="eastAsia" w:cs="Times New Roman"/>
                <w:sz w:val="24"/>
                <w:szCs w:val="24"/>
                <w:lang w:val="en-US" w:eastAsia="zh-CN"/>
              </w:rPr>
              <w:t>3</w:t>
            </w:r>
            <w:r>
              <w:rPr>
                <w:rFonts w:hint="default" w:ascii="Times New Roman" w:hAnsi="Times New Roman" w:eastAsia="宋体" w:cs="Times New Roman"/>
                <w:sz w:val="24"/>
                <w:szCs w:val="24"/>
                <w:lang w:val="en-US" w:eastAsia="zh-CN"/>
              </w:rPr>
              <w:t>个</w:t>
            </w:r>
            <w:r>
              <w:rPr>
                <w:rFonts w:hint="eastAsia" w:cs="Times New Roman"/>
                <w:sz w:val="24"/>
                <w:szCs w:val="24"/>
                <w:lang w:val="en-US" w:eastAsia="zh-CN"/>
              </w:rPr>
              <w:t>正</w:t>
            </w:r>
            <w:r>
              <w:rPr>
                <w:rFonts w:hint="default" w:ascii="Times New Roman" w:hAnsi="Times New Roman" w:eastAsia="宋体" w:cs="Times New Roman"/>
                <w:sz w:val="24"/>
                <w:szCs w:val="24"/>
                <w:lang w:val="en-US" w:eastAsia="zh-CN"/>
              </w:rPr>
              <w:t>方形集气罩，集气罩面积为0.25m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（0.5m*0.5m），经计算可得，</w:t>
            </w:r>
            <w:r>
              <w:rPr>
                <w:rFonts w:hint="eastAsia" w:cs="Times New Roman"/>
                <w:sz w:val="24"/>
                <w:szCs w:val="24"/>
                <w:lang w:val="en-US" w:eastAsia="zh-CN"/>
              </w:rPr>
              <w:t>单个集气罩</w:t>
            </w:r>
            <w:r>
              <w:rPr>
                <w:rFonts w:hint="default" w:ascii="Times New Roman" w:hAnsi="Times New Roman" w:eastAsia="宋体" w:cs="Times New Roman"/>
                <w:sz w:val="24"/>
                <w:szCs w:val="24"/>
                <w:lang w:val="en-US" w:eastAsia="zh-CN"/>
              </w:rPr>
              <w:t>总风量为1.0313m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/s，3712.5m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/h。为了更好的满足及保证处理风量的需求，本项目选用风量为</w:t>
            </w:r>
            <w:r>
              <w:rPr>
                <w:rFonts w:hint="eastAsia" w:cs="Times New Roman"/>
                <w:sz w:val="24"/>
                <w:szCs w:val="24"/>
                <w:lang w:val="en-US" w:eastAsia="zh-CN"/>
              </w:rPr>
              <w:t>12000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/h的风机。</w:t>
            </w:r>
          </w:p>
          <w:p>
            <w:pPr>
              <w:adjustRightInd w:val="0"/>
              <w:snapToGrid w:val="0"/>
              <w:spacing w:line="360" w:lineRule="auto"/>
              <w:ind w:firstLine="480" w:firstLineChars="200"/>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本项目生产工艺粉尘产生量为0.0</w:t>
            </w:r>
            <w:r>
              <w:rPr>
                <w:rFonts w:hint="eastAsia" w:cs="Times New Roman"/>
                <w:sz w:val="24"/>
                <w:szCs w:val="24"/>
                <w:lang w:val="en-US" w:eastAsia="zh-CN"/>
              </w:rPr>
              <w:t>281</w:t>
            </w:r>
            <w:r>
              <w:rPr>
                <w:rFonts w:hint="default" w:ascii="Times New Roman" w:hAnsi="Times New Roman" w:eastAsia="宋体" w:cs="Times New Roman"/>
                <w:sz w:val="24"/>
                <w:szCs w:val="24"/>
                <w:lang w:val="en-US" w:eastAsia="zh-CN"/>
              </w:rPr>
              <w:t>t/a。经过</w:t>
            </w:r>
            <w:r>
              <w:rPr>
                <w:rFonts w:hint="eastAsia" w:cs="Times New Roman"/>
                <w:sz w:val="24"/>
                <w:szCs w:val="24"/>
                <w:lang w:val="en-US" w:eastAsia="zh-CN"/>
              </w:rPr>
              <w:t>袋式除尘器</w:t>
            </w:r>
            <w:r>
              <w:rPr>
                <w:rFonts w:hint="default" w:ascii="Times New Roman" w:hAnsi="Times New Roman" w:eastAsia="宋体" w:cs="Times New Roman"/>
                <w:sz w:val="24"/>
                <w:szCs w:val="24"/>
                <w:lang w:val="en-US" w:eastAsia="zh-CN"/>
              </w:rPr>
              <w:t>的有效风量为</w:t>
            </w:r>
            <w:r>
              <w:rPr>
                <w:rFonts w:hint="eastAsia" w:cs="Times New Roman"/>
                <w:sz w:val="24"/>
                <w:szCs w:val="24"/>
                <w:lang w:val="en-US" w:eastAsia="zh-CN"/>
              </w:rPr>
              <w:t>12000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/h（设备运行时间4h/d，全年运行时间为1040h/a）。</w:t>
            </w:r>
          </w:p>
          <w:p>
            <w:pPr>
              <w:pageBreakBefore w:val="0"/>
              <w:kinsoku/>
              <w:wordWrap/>
              <w:overflowPunct/>
              <w:topLinePunct w:val="0"/>
              <w:bidi w:val="0"/>
              <w:adjustRightInd w:val="0"/>
              <w:snapToGrid w:val="0"/>
              <w:spacing w:line="360" w:lineRule="auto"/>
              <w:ind w:left="0" w:leftChars="0" w:firstLine="480" w:firstLineChars="200"/>
              <w:jc w:val="both"/>
              <w:outlineLvl w:val="9"/>
              <w:rPr>
                <w:rFonts w:hint="default" w:ascii="Times New Roman" w:hAnsi="Times New Roman" w:eastAsia="宋体" w:cs="Times New Roman"/>
                <w:b w:val="0"/>
                <w:bCs w:val="0"/>
                <w:sz w:val="24"/>
                <w:szCs w:val="24"/>
                <w:vertAlign w:val="baseline"/>
                <w:lang w:val="en-US" w:eastAsia="zh-CN"/>
              </w:rPr>
            </w:pPr>
            <w:r>
              <w:rPr>
                <w:rFonts w:hint="default" w:ascii="Times New Roman" w:hAnsi="Times New Roman" w:eastAsia="宋体" w:cs="Times New Roman"/>
                <w:b w:val="0"/>
                <w:bCs w:val="0"/>
                <w:sz w:val="24"/>
                <w:szCs w:val="24"/>
                <w:highlight w:val="none"/>
                <w:lang w:val="en-US" w:eastAsia="zh-CN"/>
              </w:rPr>
              <w:t>有组织粉尘废气经</w:t>
            </w:r>
            <w:r>
              <w:rPr>
                <w:rFonts w:hint="eastAsia"/>
                <w:sz w:val="24"/>
                <w:szCs w:val="24"/>
                <w:lang w:val="en-US" w:eastAsia="zh-CN"/>
              </w:rPr>
              <w:t>袋式除尘器</w:t>
            </w:r>
            <w:r>
              <w:rPr>
                <w:rFonts w:hint="default" w:ascii="Times New Roman" w:hAnsi="Times New Roman" w:eastAsia="宋体" w:cs="Times New Roman"/>
                <w:b w:val="0"/>
                <w:bCs w:val="0"/>
                <w:sz w:val="24"/>
                <w:szCs w:val="24"/>
                <w:highlight w:val="none"/>
                <w:lang w:val="en-US" w:eastAsia="zh-CN"/>
              </w:rPr>
              <w:t>处理后</w:t>
            </w:r>
            <w:r>
              <w:rPr>
                <w:rFonts w:hint="eastAsia"/>
                <w:sz w:val="24"/>
                <w:szCs w:val="24"/>
                <w:lang w:val="en-US" w:eastAsia="zh-CN"/>
              </w:rPr>
              <w:t>排放浓度值为0.0211</w:t>
            </w:r>
            <w:r>
              <w:rPr>
                <w:rFonts w:hint="default"/>
                <w:sz w:val="24"/>
                <w:szCs w:val="24"/>
                <w:lang w:val="en-US" w:eastAsia="zh-CN"/>
              </w:rPr>
              <w:t>mg/m</w:t>
            </w:r>
            <w:r>
              <w:rPr>
                <w:rFonts w:hint="default"/>
                <w:sz w:val="24"/>
                <w:szCs w:val="24"/>
                <w:vertAlign w:val="superscript"/>
                <w:lang w:val="en-US" w:eastAsia="zh-CN"/>
              </w:rPr>
              <w:t>3</w:t>
            </w:r>
            <w:r>
              <w:rPr>
                <w:rFonts w:hint="default"/>
                <w:sz w:val="24"/>
                <w:szCs w:val="24"/>
                <w:lang w:val="en-US" w:eastAsia="zh-CN"/>
              </w:rPr>
              <w:t>可以满足《合成树脂工业污染物排放标准》(GB31572-2015)</w:t>
            </w:r>
            <w:r>
              <w:rPr>
                <w:rFonts w:hint="eastAsia"/>
                <w:sz w:val="24"/>
                <w:szCs w:val="24"/>
                <w:lang w:val="en-US" w:eastAsia="zh-CN"/>
              </w:rPr>
              <w:t>表5中颗粒物排放限值20mg/m</w:t>
            </w:r>
            <w:r>
              <w:rPr>
                <w:rFonts w:hint="eastAsia"/>
                <w:sz w:val="24"/>
                <w:szCs w:val="24"/>
                <w:vertAlign w:val="superscript"/>
                <w:lang w:val="en-US" w:eastAsia="zh-CN"/>
              </w:rPr>
              <w:t>3</w:t>
            </w:r>
            <w:r>
              <w:rPr>
                <w:rFonts w:hint="eastAsia"/>
                <w:sz w:val="24"/>
                <w:szCs w:val="24"/>
                <w:vertAlign w:val="baseline"/>
                <w:lang w:val="en-US" w:eastAsia="zh-CN"/>
              </w:rPr>
              <w:t>的要求，同时满足</w:t>
            </w:r>
            <w:r>
              <w:rPr>
                <w:rFonts w:hint="default"/>
                <w:sz w:val="24"/>
                <w:szCs w:val="24"/>
                <w:lang w:val="en-US" w:eastAsia="zh-CN"/>
              </w:rPr>
              <w:t>新乡市生态环境局</w:t>
            </w:r>
            <w:r>
              <w:rPr>
                <w:rFonts w:hint="default"/>
                <w:sz w:val="24"/>
                <w:szCs w:val="24"/>
              </w:rPr>
              <w:t>《</w:t>
            </w:r>
            <w:r>
              <w:rPr>
                <w:rFonts w:hint="default"/>
                <w:sz w:val="24"/>
                <w:szCs w:val="24"/>
                <w:lang w:eastAsia="zh-CN"/>
              </w:rPr>
              <w:t>关于进一步规范工业企业颗粒物排放限值的通知</w:t>
            </w:r>
            <w:r>
              <w:rPr>
                <w:rFonts w:hint="default"/>
                <w:sz w:val="24"/>
                <w:szCs w:val="24"/>
              </w:rPr>
              <w:t>》</w:t>
            </w:r>
            <w:r>
              <w:rPr>
                <w:rFonts w:hint="eastAsia"/>
                <w:sz w:val="24"/>
                <w:szCs w:val="24"/>
                <w:lang w:eastAsia="zh-CN"/>
              </w:rPr>
              <w:t>中</w:t>
            </w:r>
            <w:r>
              <w:rPr>
                <w:rFonts w:hint="default"/>
                <w:sz w:val="24"/>
                <w:szCs w:val="24"/>
                <w:lang w:val="en-US" w:eastAsia="zh-CN"/>
              </w:rPr>
              <w:t>颗粒物最高排放浓度</w:t>
            </w:r>
            <w:r>
              <w:rPr>
                <w:rFonts w:hint="eastAsia"/>
                <w:sz w:val="24"/>
                <w:szCs w:val="24"/>
                <w:lang w:val="en-US" w:eastAsia="zh-CN"/>
              </w:rPr>
              <w:t>：1</w:t>
            </w:r>
            <w:r>
              <w:rPr>
                <w:rFonts w:hint="default"/>
                <w:sz w:val="24"/>
                <w:szCs w:val="24"/>
                <w:lang w:val="en-US" w:eastAsia="zh-CN"/>
              </w:rPr>
              <w:t>0mg/m</w:t>
            </w:r>
            <w:r>
              <w:rPr>
                <w:rFonts w:hint="default"/>
                <w:sz w:val="24"/>
                <w:szCs w:val="24"/>
                <w:vertAlign w:val="superscript"/>
                <w:lang w:val="en-US" w:eastAsia="zh-CN"/>
              </w:rPr>
              <w:t>3</w:t>
            </w:r>
            <w:r>
              <w:rPr>
                <w:rFonts w:hint="eastAsia"/>
                <w:sz w:val="24"/>
                <w:szCs w:val="24"/>
                <w:lang w:val="en-US" w:eastAsia="zh-CN"/>
              </w:rPr>
              <w:t>和</w:t>
            </w:r>
            <w:r>
              <w:rPr>
                <w:rFonts w:hint="eastAsia"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eastAsia="zh-CN"/>
              </w:rPr>
              <w:t>河南省重污染天气重点行业应急减排措施制定技术指南</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2021年修订版塑料制品行业</w:t>
            </w:r>
            <w:r>
              <w:rPr>
                <w:rFonts w:hint="eastAsia" w:cs="Times New Roman"/>
                <w:b w:val="0"/>
                <w:bCs/>
                <w:color w:val="auto"/>
                <w:sz w:val="24"/>
                <w:szCs w:val="24"/>
                <w:lang w:val="en-US" w:eastAsia="zh-CN"/>
              </w:rPr>
              <w:t>-B</w:t>
            </w:r>
            <w:r>
              <w:rPr>
                <w:rFonts w:hint="default" w:ascii="Times New Roman" w:hAnsi="Times New Roman" w:eastAsia="宋体" w:cs="Times New Roman"/>
                <w:b w:val="0"/>
                <w:bCs/>
                <w:color w:val="auto"/>
                <w:sz w:val="24"/>
                <w:szCs w:val="24"/>
                <w:lang w:val="en-US" w:eastAsia="zh-CN"/>
              </w:rPr>
              <w:t>级</w:t>
            </w:r>
            <w:r>
              <w:rPr>
                <w:rFonts w:hint="eastAsia" w:cs="Times New Roman"/>
                <w:b w:val="0"/>
                <w:bCs/>
                <w:color w:val="auto"/>
                <w:sz w:val="24"/>
                <w:szCs w:val="24"/>
                <w:lang w:val="en-US" w:eastAsia="zh-CN"/>
              </w:rPr>
              <w:t>颗粒物排放标准10</w:t>
            </w:r>
            <w:r>
              <w:rPr>
                <w:rFonts w:hint="default"/>
                <w:sz w:val="24"/>
                <w:szCs w:val="24"/>
                <w:lang w:val="en-US" w:eastAsia="zh-CN"/>
              </w:rPr>
              <w:t>mg/m</w:t>
            </w:r>
            <w:r>
              <w:rPr>
                <w:rFonts w:hint="default"/>
                <w:sz w:val="24"/>
                <w:szCs w:val="24"/>
                <w:vertAlign w:val="superscript"/>
                <w:lang w:val="en-US" w:eastAsia="zh-CN"/>
              </w:rPr>
              <w:t>3</w:t>
            </w:r>
            <w:r>
              <w:rPr>
                <w:rFonts w:hint="eastAsia"/>
                <w:sz w:val="24"/>
                <w:szCs w:val="24"/>
                <w:vertAlign w:val="baseline"/>
                <w:lang w:val="en-US" w:eastAsia="zh-CN"/>
              </w:rPr>
              <w:t>的要求。</w:t>
            </w:r>
          </w:p>
          <w:p>
            <w:pPr>
              <w:pStyle w:val="7"/>
              <w:spacing w:line="360" w:lineRule="auto"/>
              <w:rPr>
                <w:rFonts w:hint="default"/>
                <w:sz w:val="24"/>
                <w:szCs w:val="24"/>
                <w:lang w:val="en-US" w:eastAsia="zh-CN"/>
              </w:rPr>
            </w:pPr>
            <w:r>
              <w:rPr>
                <w:rFonts w:hint="default"/>
                <w:sz w:val="24"/>
                <w:szCs w:val="24"/>
                <w:lang w:val="en-US" w:eastAsia="zh-CN"/>
              </w:rPr>
              <w:t>（2）</w:t>
            </w:r>
            <w:r>
              <w:rPr>
                <w:rFonts w:hint="eastAsia"/>
                <w:sz w:val="24"/>
                <w:szCs w:val="24"/>
                <w:lang w:val="en-US" w:eastAsia="zh-CN"/>
              </w:rPr>
              <w:t>注塑、加热挤出、</w:t>
            </w:r>
            <w:r>
              <w:rPr>
                <w:rFonts w:hint="eastAsia"/>
                <w:lang w:eastAsia="zh-CN"/>
              </w:rPr>
              <w:t>吹塑工序产生的有机废气</w:t>
            </w:r>
            <w:r>
              <w:rPr>
                <w:rFonts w:hint="default"/>
                <w:sz w:val="24"/>
                <w:szCs w:val="24"/>
                <w:lang w:val="en-US" w:eastAsia="zh-CN"/>
              </w:rPr>
              <w:t xml:space="preserve"> </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z w:val="24"/>
                <w:szCs w:val="24"/>
                <w:highlight w:val="none"/>
                <w:lang w:val="en-US" w:eastAsia="zh-CN"/>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lang w:val="en-US" w:eastAsia="zh-CN"/>
              </w:rPr>
              <w:t>项目生产过程中主要原料为</w:t>
            </w:r>
            <w:r>
              <w:rPr>
                <w:rFonts w:hint="eastAsia" w:ascii="Times New Roman" w:hAnsi="Times New Roman" w:cs="Times New Roman"/>
                <w:sz w:val="24"/>
                <w:highlight w:val="none"/>
                <w:lang w:val="en-US" w:eastAsia="zh-CN"/>
              </w:rPr>
              <w:t>高密度</w:t>
            </w:r>
            <w:r>
              <w:rPr>
                <w:rFonts w:hint="default" w:ascii="Times New Roman" w:hAnsi="Times New Roman" w:cs="Times New Roman"/>
                <w:sz w:val="24"/>
                <w:highlight w:val="none"/>
                <w:lang w:val="en-US" w:eastAsia="zh-CN"/>
              </w:rPr>
              <w:t>聚乙烯颗粒具有化学热稳定性较高、耐热性能好的特点，在</w:t>
            </w:r>
            <w:r>
              <w:rPr>
                <w:rFonts w:hint="eastAsia"/>
                <w:sz w:val="24"/>
                <w:szCs w:val="24"/>
                <w:lang w:val="en-US" w:eastAsia="zh-CN"/>
              </w:rPr>
              <w:t>注塑、加热挤出</w:t>
            </w:r>
            <w:r>
              <w:rPr>
                <w:rFonts w:hint="eastAsia"/>
                <w:lang w:eastAsia="zh-CN"/>
              </w:rPr>
              <w:t>、吹塑工序</w:t>
            </w:r>
            <w:r>
              <w:rPr>
                <w:rFonts w:hint="default" w:ascii="Times New Roman" w:hAnsi="Times New Roman" w:cs="Times New Roman"/>
                <w:sz w:val="24"/>
                <w:highlight w:val="none"/>
                <w:lang w:val="en-US" w:eastAsia="zh-CN"/>
              </w:rPr>
              <w:t>生产过程中，加热温度一般控制在塑料原料允许的范围内。项目电加热温度控制在240~250℃</w:t>
            </w:r>
            <w:r>
              <w:rPr>
                <w:rFonts w:hint="default" w:ascii="Times New Roman" w:hAnsi="Times New Roman" w:eastAsia="宋体" w:cs="Times New Roman"/>
                <w:sz w:val="24"/>
                <w:highlight w:val="none"/>
                <w:lang w:val="en-US" w:eastAsia="zh-CN"/>
              </w:rPr>
              <w:t>，从而使得塑料颗粒成为熔融状态，该温度范围</w:t>
            </w:r>
            <w:r>
              <w:rPr>
                <w:rFonts w:hint="default" w:ascii="Times New Roman" w:hAnsi="Times New Roman" w:cs="Times New Roman"/>
                <w:sz w:val="24"/>
                <w:highlight w:val="none"/>
                <w:lang w:val="en-US" w:eastAsia="zh-CN"/>
              </w:rPr>
              <w:t>低于</w:t>
            </w:r>
            <w:r>
              <w:rPr>
                <w:rFonts w:hint="eastAsia" w:cs="Times New Roman"/>
                <w:sz w:val="24"/>
                <w:highlight w:val="none"/>
                <w:lang w:val="en-US" w:eastAsia="zh-CN"/>
              </w:rPr>
              <w:t>高密度</w:t>
            </w:r>
            <w:r>
              <w:rPr>
                <w:rFonts w:hint="default" w:ascii="Times New Roman" w:hAnsi="Times New Roman" w:cs="Times New Roman"/>
                <w:sz w:val="24"/>
                <w:highlight w:val="none"/>
                <w:lang w:val="en-US" w:eastAsia="zh-CN"/>
              </w:rPr>
              <w:t>聚乙烯热分解温度（</w:t>
            </w:r>
            <w:r>
              <w:rPr>
                <w:rFonts w:hint="eastAsia" w:cs="Times New Roman"/>
                <w:sz w:val="24"/>
                <w:highlight w:val="none"/>
                <w:lang w:val="en-US" w:eastAsia="zh-CN"/>
              </w:rPr>
              <w:t>300</w:t>
            </w:r>
            <w:r>
              <w:rPr>
                <w:rFonts w:hint="default" w:ascii="Times New Roman" w:hAnsi="Times New Roman" w:cs="Times New Roman"/>
                <w:sz w:val="24"/>
                <w:highlight w:val="none"/>
                <w:lang w:val="en-US" w:eastAsia="zh-CN"/>
              </w:rPr>
              <w:t>℃），原料不会分解，不会产生大量的有机废气，仅为原材料中残存的未聚合的反应单体会在加热的条件下有部分挥发到空气中</w:t>
            </w:r>
            <w:r>
              <w:rPr>
                <w:rFonts w:hint="eastAsia" w:cs="Times New Roman"/>
                <w:sz w:val="24"/>
                <w:highlight w:val="none"/>
                <w:lang w:val="en-US" w:eastAsia="zh-CN"/>
              </w:rPr>
              <w:t>，</w:t>
            </w:r>
            <w:r>
              <w:rPr>
                <w:rFonts w:hint="eastAsia" w:ascii="Times New Roman" w:hAnsi="Times New Roman" w:cs="Times New Roman"/>
                <w:b w:val="0"/>
                <w:bCs w:val="0"/>
                <w:sz w:val="24"/>
                <w:highlight w:val="none"/>
                <w:lang w:val="en-US" w:eastAsia="zh-CN"/>
              </w:rPr>
              <w:t>根据适用树脂类型分析</w:t>
            </w:r>
            <w:r>
              <w:rPr>
                <w:rFonts w:hint="default" w:ascii="Times New Roman" w:hAnsi="Times New Roman" w:cs="Times New Roman"/>
                <w:b w:val="0"/>
                <w:bCs w:val="0"/>
                <w:sz w:val="24"/>
                <w:highlight w:val="none"/>
              </w:rPr>
              <w:t>本次评价</w:t>
            </w:r>
            <w:r>
              <w:rPr>
                <w:rFonts w:hint="eastAsia" w:ascii="Times New Roman" w:hAnsi="Times New Roman" w:cs="Times New Roman"/>
                <w:b w:val="0"/>
                <w:bCs w:val="0"/>
                <w:sz w:val="24"/>
                <w:highlight w:val="none"/>
                <w:lang w:val="en-US" w:eastAsia="zh-CN"/>
              </w:rPr>
              <w:t>污染物排放因子</w:t>
            </w:r>
            <w:r>
              <w:rPr>
                <w:rFonts w:hint="default" w:ascii="Times New Roman" w:hAnsi="Times New Roman" w:cs="Times New Roman"/>
                <w:b w:val="0"/>
                <w:bCs w:val="0"/>
                <w:sz w:val="24"/>
                <w:highlight w:val="none"/>
              </w:rPr>
              <w:t>为非甲烷总烃。</w:t>
            </w:r>
          </w:p>
          <w:p>
            <w:pPr>
              <w:pageBreakBefore w:val="0"/>
              <w:numPr>
                <w:ilvl w:val="0"/>
                <w:numId w:val="0"/>
              </w:numPr>
              <w:kinsoku/>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b/>
                <w:bCs/>
                <w:sz w:val="24"/>
                <w:highlight w:val="none"/>
                <w:lang w:val="en-US" w:eastAsia="zh-CN"/>
              </w:rPr>
            </w:pPr>
            <w:r>
              <w:rPr>
                <w:rFonts w:hint="default" w:ascii="Times New Roman" w:hAnsi="Times New Roman" w:eastAsia="宋体" w:cs="Times New Roman"/>
                <w:sz w:val="24"/>
                <w:highlight w:val="none"/>
                <w:lang w:val="en-US" w:eastAsia="zh-CN"/>
              </w:rPr>
              <w:t>本</w:t>
            </w:r>
            <w:r>
              <w:rPr>
                <w:rFonts w:hint="eastAsia" w:ascii="Times New Roman" w:hAnsi="Times New Roman" w:eastAsia="宋体" w:cs="Times New Roman"/>
                <w:sz w:val="24"/>
                <w:highlight w:val="none"/>
                <w:lang w:val="en-US" w:eastAsia="zh-CN"/>
              </w:rPr>
              <w:t>次</w:t>
            </w:r>
            <w:r>
              <w:rPr>
                <w:rFonts w:hint="default" w:ascii="Times New Roman" w:hAnsi="Times New Roman" w:eastAsia="宋体" w:cs="Times New Roman"/>
                <w:sz w:val="24"/>
                <w:highlight w:val="none"/>
                <w:lang w:val="en-US" w:eastAsia="zh-CN"/>
              </w:rPr>
              <w:t>评价要求在</w:t>
            </w:r>
            <w:r>
              <w:rPr>
                <w:rFonts w:hint="eastAsia"/>
                <w:sz w:val="24"/>
                <w:szCs w:val="24"/>
                <w:lang w:val="en-US" w:eastAsia="zh-CN"/>
              </w:rPr>
              <w:t>注塑、加热挤出、吹塑工序上方</w:t>
            </w:r>
            <w:r>
              <w:rPr>
                <w:rFonts w:hint="default" w:ascii="Times New Roman" w:hAnsi="Times New Roman" w:eastAsia="宋体" w:cs="Times New Roman"/>
                <w:sz w:val="24"/>
                <w:highlight w:val="none"/>
                <w:lang w:val="en-US" w:eastAsia="zh-CN"/>
              </w:rPr>
              <w:t>设置集气罩</w:t>
            </w:r>
            <w:r>
              <w:rPr>
                <w:rFonts w:hint="eastAsia" w:ascii="Times New Roman" w:hAnsi="Times New Roman" w:eastAsia="宋体" w:cs="Times New Roman"/>
                <w:sz w:val="24"/>
                <w:highlight w:val="none"/>
                <w:lang w:val="en-US" w:eastAsia="zh-CN"/>
              </w:rPr>
              <w:t>，</w:t>
            </w:r>
            <w:r>
              <w:rPr>
                <w:rFonts w:hint="default"/>
                <w:sz w:val="24"/>
                <w:szCs w:val="24"/>
                <w:lang w:val="en-US" w:eastAsia="zh-CN"/>
              </w:rPr>
              <w:t>根据企业提供资料，注塑机</w:t>
            </w:r>
            <w:r>
              <w:rPr>
                <w:rFonts w:hint="eastAsia"/>
                <w:sz w:val="24"/>
                <w:szCs w:val="24"/>
                <w:lang w:val="en-US" w:eastAsia="zh-CN"/>
              </w:rPr>
              <w:t>2台，挤出机4台、中空吹塑机4台</w:t>
            </w:r>
            <w:r>
              <w:rPr>
                <w:rFonts w:hint="default"/>
                <w:sz w:val="24"/>
                <w:szCs w:val="24"/>
                <w:lang w:val="en-US" w:eastAsia="zh-CN"/>
              </w:rPr>
              <w:t>同时工作最大数量为</w:t>
            </w:r>
            <w:r>
              <w:rPr>
                <w:rFonts w:hint="eastAsia"/>
                <w:sz w:val="24"/>
                <w:szCs w:val="24"/>
                <w:lang w:val="en-US" w:eastAsia="zh-CN"/>
              </w:rPr>
              <w:t>10</w:t>
            </w:r>
            <w:r>
              <w:rPr>
                <w:rFonts w:hint="default"/>
                <w:sz w:val="24"/>
                <w:szCs w:val="24"/>
                <w:lang w:val="en-US" w:eastAsia="zh-CN"/>
              </w:rPr>
              <w:t>台，环评要求在所有注塑机</w:t>
            </w:r>
            <w:r>
              <w:rPr>
                <w:rFonts w:hint="eastAsia"/>
                <w:sz w:val="24"/>
                <w:szCs w:val="24"/>
                <w:lang w:val="en-US" w:eastAsia="zh-CN"/>
              </w:rPr>
              <w:t>、挤出机、中空吹塑机</w:t>
            </w:r>
            <w:r>
              <w:rPr>
                <w:rFonts w:hint="default"/>
                <w:sz w:val="24"/>
                <w:szCs w:val="24"/>
                <w:lang w:val="en-US" w:eastAsia="zh-CN"/>
              </w:rPr>
              <w:t>上方</w:t>
            </w:r>
            <w:r>
              <w:rPr>
                <w:rFonts w:hint="eastAsia"/>
                <w:sz w:val="24"/>
                <w:szCs w:val="24"/>
                <w:lang w:val="en-US" w:eastAsia="zh-CN"/>
              </w:rPr>
              <w:t>分别</w:t>
            </w:r>
            <w:r>
              <w:rPr>
                <w:rFonts w:hint="default"/>
                <w:sz w:val="24"/>
                <w:szCs w:val="24"/>
                <w:lang w:val="en-US" w:eastAsia="zh-CN"/>
              </w:rPr>
              <w:t>安装集气罩，废气经收集后引入1</w:t>
            </w:r>
            <w:r>
              <w:rPr>
                <w:rFonts w:hint="eastAsia"/>
                <w:sz w:val="24"/>
                <w:szCs w:val="24"/>
                <w:lang w:val="en-US" w:eastAsia="zh-CN"/>
              </w:rPr>
              <w:t>套活性炭吸附-脱附+催化燃烧装置</w:t>
            </w:r>
            <w:r>
              <w:rPr>
                <w:rFonts w:hint="default"/>
                <w:sz w:val="24"/>
                <w:szCs w:val="24"/>
                <w:lang w:val="en-US" w:eastAsia="zh-CN"/>
              </w:rPr>
              <w:t>进行处理，处理后经 15m 高排气筒</w:t>
            </w:r>
            <w:r>
              <w:rPr>
                <w:rFonts w:hint="eastAsia"/>
                <w:sz w:val="24"/>
                <w:szCs w:val="24"/>
                <w:lang w:val="en-US" w:eastAsia="zh-CN"/>
              </w:rPr>
              <w:t>DA002</w:t>
            </w:r>
            <w:r>
              <w:rPr>
                <w:rFonts w:hint="default"/>
                <w:sz w:val="24"/>
                <w:szCs w:val="24"/>
                <w:lang w:val="en-US" w:eastAsia="zh-CN"/>
              </w:rPr>
              <w:t>排放。</w:t>
            </w:r>
          </w:p>
          <w:p>
            <w:pPr>
              <w:numPr>
                <w:ilvl w:val="0"/>
                <w:numId w:val="0"/>
              </w:numPr>
              <w:adjustRightInd w:val="0"/>
              <w:snapToGrid w:val="0"/>
              <w:spacing w:line="360" w:lineRule="auto"/>
              <w:ind w:firstLine="480" w:firstLineChars="200"/>
              <w:rPr>
                <w:rFonts w:hint="default" w:ascii="Times New Roman" w:hAnsi="Times New Roman" w:eastAsia="宋体" w:cs="Times New Roman"/>
                <w:b w:val="0"/>
                <w:bCs w:val="0"/>
                <w:sz w:val="24"/>
                <w:szCs w:val="24"/>
                <w:highlight w:val="none"/>
                <w:lang w:val="en-US" w:eastAsia="zh-CN"/>
              </w:rPr>
            </w:pPr>
            <w:r>
              <w:rPr>
                <w:rFonts w:hint="eastAsia" w:cs="Times New Roman"/>
                <w:b w:val="0"/>
                <w:bCs/>
                <w:sz w:val="24"/>
                <w:highlight w:val="none"/>
                <w:u w:val="none"/>
                <w:lang w:val="en-US" w:eastAsia="zh-CN"/>
              </w:rPr>
              <w:t>要求</w:t>
            </w:r>
            <w:r>
              <w:rPr>
                <w:rFonts w:hint="default"/>
                <w:sz w:val="24"/>
                <w:szCs w:val="24"/>
                <w:lang w:val="en-US" w:eastAsia="zh-CN"/>
              </w:rPr>
              <w:t>建设单位在</w:t>
            </w:r>
            <w:r>
              <w:rPr>
                <w:rFonts w:hint="eastAsia"/>
                <w:sz w:val="24"/>
                <w:szCs w:val="24"/>
                <w:lang w:val="en-US" w:eastAsia="zh-CN"/>
              </w:rPr>
              <w:t>注塑、加热挤出</w:t>
            </w:r>
            <w:r>
              <w:rPr>
                <w:rFonts w:hint="eastAsia"/>
                <w:sz w:val="24"/>
                <w:szCs w:val="24"/>
                <w:lang w:eastAsia="zh-CN"/>
              </w:rPr>
              <w:t>、吹塑工序</w:t>
            </w:r>
            <w:r>
              <w:rPr>
                <w:rFonts w:hint="default"/>
                <w:sz w:val="24"/>
                <w:szCs w:val="24"/>
                <w:lang w:val="en-US" w:eastAsia="zh-CN"/>
              </w:rPr>
              <w:t>对</w:t>
            </w:r>
            <w:r>
              <w:rPr>
                <w:rFonts w:hint="eastAsia"/>
                <w:sz w:val="24"/>
                <w:szCs w:val="24"/>
                <w:lang w:val="en-US" w:eastAsia="zh-CN"/>
              </w:rPr>
              <w:t>非甲烷总烃废气用集气罩+负压管道收集</w:t>
            </w:r>
            <w:r>
              <w:rPr>
                <w:rFonts w:hint="default"/>
                <w:sz w:val="24"/>
                <w:szCs w:val="24"/>
                <w:lang w:val="en-US" w:eastAsia="zh-CN"/>
              </w:rPr>
              <w:t>，</w:t>
            </w:r>
            <w:r>
              <w:rPr>
                <w:rFonts w:hint="eastAsia"/>
                <w:sz w:val="24"/>
                <w:szCs w:val="24"/>
                <w:lang w:val="en-US" w:eastAsia="zh-CN"/>
              </w:rPr>
              <w:t>收集效率为95%，</w:t>
            </w:r>
            <w:r>
              <w:rPr>
                <w:rFonts w:hint="default"/>
                <w:sz w:val="24"/>
                <w:szCs w:val="24"/>
                <w:lang w:val="en-US" w:eastAsia="zh-CN"/>
              </w:rPr>
              <w:t>将收集的</w:t>
            </w:r>
            <w:r>
              <w:rPr>
                <w:rFonts w:hint="eastAsia"/>
                <w:sz w:val="24"/>
                <w:szCs w:val="24"/>
                <w:lang w:val="en-US" w:eastAsia="zh-CN"/>
              </w:rPr>
              <w:t>非甲烷总烃</w:t>
            </w:r>
            <w:r>
              <w:rPr>
                <w:rFonts w:hint="default"/>
                <w:sz w:val="24"/>
                <w:szCs w:val="24"/>
                <w:lang w:val="en-US" w:eastAsia="zh-CN"/>
              </w:rPr>
              <w:t>经过一套</w:t>
            </w:r>
            <w:r>
              <w:rPr>
                <w:rFonts w:hint="eastAsia"/>
                <w:sz w:val="24"/>
                <w:szCs w:val="24"/>
                <w:lang w:val="en-US" w:eastAsia="zh-CN"/>
              </w:rPr>
              <w:t>活性炭吸附-脱附+催化燃烧装置</w:t>
            </w:r>
            <w:r>
              <w:rPr>
                <w:rFonts w:hint="default"/>
                <w:sz w:val="24"/>
                <w:szCs w:val="24"/>
                <w:lang w:val="en-US" w:eastAsia="zh-CN"/>
              </w:rPr>
              <w:t>进行处理</w:t>
            </w:r>
            <w:r>
              <w:rPr>
                <w:rFonts w:hint="eastAsia"/>
                <w:sz w:val="24"/>
                <w:szCs w:val="24"/>
                <w:lang w:val="en-US" w:eastAsia="zh-CN"/>
              </w:rPr>
              <w:t>。根据《空气污染物排放和控制手册》（美国国家环保局），非甲烷总烃排放系数为0.35kg/t原料，则非甲烷总烃产生量为0.525t/a</w:t>
            </w:r>
            <w:r>
              <w:rPr>
                <w:rFonts w:hint="eastAsia" w:cs="Times New Roman"/>
                <w:b w:val="0"/>
                <w:bCs w:val="0"/>
                <w:sz w:val="24"/>
                <w:szCs w:val="24"/>
                <w:highlight w:val="none"/>
                <w:lang w:val="en-US" w:eastAsia="zh-CN"/>
              </w:rPr>
              <w:t>（本项目高密度聚乙烯用量1500t/a）。</w:t>
            </w:r>
          </w:p>
          <w:p>
            <w:pPr>
              <w:adjustRightInd w:val="0"/>
              <w:snapToGrid w:val="0"/>
              <w:spacing w:line="360" w:lineRule="auto"/>
              <w:ind w:firstLine="480" w:firstLineChars="200"/>
              <w:rPr>
                <w:rFonts w:hint="default"/>
                <w:sz w:val="24"/>
                <w:szCs w:val="24"/>
              </w:rPr>
            </w:pPr>
            <w:r>
              <w:rPr>
                <w:rFonts w:hint="default"/>
                <w:sz w:val="24"/>
                <w:szCs w:val="24"/>
              </w:rPr>
              <w:t>为保证收集效率为9</w:t>
            </w:r>
            <w:r>
              <w:rPr>
                <w:rFonts w:hint="eastAsia"/>
                <w:sz w:val="24"/>
                <w:szCs w:val="24"/>
                <w:lang w:val="en-US" w:eastAsia="zh-CN"/>
              </w:rPr>
              <w:t>5</w:t>
            </w:r>
            <w:r>
              <w:rPr>
                <w:rFonts w:hint="default"/>
                <w:sz w:val="24"/>
                <w:szCs w:val="24"/>
              </w:rPr>
              <w:t>%，集气罩的设计参考《环境工程设计手册》（修订版）中的集气罩的设计规范。根据《环境工程设计手册》（修订版），对于外部吸气罩排风量的计算，常用的方法是控制风速法，对于集气罩在污染源上方的排风量可按下式计算：</w:t>
            </w:r>
          </w:p>
          <w:p>
            <w:pPr>
              <w:adjustRightInd w:val="0"/>
              <w:snapToGrid w:val="0"/>
              <w:spacing w:line="360" w:lineRule="auto"/>
              <w:ind w:firstLine="480" w:firstLineChars="200"/>
              <w:jc w:val="left"/>
              <w:rPr>
                <w:rFonts w:hint="default"/>
                <w:sz w:val="24"/>
                <w:szCs w:val="24"/>
              </w:rPr>
            </w:pPr>
            <w:r>
              <w:rPr>
                <w:rFonts w:hint="default"/>
                <w:sz w:val="24"/>
                <w:szCs w:val="24"/>
              </w:rPr>
              <w:t>L</w:t>
            </w:r>
            <w:r>
              <w:rPr>
                <w:rFonts w:hint="default"/>
                <w:sz w:val="24"/>
                <w:szCs w:val="24"/>
                <w:lang w:val="en-US" w:eastAsia="zh-CN"/>
              </w:rPr>
              <w:t>=</w:t>
            </w:r>
            <w:r>
              <w:rPr>
                <w:rFonts w:hint="default"/>
                <w:sz w:val="24"/>
                <w:szCs w:val="24"/>
              </w:rPr>
              <w:t>kPHVx</w:t>
            </w:r>
          </w:p>
          <w:p>
            <w:pPr>
              <w:adjustRightInd w:val="0"/>
              <w:snapToGrid w:val="0"/>
              <w:spacing w:line="360" w:lineRule="auto"/>
              <w:ind w:firstLine="480" w:firstLineChars="200"/>
              <w:rPr>
                <w:rFonts w:hint="default"/>
                <w:sz w:val="24"/>
                <w:szCs w:val="24"/>
              </w:rPr>
            </w:pPr>
            <w:r>
              <w:rPr>
                <w:rFonts w:hint="default"/>
                <w:sz w:val="24"/>
                <w:szCs w:val="24"/>
              </w:rPr>
              <w:t>排放量计算公式：</w:t>
            </w:r>
          </w:p>
          <w:p>
            <w:pPr>
              <w:adjustRightInd w:val="0"/>
              <w:snapToGrid w:val="0"/>
              <w:spacing w:line="360" w:lineRule="auto"/>
              <w:ind w:firstLine="480" w:firstLineChars="200"/>
              <w:rPr>
                <w:rFonts w:hint="default"/>
                <w:sz w:val="24"/>
                <w:szCs w:val="24"/>
              </w:rPr>
            </w:pPr>
            <w:r>
              <w:rPr>
                <w:rFonts w:hint="default"/>
                <w:sz w:val="24"/>
                <w:szCs w:val="24"/>
              </w:rPr>
              <w:t>k－安全系数，一般取 k=1.4；</w:t>
            </w:r>
          </w:p>
          <w:p>
            <w:pPr>
              <w:adjustRightInd w:val="0"/>
              <w:snapToGrid w:val="0"/>
              <w:spacing w:line="360" w:lineRule="auto"/>
              <w:ind w:firstLine="480" w:firstLineChars="200"/>
              <w:rPr>
                <w:rFonts w:hint="default"/>
                <w:sz w:val="24"/>
                <w:szCs w:val="24"/>
              </w:rPr>
            </w:pPr>
            <w:r>
              <w:rPr>
                <w:rFonts w:hint="default"/>
                <w:sz w:val="24"/>
                <w:szCs w:val="24"/>
              </w:rPr>
              <w:t>H－罩口至污染源的距离，m；</w:t>
            </w:r>
          </w:p>
          <w:p>
            <w:pPr>
              <w:adjustRightInd w:val="0"/>
              <w:snapToGrid w:val="0"/>
              <w:spacing w:line="360" w:lineRule="auto"/>
              <w:ind w:firstLine="480" w:firstLineChars="200"/>
              <w:rPr>
                <w:rFonts w:hint="default"/>
                <w:sz w:val="24"/>
                <w:szCs w:val="24"/>
              </w:rPr>
            </w:pPr>
            <w:r>
              <w:rPr>
                <w:rFonts w:hint="default"/>
                <w:sz w:val="24"/>
                <w:szCs w:val="24"/>
              </w:rPr>
              <w:t>P－罩口敞开面的周长，m；</w:t>
            </w:r>
          </w:p>
          <w:p>
            <w:pPr>
              <w:adjustRightInd w:val="0"/>
              <w:snapToGrid w:val="0"/>
              <w:spacing w:line="360" w:lineRule="auto"/>
              <w:ind w:firstLine="480" w:firstLineChars="200"/>
              <w:rPr>
                <w:rFonts w:hint="default"/>
                <w:sz w:val="24"/>
                <w:szCs w:val="24"/>
              </w:rPr>
            </w:pPr>
            <w:r>
              <w:rPr>
                <w:rFonts w:hint="default"/>
                <w:sz w:val="24"/>
                <w:szCs w:val="24"/>
              </w:rPr>
              <w:t>Vx－污染源边缘控制速度，m/s，根据《环境工程设计手册》中表1.3.2外部吸气罩控制风速表，本项目取值0.</w:t>
            </w:r>
            <w:r>
              <w:rPr>
                <w:rFonts w:hint="eastAsia"/>
                <w:sz w:val="24"/>
                <w:szCs w:val="24"/>
                <w:lang w:val="en-US" w:eastAsia="zh-CN"/>
              </w:rPr>
              <w:t>3</w:t>
            </w:r>
            <w:r>
              <w:rPr>
                <w:rFonts w:hint="default"/>
                <w:sz w:val="24"/>
                <w:szCs w:val="24"/>
              </w:rPr>
              <w:t>m/s；</w:t>
            </w:r>
          </w:p>
          <w:p>
            <w:pPr>
              <w:adjustRightInd w:val="0"/>
              <w:snapToGrid w:val="0"/>
              <w:spacing w:line="360" w:lineRule="auto"/>
              <w:ind w:firstLine="480" w:firstLineChars="200"/>
              <w:rPr>
                <w:rFonts w:hint="default"/>
                <w:sz w:val="24"/>
                <w:szCs w:val="24"/>
              </w:rPr>
            </w:pPr>
            <w:r>
              <w:rPr>
                <w:rFonts w:hint="default"/>
                <w:sz w:val="24"/>
                <w:szCs w:val="24"/>
              </w:rPr>
              <w:t>项目排风量计算情况一览表：</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sz w:val="21"/>
                <w:szCs w:val="21"/>
              </w:rPr>
            </w:pPr>
            <w:r>
              <w:rPr>
                <w:rFonts w:hint="default"/>
                <w:sz w:val="21"/>
                <w:szCs w:val="21"/>
              </w:rPr>
              <w:t>表</w:t>
            </w:r>
            <w:r>
              <w:rPr>
                <w:rFonts w:hint="eastAsia"/>
                <w:sz w:val="21"/>
                <w:szCs w:val="21"/>
                <w:lang w:val="en-US" w:eastAsia="zh-CN"/>
              </w:rPr>
              <w:t xml:space="preserve">22     </w:t>
            </w:r>
            <w:r>
              <w:rPr>
                <w:rFonts w:hint="default"/>
                <w:sz w:val="21"/>
                <w:szCs w:val="21"/>
              </w:rPr>
              <w:t>项目排风量计算情况一览表</w:t>
            </w:r>
          </w:p>
          <w:tbl>
            <w:tblPr>
              <w:tblStyle w:val="23"/>
              <w:tblW w:w="4999" w:type="pct"/>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944"/>
              <w:gridCol w:w="747"/>
              <w:gridCol w:w="723"/>
              <w:gridCol w:w="723"/>
              <w:gridCol w:w="723"/>
              <w:gridCol w:w="641"/>
              <w:gridCol w:w="752"/>
              <w:gridCol w:w="894"/>
              <w:gridCol w:w="894"/>
              <w:gridCol w:w="89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594"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工位（个）</w:t>
                  </w:r>
                </w:p>
              </w:tc>
              <w:tc>
                <w:tcPr>
                  <w:tcW w:w="470"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集气罩个数 (个)</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罩口 长度 (m)</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罩口 宽度 (m)</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P (m)</w:t>
                  </w:r>
                </w:p>
              </w:tc>
              <w:tc>
                <w:tcPr>
                  <w:tcW w:w="40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H (m)</w:t>
                  </w:r>
                </w:p>
              </w:tc>
              <w:tc>
                <w:tcPr>
                  <w:tcW w:w="47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Vx (m/s)</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L</w:t>
                  </w:r>
                </w:p>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 xml:space="preserve"> (m</w:t>
                  </w:r>
                  <w:r>
                    <w:rPr>
                      <w:rFonts w:hint="default" w:ascii="Times New Roman" w:hAnsi="Times New Roman" w:eastAsia="宋体" w:cs="Times New Roman"/>
                      <w:b w:val="0"/>
                      <w:bCs w:val="0"/>
                      <w:sz w:val="21"/>
                      <w:szCs w:val="21"/>
                      <w:vertAlign w:val="superscript"/>
                    </w:rPr>
                    <w:t>3</w:t>
                  </w:r>
                  <w:r>
                    <w:rPr>
                      <w:rFonts w:hint="default" w:ascii="Times New Roman" w:hAnsi="Times New Roman" w:eastAsia="宋体" w:cs="Times New Roman"/>
                      <w:b w:val="0"/>
                      <w:bCs w:val="0"/>
                      <w:sz w:val="21"/>
                      <w:szCs w:val="21"/>
                    </w:rPr>
                    <w:t xml:space="preserve"> /s)</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排风量 (m</w:t>
                  </w:r>
                  <w:r>
                    <w:rPr>
                      <w:rFonts w:hint="default" w:ascii="Times New Roman" w:hAnsi="Times New Roman" w:eastAsia="宋体" w:cs="Times New Roman"/>
                      <w:b w:val="0"/>
                      <w:bCs w:val="0"/>
                      <w:sz w:val="21"/>
                      <w:szCs w:val="21"/>
                      <w:vertAlign w:val="superscript"/>
                    </w:rPr>
                    <w:t>3</w:t>
                  </w:r>
                  <w:r>
                    <w:rPr>
                      <w:rFonts w:hint="default" w:ascii="Times New Roman" w:hAnsi="Times New Roman" w:eastAsia="宋体" w:cs="Times New Roman"/>
                      <w:b w:val="0"/>
                      <w:bCs w:val="0"/>
                      <w:sz w:val="21"/>
                      <w:szCs w:val="21"/>
                    </w:rPr>
                    <w:t>/h)</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总风量 (m</w:t>
                  </w:r>
                  <w:r>
                    <w:rPr>
                      <w:rFonts w:hint="default" w:ascii="Times New Roman" w:hAnsi="Times New Roman" w:eastAsia="宋体" w:cs="Times New Roman"/>
                      <w:b w:val="0"/>
                      <w:bCs w:val="0"/>
                      <w:sz w:val="21"/>
                      <w:szCs w:val="21"/>
                      <w:vertAlign w:val="superscript"/>
                    </w:rPr>
                    <w:t>3</w:t>
                  </w:r>
                  <w:r>
                    <w:rPr>
                      <w:rFonts w:hint="default" w:ascii="Times New Roman" w:hAnsi="Times New Roman" w:eastAsia="宋体" w:cs="Times New Roman"/>
                      <w:b w:val="0"/>
                      <w:bCs w:val="0"/>
                      <w:sz w:val="21"/>
                      <w:szCs w:val="21"/>
                    </w:rPr>
                    <w:t>/h)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594"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注塑机</w:t>
                  </w:r>
                  <w:r>
                    <w:rPr>
                      <w:rFonts w:hint="eastAsia" w:ascii="Times New Roman" w:hAnsi="Times New Roman" w:eastAsia="宋体" w:cs="Times New Roman"/>
                      <w:b w:val="0"/>
                      <w:bCs w:val="0"/>
                      <w:sz w:val="21"/>
                      <w:szCs w:val="21"/>
                      <w:lang w:val="en-US" w:eastAsia="zh-CN"/>
                    </w:rPr>
                    <w:t>、吹塑机</w:t>
                  </w:r>
                </w:p>
              </w:tc>
              <w:tc>
                <w:tcPr>
                  <w:tcW w:w="470"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eastAsia" w:eastAsia="宋体" w:cs="Times New Roman"/>
                      <w:b w:val="0"/>
                      <w:bCs w:val="0"/>
                      <w:sz w:val="21"/>
                      <w:szCs w:val="21"/>
                      <w:lang w:val="en-US" w:eastAsia="zh-CN"/>
                    </w:rPr>
                    <w:t>10</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0.5</w:t>
                  </w:r>
                </w:p>
              </w:tc>
              <w:tc>
                <w:tcPr>
                  <w:tcW w:w="455"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w:t>
                  </w:r>
                </w:p>
              </w:tc>
              <w:tc>
                <w:tcPr>
                  <w:tcW w:w="40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0.3</w:t>
                  </w:r>
                </w:p>
              </w:tc>
              <w:tc>
                <w:tcPr>
                  <w:tcW w:w="47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r>
                    <w:rPr>
                      <w:rFonts w:hint="eastAsia" w:eastAsia="宋体" w:cs="Times New Roman"/>
                      <w:b w:val="0"/>
                      <w:bCs w:val="0"/>
                      <w:sz w:val="21"/>
                      <w:szCs w:val="21"/>
                      <w:lang w:val="en-US" w:eastAsia="zh-CN"/>
                    </w:rPr>
                    <w:t>3</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eastAsia" w:eastAsia="宋体" w:cs="Times New Roman"/>
                      <w:b w:val="0"/>
                      <w:bCs w:val="0"/>
                      <w:sz w:val="21"/>
                      <w:szCs w:val="21"/>
                      <w:lang w:val="en-US" w:eastAsia="zh-CN"/>
                    </w:rPr>
                    <w:t>3.78</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eastAsia" w:eastAsia="宋体" w:cs="Times New Roman"/>
                      <w:b w:val="0"/>
                      <w:bCs w:val="0"/>
                      <w:sz w:val="21"/>
                      <w:szCs w:val="21"/>
                      <w:lang w:val="en-US" w:eastAsia="zh-CN"/>
                    </w:rPr>
                    <w:t>13608</w:t>
                  </w:r>
                </w:p>
              </w:tc>
              <w:tc>
                <w:tcPr>
                  <w:tcW w:w="563" w:type="pct"/>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firstLine="0"/>
                    <w:jc w:val="center"/>
                    <w:textAlignment w:val="auto"/>
                    <w:rPr>
                      <w:rFonts w:hint="default" w:ascii="Times New Roman" w:hAnsi="Times New Roman" w:eastAsia="宋体" w:cs="Times New Roman"/>
                      <w:b w:val="0"/>
                      <w:bCs w:val="0"/>
                      <w:sz w:val="21"/>
                      <w:szCs w:val="21"/>
                      <w:lang w:val="en-US" w:eastAsia="zh-CN"/>
                    </w:rPr>
                  </w:pPr>
                  <w:r>
                    <w:rPr>
                      <w:rFonts w:hint="eastAsia" w:eastAsia="宋体" w:cs="Times New Roman"/>
                      <w:b w:val="0"/>
                      <w:bCs w:val="0"/>
                      <w:sz w:val="21"/>
                      <w:szCs w:val="21"/>
                      <w:lang w:val="en-US" w:eastAsia="zh-CN"/>
                    </w:rPr>
                    <w:t>13608</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0" w:firstLineChars="200"/>
              <w:textAlignment w:val="auto"/>
            </w:pPr>
            <w:r>
              <w:rPr>
                <w:rFonts w:hint="default"/>
                <w:sz w:val="24"/>
                <w:szCs w:val="24"/>
                <w:lang w:val="en-US" w:eastAsia="zh-CN"/>
              </w:rPr>
              <w:t>因此，本项目集气罩总风量为</w:t>
            </w:r>
            <w:r>
              <w:rPr>
                <w:rFonts w:hint="eastAsia"/>
                <w:sz w:val="24"/>
                <w:szCs w:val="24"/>
                <w:lang w:val="en-US" w:eastAsia="zh-CN"/>
              </w:rPr>
              <w:t>13608</w:t>
            </w:r>
            <w:r>
              <w:rPr>
                <w:rFonts w:hint="default"/>
                <w:sz w:val="24"/>
                <w:szCs w:val="24"/>
                <w:lang w:val="en-US" w:eastAsia="zh-CN"/>
              </w:rPr>
              <w:t>m</w:t>
            </w:r>
            <w:r>
              <w:rPr>
                <w:rFonts w:hint="default"/>
                <w:sz w:val="24"/>
                <w:szCs w:val="24"/>
                <w:vertAlign w:val="superscript"/>
                <w:lang w:val="en-US" w:eastAsia="zh-CN"/>
              </w:rPr>
              <w:t>3</w:t>
            </w:r>
            <w:r>
              <w:rPr>
                <w:rFonts w:hint="default"/>
                <w:sz w:val="24"/>
                <w:szCs w:val="24"/>
                <w:lang w:val="en-US" w:eastAsia="zh-CN"/>
              </w:rPr>
              <w:t xml:space="preserve"> /h，本次设计风机风量为</w:t>
            </w:r>
            <w:r>
              <w:rPr>
                <w:rFonts w:hint="eastAsia"/>
                <w:sz w:val="24"/>
                <w:szCs w:val="24"/>
                <w:lang w:val="en-US" w:eastAsia="zh-CN"/>
              </w:rPr>
              <w:t>15</w:t>
            </w:r>
            <w:r>
              <w:rPr>
                <w:rFonts w:hint="default"/>
                <w:sz w:val="24"/>
                <w:szCs w:val="24"/>
                <w:lang w:val="en-US" w:eastAsia="zh-CN"/>
              </w:rPr>
              <w:t>000m</w:t>
            </w:r>
            <w:r>
              <w:rPr>
                <w:rFonts w:hint="default"/>
                <w:sz w:val="24"/>
                <w:szCs w:val="24"/>
                <w:vertAlign w:val="superscript"/>
                <w:lang w:val="en-US" w:eastAsia="zh-CN"/>
              </w:rPr>
              <w:t>3</w:t>
            </w:r>
            <w:r>
              <w:rPr>
                <w:rFonts w:hint="default"/>
                <w:sz w:val="24"/>
                <w:szCs w:val="24"/>
                <w:lang w:val="en-US" w:eastAsia="zh-CN"/>
              </w:rPr>
              <w:t xml:space="preserve"> /h。</w:t>
            </w:r>
          </w:p>
          <w:p>
            <w:pPr>
              <w:adjustRightInd w:val="0"/>
              <w:snapToGrid w:val="0"/>
              <w:spacing w:line="360" w:lineRule="auto"/>
              <w:ind w:firstLine="480" w:firstLineChars="200"/>
            </w:pPr>
            <w:r>
              <w:rPr>
                <w:rFonts w:hint="default"/>
                <w:sz w:val="24"/>
                <w:szCs w:val="24"/>
              </w:rPr>
              <w:t>该工序年工作</w:t>
            </w:r>
            <w:r>
              <w:rPr>
                <w:rFonts w:hint="eastAsia"/>
                <w:sz w:val="24"/>
                <w:szCs w:val="24"/>
                <w:lang w:val="en-US" w:eastAsia="zh-CN"/>
              </w:rPr>
              <w:t>260</w:t>
            </w:r>
            <w:r>
              <w:rPr>
                <w:rFonts w:hint="default"/>
                <w:sz w:val="24"/>
                <w:szCs w:val="24"/>
              </w:rPr>
              <w:t>天，每天</w:t>
            </w:r>
            <w:r>
              <w:rPr>
                <w:rFonts w:hint="default"/>
                <w:sz w:val="24"/>
                <w:szCs w:val="24"/>
                <w:lang w:val="en-US" w:eastAsia="zh-CN"/>
              </w:rPr>
              <w:t>机器</w:t>
            </w:r>
            <w:r>
              <w:rPr>
                <w:rFonts w:hint="default"/>
                <w:sz w:val="24"/>
                <w:szCs w:val="24"/>
              </w:rPr>
              <w:t>工作</w:t>
            </w:r>
            <w:r>
              <w:rPr>
                <w:rFonts w:hint="eastAsia"/>
                <w:sz w:val="24"/>
                <w:szCs w:val="24"/>
                <w:lang w:val="en-US" w:eastAsia="zh-CN"/>
              </w:rPr>
              <w:t>10</w:t>
            </w:r>
            <w:r>
              <w:rPr>
                <w:rFonts w:hint="default"/>
                <w:sz w:val="24"/>
                <w:szCs w:val="24"/>
              </w:rPr>
              <w:t>小时，</w:t>
            </w:r>
            <w:r>
              <w:rPr>
                <w:rFonts w:hint="eastAsia"/>
                <w:sz w:val="24"/>
                <w:szCs w:val="24"/>
                <w:lang w:val="en-US" w:eastAsia="zh-CN"/>
              </w:rPr>
              <w:t>本项目产生的非甲烷总烃经活性炭吸附脱附+催化燃烧后的综合治理效率</w:t>
            </w:r>
            <w:r>
              <w:rPr>
                <w:rFonts w:hint="eastAsia"/>
                <w:sz w:val="24"/>
                <w:szCs w:val="24"/>
              </w:rPr>
              <w:t>9</w:t>
            </w:r>
            <w:r>
              <w:rPr>
                <w:rFonts w:hint="eastAsia"/>
                <w:sz w:val="24"/>
                <w:szCs w:val="24"/>
                <w:lang w:val="en-US" w:eastAsia="zh-CN"/>
              </w:rPr>
              <w:t>5</w:t>
            </w:r>
            <w:r>
              <w:rPr>
                <w:rFonts w:hint="eastAsia"/>
                <w:sz w:val="24"/>
                <w:szCs w:val="24"/>
              </w:rPr>
              <w:t>%</w:t>
            </w:r>
            <w:r>
              <w:rPr>
                <w:rFonts w:hint="eastAsia"/>
                <w:sz w:val="24"/>
                <w:szCs w:val="24"/>
                <w:lang w:val="en-US" w:eastAsia="zh-CN"/>
              </w:rPr>
              <w:t>计</w:t>
            </w:r>
            <w:r>
              <w:rPr>
                <w:rFonts w:hint="eastAsia"/>
                <w:sz w:val="24"/>
                <w:szCs w:val="24"/>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eastAsia="宋体"/>
                <w:sz w:val="24"/>
                <w:szCs w:val="24"/>
                <w:lang w:eastAsia="zh-CN"/>
              </w:rPr>
            </w:pPr>
            <w:r>
              <w:rPr>
                <w:rFonts w:hint="default" w:ascii="Times New Roman" w:hAnsi="Times New Roman" w:eastAsia="宋体" w:cs="Times New Roman"/>
                <w:sz w:val="24"/>
                <w:szCs w:val="24"/>
              </w:rPr>
              <w:t>该治理措施工艺属于《排污许可证申请与核发技术规范  橡胶和塑料制品工业》（HJ1122-2020）</w:t>
            </w:r>
            <w:r>
              <w:rPr>
                <w:rFonts w:hint="eastAsia" w:cs="Times New Roman"/>
                <w:sz w:val="24"/>
                <w:szCs w:val="24"/>
                <w:lang w:val="en-US" w:eastAsia="zh-CN"/>
              </w:rPr>
              <w:t>中根据</w:t>
            </w:r>
            <w:r>
              <w:rPr>
                <w:rFonts w:hint="default" w:ascii="Times New Roman" w:hAnsi="Times New Roman" w:eastAsia="宋体" w:cs="Times New Roman"/>
                <w:color w:val="000000"/>
                <w:kern w:val="0"/>
                <w:sz w:val="24"/>
                <w:szCs w:val="24"/>
                <w:lang w:val="en-US" w:eastAsia="zh-CN" w:bidi="ar"/>
              </w:rPr>
              <w:t>表 A.2 塑料制品工业排污单位废气污染防治可行技术参考表</w:t>
            </w:r>
            <w:r>
              <w:rPr>
                <w:rFonts w:hint="eastAsia" w:ascii="Times New Roman" w:hAnsi="Times New Roman" w:eastAsia="宋体" w:cs="Times New Roman"/>
                <w:color w:val="000000"/>
                <w:kern w:val="0"/>
                <w:sz w:val="24"/>
                <w:szCs w:val="24"/>
                <w:lang w:val="en-US" w:eastAsia="zh-CN" w:bidi="ar"/>
              </w:rPr>
              <w:t>可知</w:t>
            </w:r>
            <w:r>
              <w:rPr>
                <w:rFonts w:hint="eastAsia" w:ascii="宋体" w:hAnsi="宋体" w:eastAsia="宋体" w:cs="宋体"/>
                <w:color w:val="000000"/>
                <w:kern w:val="0"/>
                <w:sz w:val="24"/>
                <w:szCs w:val="24"/>
                <w:lang w:val="en-US" w:eastAsia="zh-CN" w:bidi="ar"/>
              </w:rPr>
              <w:t>塑料包装箱及容器</w:t>
            </w:r>
            <w:r>
              <w:rPr>
                <w:rFonts w:hint="default" w:ascii="Times New Roman" w:hAnsi="Times New Roman" w:eastAsia="宋体" w:cs="Times New Roman"/>
                <w:sz w:val="24"/>
                <w:szCs w:val="24"/>
              </w:rPr>
              <w:t>制</w:t>
            </w:r>
            <w:r>
              <w:rPr>
                <w:rFonts w:hint="eastAsia"/>
                <w:sz w:val="24"/>
                <w:szCs w:val="24"/>
                <w:lang w:val="en-US" w:eastAsia="zh-CN"/>
              </w:rPr>
              <w:t>造</w:t>
            </w:r>
            <w:r>
              <w:rPr>
                <w:rFonts w:hint="default" w:ascii="Times New Roman" w:hAnsi="Times New Roman" w:eastAsia="宋体" w:cs="Times New Roman"/>
                <w:sz w:val="24"/>
                <w:szCs w:val="24"/>
              </w:rPr>
              <w:t>中</w:t>
            </w:r>
            <w:r>
              <w:rPr>
                <w:rFonts w:hint="eastAsia" w:cs="Times New Roman"/>
                <w:sz w:val="24"/>
                <w:szCs w:val="24"/>
                <w:lang w:val="en-US" w:eastAsia="zh-CN"/>
              </w:rPr>
              <w:t>使用吸附浓缩+催化燃烧处理</w:t>
            </w:r>
            <w:r>
              <w:rPr>
                <w:rFonts w:hint="eastAsia"/>
                <w:sz w:val="24"/>
                <w:szCs w:val="24"/>
                <w:lang w:val="en-US" w:eastAsia="zh-CN"/>
              </w:rPr>
              <w:t>注塑、加热挤出、</w:t>
            </w:r>
            <w:r>
              <w:rPr>
                <w:rFonts w:hint="eastAsia"/>
                <w:sz w:val="24"/>
                <w:szCs w:val="24"/>
                <w:lang w:eastAsia="zh-CN"/>
              </w:rPr>
              <w:t>吹塑工序产生的</w:t>
            </w:r>
            <w:r>
              <w:rPr>
                <w:rFonts w:hint="eastAsia" w:cs="Times New Roman"/>
                <w:sz w:val="24"/>
                <w:szCs w:val="24"/>
                <w:lang w:val="en-US" w:eastAsia="zh-CN"/>
              </w:rPr>
              <w:t>非甲烷总烃是</w:t>
            </w:r>
            <w:r>
              <w:rPr>
                <w:rFonts w:hint="default" w:ascii="Times New Roman" w:hAnsi="Times New Roman" w:eastAsia="宋体" w:cs="Times New Roman"/>
                <w:sz w:val="24"/>
                <w:szCs w:val="24"/>
              </w:rPr>
              <w:t>可行技术</w:t>
            </w:r>
            <w:r>
              <w:rPr>
                <w:rFonts w:hint="eastAsia" w:eastAsia="宋体" w:cs="Times New Roman"/>
                <w:sz w:val="24"/>
                <w:szCs w:val="24"/>
                <w:lang w:eastAsia="zh-CN"/>
              </w:rPr>
              <w:t>。</w:t>
            </w:r>
          </w:p>
          <w:p>
            <w:pPr>
              <w:pageBreakBefore w:val="0"/>
              <w:numPr>
                <w:ilvl w:val="0"/>
                <w:numId w:val="0"/>
              </w:numPr>
              <w:kinsoku/>
              <w:overflowPunct/>
              <w:topLinePunct w:val="0"/>
              <w:bidi w:val="0"/>
              <w:adjustRightInd w:val="0"/>
              <w:snapToGrid w:val="0"/>
              <w:spacing w:line="360" w:lineRule="auto"/>
              <w:ind w:firstLine="480" w:firstLineChars="200"/>
              <w:textAlignment w:val="baseline"/>
              <w:rPr>
                <w:sz w:val="24"/>
                <w:szCs w:val="24"/>
              </w:rPr>
            </w:pPr>
            <w:r>
              <w:rPr>
                <w:rFonts w:hint="default"/>
                <w:sz w:val="24"/>
                <w:szCs w:val="24"/>
                <w:lang w:val="en-US" w:eastAsia="zh-CN"/>
              </w:rPr>
              <w:t>非甲烷总烃有组织排放浓度</w:t>
            </w:r>
            <w:r>
              <w:rPr>
                <w:rFonts w:hint="eastAsia"/>
                <w:sz w:val="24"/>
                <w:szCs w:val="24"/>
                <w:lang w:val="en-US" w:eastAsia="zh-CN"/>
              </w:rPr>
              <w:t>0.1663</w:t>
            </w:r>
            <w:r>
              <w:rPr>
                <w:rFonts w:hint="default"/>
                <w:sz w:val="24"/>
                <w:szCs w:val="24"/>
                <w:lang w:val="en-US" w:eastAsia="zh-CN"/>
              </w:rPr>
              <w:t>mg/m</w:t>
            </w:r>
            <w:r>
              <w:rPr>
                <w:rFonts w:hint="default"/>
                <w:sz w:val="24"/>
                <w:szCs w:val="24"/>
                <w:vertAlign w:val="superscript"/>
                <w:lang w:val="en-US" w:eastAsia="zh-CN"/>
              </w:rPr>
              <w:t>3</w:t>
            </w:r>
            <w:r>
              <w:rPr>
                <w:rFonts w:hint="eastAsia"/>
                <w:sz w:val="24"/>
                <w:szCs w:val="24"/>
                <w:lang w:val="en-US" w:eastAsia="zh-CN"/>
              </w:rPr>
              <w:t>满足</w:t>
            </w:r>
            <w:r>
              <w:rPr>
                <w:rFonts w:hint="default"/>
                <w:sz w:val="24"/>
                <w:szCs w:val="24"/>
                <w:lang w:val="en-US" w:eastAsia="zh-CN"/>
              </w:rPr>
              <w:t>《合成树脂工业污染物排放标准》(GB31572-2015)表5有组织排放浓度限值（60mg/m</w:t>
            </w:r>
            <w:r>
              <w:rPr>
                <w:rFonts w:hint="default"/>
                <w:sz w:val="24"/>
                <w:szCs w:val="24"/>
                <w:vertAlign w:val="superscript"/>
                <w:lang w:val="en-US" w:eastAsia="zh-CN"/>
              </w:rPr>
              <w:t>3</w:t>
            </w:r>
            <w:r>
              <w:rPr>
                <w:rFonts w:hint="default"/>
                <w:sz w:val="24"/>
                <w:szCs w:val="24"/>
                <w:lang w:val="en-US" w:eastAsia="zh-CN"/>
              </w:rPr>
              <w:t>）</w:t>
            </w:r>
            <w:r>
              <w:rPr>
                <w:rFonts w:hint="eastAsia"/>
                <w:sz w:val="24"/>
                <w:szCs w:val="24"/>
                <w:lang w:val="en-US" w:eastAsia="zh-CN"/>
              </w:rPr>
              <w:t>及</w:t>
            </w:r>
            <w:r>
              <w:rPr>
                <w:rFonts w:hint="eastAsia" w:ascii="Times New Roman" w:hAnsi="Times New Roman" w:eastAsia="宋体" w:cs="Times New Roman"/>
                <w:b w:val="0"/>
                <w:bCs/>
                <w:color w:val="auto"/>
                <w:sz w:val="24"/>
                <w:szCs w:val="24"/>
                <w:lang w:eastAsia="zh-CN"/>
              </w:rPr>
              <w:t>《</w:t>
            </w:r>
            <w:r>
              <w:rPr>
                <w:rFonts w:hint="default" w:ascii="Times New Roman" w:hAnsi="Times New Roman" w:eastAsia="宋体" w:cs="Times New Roman"/>
                <w:b w:val="0"/>
                <w:bCs/>
                <w:color w:val="auto"/>
                <w:sz w:val="24"/>
                <w:szCs w:val="24"/>
                <w:lang w:eastAsia="zh-CN"/>
              </w:rPr>
              <w:t>河南省重污染天气重点行业应急减排措施制定技术指南</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en-US" w:eastAsia="zh-CN"/>
              </w:rPr>
              <w:t>2021年修订版塑料制品行业</w:t>
            </w:r>
            <w:r>
              <w:rPr>
                <w:rFonts w:hint="eastAsia" w:cs="Times New Roman"/>
                <w:b w:val="0"/>
                <w:bCs/>
                <w:color w:val="auto"/>
                <w:sz w:val="24"/>
                <w:szCs w:val="24"/>
                <w:lang w:val="en-US" w:eastAsia="zh-CN"/>
              </w:rPr>
              <w:t>-B</w:t>
            </w:r>
            <w:r>
              <w:rPr>
                <w:rFonts w:hint="default" w:ascii="Times New Roman" w:hAnsi="Times New Roman" w:eastAsia="宋体" w:cs="Times New Roman"/>
                <w:b w:val="0"/>
                <w:bCs/>
                <w:color w:val="auto"/>
                <w:sz w:val="24"/>
                <w:szCs w:val="24"/>
                <w:lang w:val="en-US" w:eastAsia="zh-CN"/>
              </w:rPr>
              <w:t>级</w:t>
            </w:r>
            <w:r>
              <w:rPr>
                <w:rFonts w:hint="eastAsia" w:cs="Times New Roman"/>
                <w:b w:val="0"/>
                <w:bCs/>
                <w:color w:val="auto"/>
                <w:sz w:val="24"/>
                <w:szCs w:val="24"/>
                <w:lang w:val="en-US" w:eastAsia="zh-CN"/>
              </w:rPr>
              <w:t>非甲烷总烃排放标准（30mg/m</w:t>
            </w:r>
            <w:r>
              <w:rPr>
                <w:rFonts w:hint="eastAsia" w:cs="Times New Roman"/>
                <w:b w:val="0"/>
                <w:bCs/>
                <w:color w:val="auto"/>
                <w:sz w:val="24"/>
                <w:szCs w:val="24"/>
                <w:vertAlign w:val="superscript"/>
                <w:lang w:val="en-US" w:eastAsia="zh-CN"/>
              </w:rPr>
              <w:t>3</w:t>
            </w:r>
            <w:r>
              <w:rPr>
                <w:rFonts w:hint="eastAsia" w:cs="Times New Roman"/>
                <w:b w:val="0"/>
                <w:bCs/>
                <w:color w:val="auto"/>
                <w:sz w:val="24"/>
                <w:szCs w:val="24"/>
                <w:lang w:val="en-US" w:eastAsia="zh-CN"/>
              </w:rPr>
              <w:t>）</w:t>
            </w:r>
            <w:r>
              <w:rPr>
                <w:rFonts w:hint="eastAsia"/>
                <w:sz w:val="24"/>
                <w:szCs w:val="24"/>
                <w:lang w:eastAsia="zh-CN"/>
              </w:rPr>
              <w:t>。</w:t>
            </w:r>
          </w:p>
          <w:p>
            <w:pPr>
              <w:keepNext w:val="0"/>
              <w:keepLines w:val="0"/>
              <w:pageBreakBefore w:val="0"/>
              <w:widowControl w:val="0"/>
              <w:numPr>
                <w:ilvl w:val="0"/>
                <w:numId w:val="13"/>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pPr>
            <w:r>
              <w:rPr>
                <w:rFonts w:hint="default"/>
                <w:sz w:val="24"/>
                <w:szCs w:val="24"/>
                <w:lang w:val="en-US" w:eastAsia="zh-CN"/>
              </w:rPr>
              <w:t>无组织废气</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评价建议采取如下措施：</w:t>
            </w:r>
          </w:p>
          <w:p>
            <w:pPr>
              <w:pStyle w:val="5"/>
              <w:keepNext w:val="0"/>
              <w:keepLines w:val="0"/>
              <w:pageBreakBefore w:val="0"/>
              <w:widowControl w:val="0"/>
              <w:numPr>
                <w:ilvl w:val="0"/>
                <w:numId w:val="14"/>
              </w:numP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本项目所有原料位于原料库内，厂区内无露天堆放；</w:t>
            </w:r>
          </w:p>
          <w:p>
            <w:pPr>
              <w:pStyle w:val="5"/>
              <w:keepNext w:val="0"/>
              <w:keepLines w:val="0"/>
              <w:pageBreakBefore w:val="0"/>
              <w:widowControl w:val="0"/>
              <w:numPr>
                <w:ilvl w:val="0"/>
                <w:numId w:val="14"/>
              </w:numPr>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车间和料库完全密闭，并安装卷帘门，无车辆出入时将门关闭；</w:t>
            </w:r>
          </w:p>
          <w:p>
            <w:pPr>
              <w:pStyle w:val="5"/>
              <w:keepNext w:val="0"/>
              <w:keepLines w:val="0"/>
              <w:pageBreakBefore w:val="0"/>
              <w:widowControl w:val="0"/>
              <w:numPr>
                <w:ilvl w:val="0"/>
                <w:numId w:val="14"/>
              </w:numPr>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物料位于封闭车间内，车间全密闭</w:t>
            </w:r>
            <w:r>
              <w:rPr>
                <w:rFonts w:hint="default" w:ascii="Times New Roman" w:hAnsi="Times New Roman" w:eastAsia="宋体" w:cs="Times New Roman"/>
                <w:sz w:val="24"/>
                <w:szCs w:val="24"/>
              </w:rPr>
              <w:t>，卸料过程在密闭车间内</w:t>
            </w:r>
            <w:r>
              <w:rPr>
                <w:rFonts w:hint="default" w:ascii="Times New Roman" w:hAnsi="Times New Roman" w:eastAsia="宋体" w:cs="Times New Roman"/>
                <w:sz w:val="24"/>
                <w:szCs w:val="24"/>
                <w:lang w:eastAsia="zh-CN"/>
              </w:rPr>
              <w:t>；</w:t>
            </w:r>
          </w:p>
          <w:p>
            <w:pPr>
              <w:pStyle w:val="5"/>
              <w:keepNext w:val="0"/>
              <w:keepLines w:val="0"/>
              <w:pageBreakBefore w:val="0"/>
              <w:widowControl w:val="0"/>
              <w:numPr>
                <w:ilvl w:val="0"/>
                <w:numId w:val="14"/>
              </w:numPr>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对厂区道路硬化，定期洒水降尘，保证地面无积尘，无法进行硬化的区域，进行绿化，厂区无裸露空地</w:t>
            </w:r>
            <w:r>
              <w:rPr>
                <w:rFonts w:hint="default" w:ascii="Times New Roman" w:hAnsi="Times New Roman" w:eastAsia="宋体" w:cs="Times New Roman"/>
                <w:sz w:val="24"/>
                <w:szCs w:val="24"/>
                <w:lang w:eastAsia="zh-CN"/>
              </w:rPr>
              <w:t>。</w:t>
            </w:r>
          </w:p>
          <w:p>
            <w:pPr>
              <w:pStyle w:val="5"/>
              <w:pageBreakBefore w:val="0"/>
              <w:kinsoku/>
              <w:overflowPunct/>
              <w:topLinePunct w:val="0"/>
              <w:bidi w:val="0"/>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2、</w:t>
            </w:r>
            <w:r>
              <w:rPr>
                <w:rFonts w:hint="default"/>
                <w:sz w:val="24"/>
                <w:szCs w:val="24"/>
                <w:lang w:val="en-US" w:eastAsia="zh-CN"/>
              </w:rPr>
              <w:t>大气污染物排放核算</w:t>
            </w:r>
          </w:p>
          <w:p>
            <w:pPr>
              <w:pStyle w:val="5"/>
              <w:pageBreakBefore w:val="0"/>
              <w:kinsoku/>
              <w:overflowPunct/>
              <w:topLinePunct w:val="0"/>
              <w:bidi w:val="0"/>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本项目</w:t>
            </w:r>
            <w:r>
              <w:rPr>
                <w:rFonts w:hint="eastAsia"/>
                <w:sz w:val="24"/>
                <w:szCs w:val="24"/>
                <w:lang w:val="en-US" w:eastAsia="zh-CN"/>
              </w:rPr>
              <w:t>废气产排情况见下</w:t>
            </w:r>
            <w:r>
              <w:rPr>
                <w:rFonts w:hint="default"/>
                <w:sz w:val="24"/>
                <w:szCs w:val="24"/>
                <w:lang w:val="en-US" w:eastAsia="zh-CN"/>
              </w:rPr>
              <w:t>表。</w:t>
            </w:r>
          </w:p>
          <w:p>
            <w:pPr>
              <w:jc w:val="center"/>
              <w:rPr>
                <w:rFonts w:hint="default" w:eastAsia="宋体"/>
                <w:lang w:val="en-US" w:eastAsia="zh-CN"/>
              </w:rPr>
            </w:pPr>
            <w:r>
              <w:rPr>
                <w:rFonts w:hint="eastAsia"/>
                <w:lang w:val="en-US" w:eastAsia="zh-CN"/>
              </w:rPr>
              <w:t>表23     本项目废气产排情况一览表</w:t>
            </w:r>
          </w:p>
          <w:tbl>
            <w:tblPr>
              <w:tblStyle w:val="22"/>
              <w:tblW w:w="80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88"/>
              <w:gridCol w:w="532"/>
              <w:gridCol w:w="419"/>
              <w:gridCol w:w="596"/>
              <w:gridCol w:w="594"/>
              <w:gridCol w:w="939"/>
              <w:gridCol w:w="1153"/>
              <w:gridCol w:w="508"/>
              <w:gridCol w:w="831"/>
              <w:gridCol w:w="806"/>
              <w:gridCol w:w="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41" w:hRule="atLeast"/>
                <w:tblHeader/>
                <w:jc w:val="center"/>
              </w:trPr>
              <w:tc>
                <w:tcPr>
                  <w:tcW w:w="35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eastAsia="宋体" w:cs="Times New Roman"/>
                      <w:b w:val="0"/>
                      <w:bCs/>
                      <w:color w:val="auto"/>
                      <w:sz w:val="21"/>
                      <w:szCs w:val="21"/>
                      <w:lang w:eastAsia="zh-CN"/>
                    </w:rPr>
                    <w:t>产排污环节</w:t>
                  </w:r>
                </w:p>
              </w:tc>
              <w:tc>
                <w:tcPr>
                  <w:tcW w:w="3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污染物</w:t>
                  </w:r>
                </w:p>
              </w:tc>
              <w:tc>
                <w:tcPr>
                  <w:tcW w:w="53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eastAsia="宋体" w:cs="Times New Roman"/>
                      <w:b w:val="0"/>
                      <w:bCs/>
                      <w:color w:val="auto"/>
                      <w:sz w:val="21"/>
                      <w:szCs w:val="21"/>
                      <w:lang w:eastAsia="zh-CN"/>
                    </w:rPr>
                    <w:t>排放口编号</w:t>
                  </w:r>
                </w:p>
              </w:tc>
              <w:tc>
                <w:tcPr>
                  <w:tcW w:w="41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eastAsia="宋体" w:cs="Times New Roman"/>
                      <w:b w:val="0"/>
                      <w:bCs/>
                      <w:color w:val="auto"/>
                      <w:sz w:val="21"/>
                      <w:szCs w:val="21"/>
                      <w:lang w:eastAsia="zh-CN"/>
                    </w:rPr>
                    <w:t>排放形式</w:t>
                  </w:r>
                </w:p>
              </w:tc>
              <w:tc>
                <w:tcPr>
                  <w:tcW w:w="5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lang w:eastAsia="zh-CN"/>
                    </w:rPr>
                    <w:t>产生</w:t>
                  </w:r>
                  <w:r>
                    <w:rPr>
                      <w:rFonts w:hint="default" w:ascii="Times New Roman" w:hAnsi="Times New Roman" w:eastAsia="宋体" w:cs="Times New Roman"/>
                      <w:b w:val="0"/>
                      <w:bCs/>
                      <w:color w:val="auto"/>
                      <w:sz w:val="21"/>
                      <w:szCs w:val="21"/>
                    </w:rPr>
                    <w:t>量t/a</w:t>
                  </w:r>
                </w:p>
              </w:tc>
              <w:tc>
                <w:tcPr>
                  <w:tcW w:w="59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产生速率kg/h</w:t>
                  </w:r>
                </w:p>
              </w:tc>
              <w:tc>
                <w:tcPr>
                  <w:tcW w:w="93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val="0"/>
                      <w:bCs/>
                      <w:color w:val="auto"/>
                      <w:sz w:val="21"/>
                      <w:szCs w:val="21"/>
                      <w:lang w:eastAsia="zh-CN"/>
                    </w:rPr>
                    <w:t>产生浓</w:t>
                  </w:r>
                  <w:r>
                    <w:rPr>
                      <w:rFonts w:hint="eastAsia" w:cs="Times New Roman"/>
                      <w:b w:val="0"/>
                      <w:bCs/>
                      <w:color w:val="auto"/>
                      <w:sz w:val="21"/>
                      <w:szCs w:val="21"/>
                      <w:lang w:val="en-US" w:eastAsia="zh-CN"/>
                    </w:rPr>
                    <w:t>度(</w:t>
                  </w:r>
                  <w:r>
                    <w:rPr>
                      <w:rFonts w:hint="default" w:ascii="Times New Roman" w:hAnsi="Times New Roman" w:eastAsia="宋体" w:cs="Times New Roman"/>
                      <w:b w:val="0"/>
                      <w:bCs/>
                      <w:color w:val="auto"/>
                      <w:sz w:val="21"/>
                      <w:szCs w:val="21"/>
                      <w:lang w:val="en-US" w:eastAsia="zh-CN"/>
                    </w:rPr>
                    <w:t>mg/m</w:t>
                  </w:r>
                  <w:r>
                    <w:rPr>
                      <w:rFonts w:hint="default" w:ascii="Times New Roman" w:hAnsi="Times New Roman" w:eastAsia="宋体" w:cs="Times New Roman"/>
                      <w:b w:val="0"/>
                      <w:bCs/>
                      <w:color w:val="auto"/>
                      <w:sz w:val="21"/>
                      <w:szCs w:val="21"/>
                      <w:vertAlign w:val="superscript"/>
                      <w:lang w:val="en-US" w:eastAsia="zh-CN"/>
                    </w:rPr>
                    <w:t>3</w:t>
                  </w:r>
                  <w:r>
                    <w:rPr>
                      <w:rFonts w:hint="eastAsia" w:cs="Times New Roman"/>
                      <w:b w:val="0"/>
                      <w:bCs/>
                      <w:color w:val="auto"/>
                      <w:sz w:val="21"/>
                      <w:szCs w:val="21"/>
                      <w:vertAlign w:val="baseline"/>
                      <w:lang w:val="en-US" w:eastAsia="zh-CN"/>
                    </w:rPr>
                    <w:t>)</w:t>
                  </w:r>
                </w:p>
              </w:tc>
              <w:tc>
                <w:tcPr>
                  <w:tcW w:w="115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治理措施</w:t>
                  </w:r>
                </w:p>
              </w:tc>
              <w:tc>
                <w:tcPr>
                  <w:tcW w:w="50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eastAsia="宋体" w:cs="Times New Roman"/>
                      <w:b w:val="0"/>
                      <w:bCs/>
                      <w:color w:val="auto"/>
                      <w:sz w:val="21"/>
                      <w:szCs w:val="21"/>
                      <w:lang w:eastAsia="zh-CN"/>
                    </w:rPr>
                    <w:t>是否为可行技术</w:t>
                  </w:r>
                </w:p>
              </w:tc>
              <w:tc>
                <w:tcPr>
                  <w:tcW w:w="83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排放量t/a</w:t>
                  </w:r>
                </w:p>
              </w:tc>
              <w:tc>
                <w:tcPr>
                  <w:tcW w:w="80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排放速率kg/h</w:t>
                  </w:r>
                </w:p>
              </w:tc>
              <w:tc>
                <w:tcPr>
                  <w:tcW w:w="95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eastAsia="zh-CN"/>
                    </w:rPr>
                    <w:t>排放浓度</w:t>
                  </w:r>
                  <w:r>
                    <w:rPr>
                      <w:rFonts w:hint="eastAsia"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val="en-US" w:eastAsia="zh-CN"/>
                    </w:rPr>
                    <w:t>mg/m</w:t>
                  </w:r>
                  <w:r>
                    <w:rPr>
                      <w:rFonts w:hint="default" w:ascii="Times New Roman" w:hAnsi="Times New Roman" w:eastAsia="宋体" w:cs="Times New Roman"/>
                      <w:b w:val="0"/>
                      <w:bCs/>
                      <w:color w:val="auto"/>
                      <w:sz w:val="21"/>
                      <w:szCs w:val="21"/>
                      <w:vertAlign w:val="superscript"/>
                      <w:lang w:val="en-US" w:eastAsia="zh-CN"/>
                    </w:rPr>
                    <w:t>3</w:t>
                  </w:r>
                  <w:r>
                    <w:rPr>
                      <w:rFonts w:hint="eastAsia" w:cs="Times New Roman"/>
                      <w:b w:val="0"/>
                      <w:bCs/>
                      <w:color w:val="auto"/>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351" w:type="dxa"/>
                  <w:vMerge w:val="restart"/>
                  <w:tcBorders>
                    <w:tl2br w:val="nil"/>
                    <w:tr2bl w:val="nil"/>
                  </w:tcBorders>
                  <w:noWrap w:val="0"/>
                  <w:vAlign w:val="center"/>
                </w:tcPr>
                <w:p>
                  <w:pPr>
                    <w:pStyle w:val="6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破碎</w:t>
                  </w:r>
                </w:p>
              </w:tc>
              <w:tc>
                <w:tcPr>
                  <w:tcW w:w="388" w:type="dxa"/>
                  <w:vMerge w:val="restart"/>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颗粒物</w:t>
                  </w:r>
                </w:p>
              </w:tc>
              <w:tc>
                <w:tcPr>
                  <w:tcW w:w="532" w:type="dxa"/>
                  <w:vMerge w:val="restart"/>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DA001</w:t>
                  </w:r>
                </w:p>
              </w:tc>
              <w:tc>
                <w:tcPr>
                  <w:tcW w:w="419"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w:t>
                  </w:r>
                </w:p>
              </w:tc>
              <w:tc>
                <w:tcPr>
                  <w:tcW w:w="59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0.025</w:t>
                  </w:r>
                  <w:r>
                    <w:rPr>
                      <w:rFonts w:hint="eastAsia" w:ascii="Times New Roman" w:hAnsi="Times New Roman" w:cs="Times New Roman"/>
                      <w:i w:val="0"/>
                      <w:iCs w:val="0"/>
                      <w:color w:val="000000"/>
                      <w:kern w:val="0"/>
                      <w:sz w:val="21"/>
                      <w:szCs w:val="21"/>
                      <w:u w:val="none"/>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5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0.0243</w:t>
                  </w:r>
                </w:p>
              </w:tc>
              <w:tc>
                <w:tcPr>
                  <w:tcW w:w="93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2.1075</w:t>
                  </w:r>
                </w:p>
              </w:tc>
              <w:tc>
                <w:tcPr>
                  <w:tcW w:w="1153"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3"/>
                      <w:sz w:val="21"/>
                      <w:szCs w:val="21"/>
                      <w:lang w:eastAsia="zh-CN"/>
                    </w:rPr>
                    <w:t>集气装置</w:t>
                  </w:r>
                  <w:r>
                    <w:rPr>
                      <w:rFonts w:hint="default" w:ascii="Times New Roman" w:hAnsi="Times New Roman" w:eastAsia="宋体" w:cs="Times New Roman"/>
                      <w:color w:val="auto"/>
                      <w:spacing w:val="3"/>
                      <w:sz w:val="21"/>
                      <w:szCs w:val="21"/>
                      <w:lang w:val="en-US" w:eastAsia="zh-CN"/>
                    </w:rPr>
                    <w:t>+</w:t>
                  </w:r>
                  <w:r>
                    <w:rPr>
                      <w:rFonts w:hint="eastAsia" w:cs="Times New Roman"/>
                      <w:color w:val="auto"/>
                      <w:spacing w:val="3"/>
                      <w:sz w:val="21"/>
                      <w:szCs w:val="21"/>
                      <w:lang w:val="en-US" w:eastAsia="zh-CN"/>
                    </w:rPr>
                    <w:t>袋式除尘器</w:t>
                  </w:r>
                  <w:r>
                    <w:rPr>
                      <w:rFonts w:hint="default" w:ascii="Times New Roman" w:hAnsi="Times New Roman" w:eastAsia="宋体" w:cs="Times New Roman"/>
                      <w:color w:val="auto"/>
                      <w:spacing w:val="3"/>
                      <w:sz w:val="21"/>
                      <w:szCs w:val="21"/>
                      <w:lang w:val="en-US" w:eastAsia="zh-CN"/>
                    </w:rPr>
                    <w:t>+15m排气筒</w:t>
                  </w:r>
                  <w:r>
                    <w:rPr>
                      <w:rFonts w:hint="eastAsia" w:ascii="Times New Roman" w:hAnsi="Times New Roman" w:eastAsia="宋体" w:cs="Times New Roman"/>
                      <w:color w:val="auto"/>
                      <w:spacing w:val="3"/>
                      <w:sz w:val="21"/>
                      <w:szCs w:val="21"/>
                      <w:lang w:val="en-US" w:eastAsia="zh-CN"/>
                    </w:rPr>
                    <w:t>（</w:t>
                  </w:r>
                  <w:r>
                    <w:rPr>
                      <w:rFonts w:hint="eastAsia"/>
                      <w:color w:val="auto"/>
                      <w:sz w:val="21"/>
                      <w:szCs w:val="21"/>
                      <w:lang w:eastAsia="zh-CN"/>
                    </w:rPr>
                    <w:t>处理能力</w:t>
                  </w:r>
                  <w:r>
                    <w:rPr>
                      <w:rFonts w:hint="eastAsia"/>
                      <w:color w:val="auto"/>
                      <w:sz w:val="21"/>
                      <w:szCs w:val="21"/>
                      <w:lang w:val="en-US" w:eastAsia="zh-CN"/>
                    </w:rPr>
                    <w:t>12000m</w:t>
                  </w:r>
                  <w:r>
                    <w:rPr>
                      <w:rFonts w:hint="eastAsia"/>
                      <w:color w:val="auto"/>
                      <w:sz w:val="21"/>
                      <w:szCs w:val="21"/>
                      <w:vertAlign w:val="superscript"/>
                      <w:lang w:val="en-US" w:eastAsia="zh-CN"/>
                    </w:rPr>
                    <w:t>3</w:t>
                  </w:r>
                  <w:r>
                    <w:rPr>
                      <w:rFonts w:hint="eastAsia"/>
                      <w:color w:val="auto"/>
                      <w:sz w:val="21"/>
                      <w:szCs w:val="21"/>
                      <w:lang w:val="en-US" w:eastAsia="zh-CN"/>
                    </w:rPr>
                    <w:t>/h，90%收集效率，99%去除率</w:t>
                  </w:r>
                </w:p>
              </w:tc>
              <w:tc>
                <w:tcPr>
                  <w:tcW w:w="508"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3"/>
                      <w:sz w:val="21"/>
                      <w:szCs w:val="21"/>
                      <w:lang w:eastAsia="zh-CN"/>
                    </w:rPr>
                    <w:t>是</w:t>
                  </w:r>
                </w:p>
              </w:tc>
              <w:tc>
                <w:tcPr>
                  <w:tcW w:w="831"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0.0003</w:t>
                  </w:r>
                </w:p>
              </w:tc>
              <w:tc>
                <w:tcPr>
                  <w:tcW w:w="80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0.0002</w:t>
                  </w:r>
                </w:p>
              </w:tc>
              <w:tc>
                <w:tcPr>
                  <w:tcW w:w="957"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0.0211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9" w:hRule="atLeast"/>
                <w:jc w:val="center"/>
              </w:trPr>
              <w:tc>
                <w:tcPr>
                  <w:tcW w:w="351" w:type="dxa"/>
                  <w:vMerge w:val="continue"/>
                  <w:tcBorders>
                    <w:tl2br w:val="nil"/>
                    <w:tr2bl w:val="nil"/>
                  </w:tcBorders>
                  <w:noWrap w:val="0"/>
                  <w:vAlign w:val="center"/>
                </w:tcPr>
                <w:p>
                  <w:pPr>
                    <w:pStyle w:val="6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p>
              </w:tc>
              <w:tc>
                <w:tcPr>
                  <w:tcW w:w="388" w:type="dxa"/>
                  <w:vMerge w:val="continue"/>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val="en-US" w:eastAsia="zh-CN"/>
                    </w:rPr>
                  </w:pPr>
                </w:p>
              </w:tc>
              <w:tc>
                <w:tcPr>
                  <w:tcW w:w="532" w:type="dxa"/>
                  <w:vMerge w:val="continue"/>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21"/>
                      <w:szCs w:val="21"/>
                      <w:lang w:val="en-US" w:eastAsia="zh-CN"/>
                    </w:rPr>
                  </w:pPr>
                </w:p>
              </w:tc>
              <w:tc>
                <w:tcPr>
                  <w:tcW w:w="419"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无组织</w:t>
                  </w:r>
                </w:p>
              </w:tc>
              <w:tc>
                <w:tcPr>
                  <w:tcW w:w="59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0.0028 </w:t>
                  </w:r>
                </w:p>
              </w:tc>
              <w:tc>
                <w:tcPr>
                  <w:tcW w:w="5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3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153"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pacing w:val="3"/>
                      <w:sz w:val="21"/>
                      <w:szCs w:val="21"/>
                      <w:lang w:val="en-US" w:eastAsia="zh-CN"/>
                    </w:rPr>
                    <w:t>/</w:t>
                  </w:r>
                </w:p>
              </w:tc>
              <w:tc>
                <w:tcPr>
                  <w:tcW w:w="508"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831"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0.0028</w:t>
                  </w:r>
                </w:p>
              </w:tc>
              <w:tc>
                <w:tcPr>
                  <w:tcW w:w="80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57"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4" w:hRule="atLeast"/>
                <w:jc w:val="center"/>
              </w:trPr>
              <w:tc>
                <w:tcPr>
                  <w:tcW w:w="351" w:type="dxa"/>
                  <w:vMerge w:val="restart"/>
                  <w:tcBorders>
                    <w:tl2br w:val="nil"/>
                    <w:tr2bl w:val="nil"/>
                  </w:tcBorders>
                  <w:noWrap w:val="0"/>
                  <w:vAlign w:val="center"/>
                </w:tcPr>
                <w:p>
                  <w:pPr>
                    <w:pStyle w:val="6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auto"/>
                      <w:sz w:val="21"/>
                      <w:szCs w:val="21"/>
                      <w:lang w:val="en-US" w:eastAsia="zh-CN"/>
                    </w:rPr>
                    <w:t>注塑、加</w:t>
                  </w:r>
                  <w:r>
                    <w:rPr>
                      <w:rFonts w:hint="eastAsia" w:cs="Times New Roman"/>
                      <w:color w:val="auto"/>
                      <w:sz w:val="21"/>
                      <w:szCs w:val="21"/>
                      <w:lang w:val="en-US" w:eastAsia="zh-CN"/>
                    </w:rPr>
                    <w:t>热</w:t>
                  </w:r>
                  <w:r>
                    <w:rPr>
                      <w:rFonts w:hint="default" w:ascii="Times New Roman" w:hAnsi="Times New Roman" w:eastAsia="宋体" w:cs="Times New Roman"/>
                      <w:color w:val="auto"/>
                      <w:sz w:val="21"/>
                      <w:szCs w:val="21"/>
                      <w:lang w:val="en-US" w:eastAsia="zh-CN"/>
                    </w:rPr>
                    <w:t>挤出、吹塑工序</w:t>
                  </w:r>
                </w:p>
              </w:tc>
              <w:tc>
                <w:tcPr>
                  <w:tcW w:w="388" w:type="dxa"/>
                  <w:vMerge w:val="restart"/>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auto"/>
                      <w:sz w:val="21"/>
                      <w:szCs w:val="21"/>
                      <w:lang w:val="en-US" w:eastAsia="zh-CN"/>
                    </w:rPr>
                    <w:t>非甲烷总烃</w:t>
                  </w:r>
                </w:p>
              </w:tc>
              <w:tc>
                <w:tcPr>
                  <w:tcW w:w="532" w:type="dxa"/>
                  <w:vMerge w:val="restart"/>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cs="Times New Roman"/>
                      <w:color w:val="auto"/>
                      <w:sz w:val="21"/>
                      <w:szCs w:val="21"/>
                      <w:lang w:val="en-US" w:eastAsia="zh-CN"/>
                    </w:rPr>
                    <w:t>DA00</w:t>
                  </w:r>
                  <w:r>
                    <w:rPr>
                      <w:rFonts w:hint="eastAsia" w:ascii="Times New Roman" w:hAnsi="Times New Roman" w:eastAsia="宋体" w:cs="Times New Roman"/>
                      <w:color w:val="auto"/>
                      <w:sz w:val="21"/>
                      <w:szCs w:val="21"/>
                      <w:lang w:val="en-US" w:eastAsia="zh-CN"/>
                    </w:rPr>
                    <w:t>2</w:t>
                  </w:r>
                </w:p>
              </w:tc>
              <w:tc>
                <w:tcPr>
                  <w:tcW w:w="419"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有组织</w:t>
                  </w:r>
                </w:p>
              </w:tc>
              <w:tc>
                <w:tcPr>
                  <w:tcW w:w="59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0.4988</w:t>
                  </w:r>
                </w:p>
              </w:tc>
              <w:tc>
                <w:tcPr>
                  <w:tcW w:w="5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b w:val="0"/>
                      <w:bCs w:val="0"/>
                      <w:sz w:val="21"/>
                      <w:szCs w:val="21"/>
                      <w:lang w:val="en-US" w:eastAsia="zh-CN"/>
                    </w:rPr>
                  </w:pPr>
                  <w:r>
                    <w:rPr>
                      <w:rFonts w:hint="eastAsia"/>
                      <w:b w:val="0"/>
                      <w:bCs w:val="0"/>
                      <w:sz w:val="21"/>
                      <w:szCs w:val="21"/>
                      <w:lang w:val="en-US" w:eastAsia="zh-CN"/>
                    </w:rPr>
                    <w:t>0.1918</w:t>
                  </w:r>
                </w:p>
              </w:tc>
              <w:tc>
                <w:tcPr>
                  <w:tcW w:w="93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32.2500</w:t>
                  </w:r>
                  <w:r>
                    <w:rPr>
                      <w:rFonts w:hint="eastAsia" w:ascii="Times New Roman" w:hAnsi="Times New Roman" w:eastAsia="宋体" w:cs="Times New Roman"/>
                      <w:color w:val="auto"/>
                      <w:sz w:val="21"/>
                      <w:szCs w:val="21"/>
                      <w:lang w:val="en-US" w:eastAsia="zh-CN"/>
                    </w:rPr>
                    <w:t xml:space="preserve">  </w:t>
                  </w:r>
                </w:p>
              </w:tc>
              <w:tc>
                <w:tcPr>
                  <w:tcW w:w="1153"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3"/>
                      <w:sz w:val="21"/>
                      <w:szCs w:val="21"/>
                      <w:lang w:eastAsia="zh-CN"/>
                    </w:rPr>
                    <w:t>集气</w:t>
                  </w:r>
                  <w:r>
                    <w:rPr>
                      <w:rFonts w:hint="eastAsia" w:cs="Times New Roman"/>
                      <w:color w:val="auto"/>
                      <w:spacing w:val="3"/>
                      <w:sz w:val="21"/>
                      <w:szCs w:val="21"/>
                      <w:lang w:val="en-US" w:eastAsia="zh-CN"/>
                    </w:rPr>
                    <w:t>罩</w:t>
                  </w:r>
                  <w:r>
                    <w:rPr>
                      <w:rFonts w:hint="eastAsia"/>
                      <w:color w:val="auto"/>
                      <w:sz w:val="21"/>
                      <w:szCs w:val="21"/>
                      <w:lang w:val="en-US" w:eastAsia="zh-CN"/>
                    </w:rPr>
                    <w:t>+</w:t>
                  </w:r>
                  <w:r>
                    <w:rPr>
                      <w:rFonts w:hint="eastAsia" w:ascii="Times New Roman" w:hAnsi="Times New Roman" w:eastAsia="宋体" w:cs="Times New Roman"/>
                      <w:bCs/>
                      <w:color w:val="auto"/>
                      <w:sz w:val="21"/>
                      <w:szCs w:val="21"/>
                      <w:lang w:val="en-US" w:eastAsia="zh-CN"/>
                    </w:rPr>
                    <w:t>活性炭吸附</w:t>
                  </w:r>
                  <w:r>
                    <w:rPr>
                      <w:rFonts w:hint="eastAsia"/>
                      <w:color w:val="auto"/>
                      <w:sz w:val="21"/>
                      <w:szCs w:val="21"/>
                      <w:lang w:val="en-US" w:eastAsia="zh-CN"/>
                    </w:rPr>
                    <w:t>脱附+催化燃烧</w:t>
                  </w:r>
                  <w:r>
                    <w:rPr>
                      <w:rFonts w:hint="eastAsia" w:ascii="Times New Roman" w:hAnsi="Times New Roman" w:eastAsia="宋体" w:cs="Times New Roman"/>
                      <w:bCs/>
                      <w:color w:val="auto"/>
                      <w:sz w:val="21"/>
                      <w:szCs w:val="21"/>
                      <w:lang w:val="en-US" w:eastAsia="zh-CN"/>
                    </w:rPr>
                    <w:t>装置</w:t>
                  </w:r>
                  <w:r>
                    <w:rPr>
                      <w:rFonts w:hint="default" w:ascii="Times New Roman" w:hAnsi="Times New Roman" w:eastAsia="宋体" w:cs="Times New Roman"/>
                      <w:color w:val="auto"/>
                      <w:spacing w:val="3"/>
                      <w:sz w:val="21"/>
                      <w:szCs w:val="21"/>
                      <w:lang w:val="en-US" w:eastAsia="zh-CN"/>
                    </w:rPr>
                    <w:t>+15m排气筒</w:t>
                  </w:r>
                  <w:r>
                    <w:rPr>
                      <w:rFonts w:hint="eastAsia" w:ascii="Times New Roman" w:hAnsi="Times New Roman" w:eastAsia="宋体" w:cs="Times New Roman"/>
                      <w:color w:val="auto"/>
                      <w:spacing w:val="3"/>
                      <w:sz w:val="21"/>
                      <w:szCs w:val="21"/>
                      <w:lang w:val="en-US" w:eastAsia="zh-CN"/>
                    </w:rPr>
                    <w:t>（</w:t>
                  </w:r>
                  <w:r>
                    <w:rPr>
                      <w:rFonts w:hint="eastAsia"/>
                      <w:color w:val="auto"/>
                      <w:sz w:val="21"/>
                      <w:szCs w:val="21"/>
                      <w:lang w:eastAsia="zh-CN"/>
                    </w:rPr>
                    <w:t>处理能力</w:t>
                  </w:r>
                  <w:r>
                    <w:rPr>
                      <w:rFonts w:hint="eastAsia"/>
                      <w:color w:val="auto"/>
                      <w:sz w:val="21"/>
                      <w:szCs w:val="21"/>
                      <w:lang w:val="en-US" w:eastAsia="zh-CN"/>
                    </w:rPr>
                    <w:t>15000m</w:t>
                  </w:r>
                  <w:r>
                    <w:rPr>
                      <w:rFonts w:hint="eastAsia"/>
                      <w:color w:val="auto"/>
                      <w:sz w:val="21"/>
                      <w:szCs w:val="21"/>
                      <w:vertAlign w:val="superscript"/>
                      <w:lang w:val="en-US" w:eastAsia="zh-CN"/>
                    </w:rPr>
                    <w:t>3</w:t>
                  </w:r>
                  <w:r>
                    <w:rPr>
                      <w:rFonts w:hint="eastAsia"/>
                      <w:color w:val="auto"/>
                      <w:sz w:val="21"/>
                      <w:szCs w:val="21"/>
                      <w:lang w:val="en-US" w:eastAsia="zh-CN"/>
                    </w:rPr>
                    <w:t>/h，95%收集效率，95%去除率</w:t>
                  </w:r>
                  <w:r>
                    <w:rPr>
                      <w:rFonts w:hint="eastAsia" w:ascii="Times New Roman" w:hAnsi="Times New Roman" w:eastAsia="宋体" w:cs="Times New Roman"/>
                      <w:color w:val="auto"/>
                      <w:spacing w:val="3"/>
                      <w:sz w:val="21"/>
                      <w:szCs w:val="21"/>
                      <w:lang w:val="en-US" w:eastAsia="zh-CN"/>
                    </w:rPr>
                    <w:t>）</w:t>
                  </w:r>
                </w:p>
              </w:tc>
              <w:tc>
                <w:tcPr>
                  <w:tcW w:w="508"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3"/>
                      <w:sz w:val="21"/>
                      <w:szCs w:val="21"/>
                      <w:lang w:eastAsia="zh-CN"/>
                    </w:rPr>
                    <w:t>是</w:t>
                  </w:r>
                </w:p>
              </w:tc>
              <w:tc>
                <w:tcPr>
                  <w:tcW w:w="831"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0.0249</w:t>
                  </w:r>
                </w:p>
              </w:tc>
              <w:tc>
                <w:tcPr>
                  <w:tcW w:w="80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0.0096</w:t>
                  </w:r>
                </w:p>
              </w:tc>
              <w:tc>
                <w:tcPr>
                  <w:tcW w:w="957"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0.1663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0" w:hRule="atLeast"/>
                <w:jc w:val="center"/>
              </w:trPr>
              <w:tc>
                <w:tcPr>
                  <w:tcW w:w="351" w:type="dxa"/>
                  <w:vMerge w:val="continue"/>
                  <w:tcBorders>
                    <w:tl2br w:val="nil"/>
                    <w:tr2bl w:val="nil"/>
                  </w:tcBorders>
                  <w:noWrap w:val="0"/>
                  <w:vAlign w:val="center"/>
                </w:tcPr>
                <w:p>
                  <w:pPr>
                    <w:pStyle w:val="6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388" w:type="dxa"/>
                  <w:vMerge w:val="continue"/>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lang w:val="en-US" w:eastAsia="zh-CN" w:bidi="ar-SA"/>
                    </w:rPr>
                  </w:pPr>
                </w:p>
              </w:tc>
              <w:tc>
                <w:tcPr>
                  <w:tcW w:w="532" w:type="dxa"/>
                  <w:vMerge w:val="continue"/>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lang w:val="en-US" w:eastAsia="zh-CN" w:bidi="ar-SA"/>
                    </w:rPr>
                  </w:pPr>
                </w:p>
              </w:tc>
              <w:tc>
                <w:tcPr>
                  <w:tcW w:w="419"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无</w:t>
                  </w:r>
                  <w:r>
                    <w:rPr>
                      <w:rFonts w:hint="default" w:ascii="Times New Roman" w:hAnsi="Times New Roman" w:eastAsia="宋体" w:cs="Times New Roman"/>
                      <w:color w:val="auto"/>
                      <w:sz w:val="21"/>
                      <w:szCs w:val="21"/>
                      <w:lang w:val="en-US" w:eastAsia="zh-CN"/>
                    </w:rPr>
                    <w:t>组织</w:t>
                  </w:r>
                </w:p>
              </w:tc>
              <w:tc>
                <w:tcPr>
                  <w:tcW w:w="59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0.0263</w:t>
                  </w:r>
                </w:p>
              </w:tc>
              <w:tc>
                <w:tcPr>
                  <w:tcW w:w="5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w:t>
                  </w:r>
                </w:p>
              </w:tc>
              <w:tc>
                <w:tcPr>
                  <w:tcW w:w="93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1153"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3"/>
                      <w:sz w:val="21"/>
                      <w:szCs w:val="21"/>
                      <w:lang w:eastAsia="zh-CN"/>
                    </w:rPr>
                  </w:pPr>
                  <w:r>
                    <w:rPr>
                      <w:rFonts w:hint="eastAsia" w:cs="Times New Roman"/>
                      <w:color w:val="auto"/>
                      <w:spacing w:val="3"/>
                      <w:sz w:val="21"/>
                      <w:szCs w:val="21"/>
                      <w:lang w:val="en-US" w:eastAsia="zh-CN"/>
                    </w:rPr>
                    <w:t>/</w:t>
                  </w:r>
                </w:p>
              </w:tc>
              <w:tc>
                <w:tcPr>
                  <w:tcW w:w="508"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3"/>
                      <w:sz w:val="21"/>
                      <w:szCs w:val="21"/>
                      <w:lang w:val="en-US" w:eastAsia="zh-CN"/>
                    </w:rPr>
                  </w:pPr>
                  <w:r>
                    <w:rPr>
                      <w:rFonts w:hint="eastAsia" w:cs="Times New Roman"/>
                      <w:color w:val="auto"/>
                      <w:spacing w:val="3"/>
                      <w:sz w:val="21"/>
                      <w:szCs w:val="21"/>
                      <w:lang w:val="en-US" w:eastAsia="zh-CN"/>
                    </w:rPr>
                    <w:t>是</w:t>
                  </w:r>
                </w:p>
              </w:tc>
              <w:tc>
                <w:tcPr>
                  <w:tcW w:w="831"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0.0263</w:t>
                  </w:r>
                </w:p>
              </w:tc>
              <w:tc>
                <w:tcPr>
                  <w:tcW w:w="806"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957" w:type="dxa"/>
                  <w:tcBorders>
                    <w:tl2br w:val="nil"/>
                    <w:tr2bl w:val="nil"/>
                  </w:tcBorders>
                  <w:noWrap w:val="0"/>
                  <w:vAlign w:val="center"/>
                </w:tcPr>
                <w:p>
                  <w:pPr>
                    <w:pStyle w:val="62"/>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eastAsia" w:cs="Times New Roman"/>
                <w:bCs/>
                <w:color w:val="auto"/>
                <w:sz w:val="24"/>
                <w:szCs w:val="24"/>
                <w:lang w:val="en-US" w:eastAsia="zh-CN"/>
              </w:rPr>
              <w:t>3</w:t>
            </w:r>
            <w:r>
              <w:rPr>
                <w:rFonts w:hint="eastAsia" w:ascii="Times New Roman" w:hAnsi="Times New Roman" w:cs="Times New Roman"/>
                <w:bCs/>
                <w:color w:val="auto"/>
                <w:sz w:val="24"/>
                <w:szCs w:val="24"/>
                <w:lang w:val="en-US" w:eastAsia="zh-CN"/>
              </w:rPr>
              <w:t>、</w:t>
            </w:r>
            <w:r>
              <w:rPr>
                <w:rFonts w:hint="default" w:ascii="Times New Roman" w:hAnsi="Times New Roman" w:cs="Times New Roman"/>
                <w:bCs/>
                <w:color w:val="auto"/>
                <w:sz w:val="24"/>
                <w:szCs w:val="24"/>
              </w:rPr>
              <w:t>本项目废气排放</w:t>
            </w:r>
            <w:r>
              <w:rPr>
                <w:rFonts w:hint="eastAsia" w:ascii="Times New Roman" w:hAnsi="Times New Roman" w:cs="Times New Roman"/>
                <w:bCs/>
                <w:color w:val="auto"/>
                <w:sz w:val="24"/>
                <w:szCs w:val="24"/>
                <w:lang w:eastAsia="zh-CN"/>
              </w:rPr>
              <w:t>口基本情</w:t>
            </w:r>
            <w:r>
              <w:rPr>
                <w:rFonts w:hint="eastAsia" w:ascii="Times New Roman" w:hAnsi="Times New Roman" w:cs="Times New Roman"/>
                <w:bCs/>
                <w:color w:val="auto"/>
                <w:sz w:val="24"/>
                <w:szCs w:val="24"/>
                <w:lang w:val="en-US" w:eastAsia="zh-CN"/>
              </w:rPr>
              <w:t>况。</w:t>
            </w:r>
          </w:p>
          <w:p>
            <w:pPr>
              <w:pStyle w:val="63"/>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cs="Times New Roman"/>
                <w:color w:val="auto"/>
                <w:spacing w:val="3"/>
                <w:sz w:val="21"/>
                <w:szCs w:val="21"/>
                <w:vertAlign w:val="baseline"/>
                <w:lang w:val="en-US" w:eastAsia="zh-CN"/>
              </w:rPr>
            </w:pPr>
            <w:r>
              <w:rPr>
                <w:rFonts w:hint="default" w:ascii="Times New Roman" w:hAnsi="Times New Roman" w:eastAsia="宋体" w:cs="Times New Roman"/>
                <w:color w:val="auto"/>
                <w:kern w:val="2"/>
                <w:sz w:val="21"/>
                <w:szCs w:val="21"/>
              </w:rPr>
              <w:t>表</w:t>
            </w:r>
            <w:r>
              <w:rPr>
                <w:rFonts w:hint="eastAsia" w:ascii="Times New Roman" w:hAnsi="Times New Roman" w:cs="Times New Roman"/>
                <w:color w:val="auto"/>
                <w:kern w:val="2"/>
                <w:sz w:val="21"/>
                <w:szCs w:val="21"/>
                <w:lang w:val="en-US" w:eastAsia="zh-CN"/>
              </w:rPr>
              <w:t>24</w:t>
            </w:r>
            <w:r>
              <w:rPr>
                <w:rFonts w:hint="default" w:ascii="Times New Roman" w:hAnsi="Times New Roman" w:eastAsia="宋体" w:cs="Times New Roman"/>
                <w:color w:val="auto"/>
                <w:kern w:val="2"/>
                <w:sz w:val="21"/>
                <w:szCs w:val="21"/>
                <w:lang w:val="en-US" w:eastAsia="zh-CN"/>
              </w:rPr>
              <w:t xml:space="preserve">  </w:t>
            </w:r>
            <w:r>
              <w:rPr>
                <w:rFonts w:hint="eastAsia" w:ascii="Times New Roman" w:hAnsi="Times New Roman" w:cs="Times New Roman"/>
                <w:color w:val="auto"/>
                <w:kern w:val="2"/>
                <w:sz w:val="21"/>
                <w:szCs w:val="21"/>
                <w:lang w:val="en-US" w:eastAsia="zh-CN"/>
              </w:rPr>
              <w:t xml:space="preserve">         </w:t>
            </w:r>
            <w:r>
              <w:rPr>
                <w:rFonts w:hint="default" w:ascii="Times New Roman" w:hAnsi="Times New Roman" w:eastAsia="宋体" w:cs="Times New Roman"/>
                <w:color w:val="auto"/>
                <w:kern w:val="2"/>
                <w:sz w:val="21"/>
                <w:szCs w:val="21"/>
                <w:lang w:eastAsia="zh-CN"/>
              </w:rPr>
              <w:t>大气排放口基本信息情况表</w:t>
            </w:r>
          </w:p>
          <w:tbl>
            <w:tblPr>
              <w:tblStyle w:val="23"/>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9"/>
              <w:gridCol w:w="520"/>
              <w:gridCol w:w="866"/>
              <w:gridCol w:w="641"/>
              <w:gridCol w:w="955"/>
              <w:gridCol w:w="1513"/>
              <w:gridCol w:w="1473"/>
              <w:gridCol w:w="736"/>
              <w:gridCol w:w="8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25"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eastAsia="zh-CN"/>
                    </w:rPr>
                    <w:t>排放口</w:t>
                  </w:r>
                </w:p>
              </w:tc>
              <w:tc>
                <w:tcPr>
                  <w:tcW w:w="40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rPr>
                    <w:t>排气筒高度/m</w:t>
                  </w:r>
                </w:p>
              </w:tc>
              <w:tc>
                <w:tcPr>
                  <w:tcW w:w="60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rPr>
                    <w:t>排气筒出口内径/m</w:t>
                  </w:r>
                </w:p>
              </w:tc>
              <w:tc>
                <w:tcPr>
                  <w:tcW w:w="188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排放口地理坐标</w:t>
                  </w:r>
                </w:p>
              </w:tc>
              <w:tc>
                <w:tcPr>
                  <w:tcW w:w="46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eastAsia="zh-CN"/>
                    </w:rPr>
                    <w:t>排气</w:t>
                  </w:r>
                  <w:r>
                    <w:rPr>
                      <w:rFonts w:hint="default" w:ascii="Times New Roman" w:hAnsi="Times New Roman" w:cs="Times New Roman"/>
                      <w:b w:val="0"/>
                      <w:bCs/>
                      <w:color w:val="auto"/>
                      <w:sz w:val="21"/>
                      <w:szCs w:val="21"/>
                    </w:rPr>
                    <w:t>温度</w:t>
                  </w:r>
                </w:p>
              </w:tc>
              <w:tc>
                <w:tcPr>
                  <w:tcW w:w="519"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rPr>
                    <w:t>年排放小时数/h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default" w:ascii="Times New Roman" w:hAnsi="Times New Roman" w:cs="Times New Roman"/>
                      <w:b w:val="0"/>
                      <w:bCs/>
                      <w:color w:val="auto"/>
                      <w:sz w:val="21"/>
                      <w:szCs w:val="21"/>
                    </w:rPr>
                    <w:t>名称</w:t>
                  </w:r>
                </w:p>
              </w:tc>
              <w:tc>
                <w:tcPr>
                  <w:tcW w:w="3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sz w:val="21"/>
                      <w:szCs w:val="21"/>
                    </w:rPr>
                  </w:pPr>
                  <w:r>
                    <w:rPr>
                      <w:rFonts w:hint="eastAsia" w:ascii="Times New Roman" w:hAnsi="Times New Roman" w:cs="Times New Roman"/>
                      <w:b w:val="0"/>
                      <w:bCs/>
                      <w:color w:val="auto"/>
                      <w:sz w:val="21"/>
                      <w:szCs w:val="21"/>
                      <w:lang w:eastAsia="zh-CN"/>
                    </w:rPr>
                    <w:t>类型</w:t>
                  </w:r>
                </w:p>
              </w:tc>
              <w:tc>
                <w:tcPr>
                  <w:tcW w:w="5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sz w:val="21"/>
                      <w:szCs w:val="21"/>
                    </w:rPr>
                  </w:pPr>
                  <w:r>
                    <w:rPr>
                      <w:rFonts w:hint="eastAsia" w:ascii="Times New Roman" w:hAnsi="Times New Roman" w:cs="Times New Roman"/>
                      <w:b w:val="0"/>
                      <w:bCs/>
                      <w:color w:val="auto"/>
                      <w:sz w:val="21"/>
                      <w:szCs w:val="21"/>
                      <w:lang w:eastAsia="zh-CN"/>
                    </w:rPr>
                    <w:t>编号</w:t>
                  </w:r>
                </w:p>
              </w:tc>
              <w:tc>
                <w:tcPr>
                  <w:tcW w:w="40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p>
              </w:tc>
              <w:tc>
                <w:tcPr>
                  <w:tcW w:w="60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p>
              </w:tc>
              <w:tc>
                <w:tcPr>
                  <w:tcW w:w="9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eastAsia" w:ascii="Times New Roman" w:hAnsi="Times New Roman" w:cs="Times New Roman"/>
                      <w:b w:val="0"/>
                      <w:bCs/>
                      <w:color w:val="auto"/>
                      <w:sz w:val="21"/>
                      <w:szCs w:val="21"/>
                      <w:lang w:eastAsia="zh-CN"/>
                    </w:rPr>
                    <w:t>经度</w:t>
                  </w:r>
                </w:p>
              </w:tc>
              <w:tc>
                <w:tcPr>
                  <w:tcW w:w="9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sz w:val="21"/>
                      <w:szCs w:val="21"/>
                    </w:rPr>
                  </w:pPr>
                  <w:r>
                    <w:rPr>
                      <w:rFonts w:hint="eastAsia" w:ascii="Times New Roman" w:hAnsi="Times New Roman" w:cs="Times New Roman"/>
                      <w:b w:val="0"/>
                      <w:bCs/>
                      <w:color w:val="auto"/>
                      <w:sz w:val="21"/>
                      <w:szCs w:val="21"/>
                      <w:lang w:eastAsia="zh-CN"/>
                    </w:rPr>
                    <w:t>纬度</w:t>
                  </w:r>
                </w:p>
              </w:tc>
              <w:tc>
                <w:tcPr>
                  <w:tcW w:w="46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p>
              </w:tc>
              <w:tc>
                <w:tcPr>
                  <w:tcW w:w="51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25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eastAsia" w:ascii="Times New Roman" w:hAnsi="Times New Roman" w:eastAsia="宋体" w:cs="Times New Roman"/>
                      <w:color w:val="auto"/>
                      <w:sz w:val="21"/>
                      <w:szCs w:val="21"/>
                      <w:lang w:eastAsia="zh-CN"/>
                    </w:rPr>
                    <w:t>废气排放口</w:t>
                  </w:r>
                </w:p>
              </w:tc>
              <w:tc>
                <w:tcPr>
                  <w:tcW w:w="32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sz w:val="21"/>
                      <w:szCs w:val="21"/>
                      <w:lang w:val="en-US"/>
                    </w:rPr>
                  </w:pPr>
                  <w:r>
                    <w:rPr>
                      <w:rFonts w:hint="eastAsia" w:ascii="Times New Roman" w:hAnsi="Times New Roman" w:cs="Times New Roman"/>
                      <w:color w:val="auto"/>
                      <w:sz w:val="21"/>
                      <w:szCs w:val="21"/>
                      <w:lang w:eastAsia="zh-CN"/>
                    </w:rPr>
                    <w:t>一般排放</w:t>
                  </w:r>
                  <w:r>
                    <w:rPr>
                      <w:rFonts w:hint="eastAsia" w:cs="Times New Roman"/>
                      <w:color w:val="auto"/>
                      <w:sz w:val="21"/>
                      <w:szCs w:val="21"/>
                      <w:lang w:val="en-US" w:eastAsia="zh-CN"/>
                    </w:rPr>
                    <w:t>口</w:t>
                  </w:r>
                </w:p>
              </w:tc>
              <w:tc>
                <w:tcPr>
                  <w:tcW w:w="5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sz w:val="21"/>
                      <w:szCs w:val="21"/>
                    </w:rPr>
                  </w:pPr>
                  <w:r>
                    <w:rPr>
                      <w:rFonts w:hint="eastAsia" w:ascii="Times New Roman" w:hAnsi="Times New Roman" w:cs="Times New Roman"/>
                      <w:color w:val="auto"/>
                      <w:sz w:val="21"/>
                      <w:szCs w:val="21"/>
                      <w:lang w:val="en-US" w:eastAsia="zh-CN"/>
                    </w:rPr>
                    <w:t>DA001</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default" w:ascii="Times New Roman" w:hAnsi="Times New Roman" w:cs="Times New Roman"/>
                      <w:color w:val="auto"/>
                      <w:sz w:val="21"/>
                      <w:szCs w:val="21"/>
                    </w:rPr>
                    <w:t>15</w:t>
                  </w:r>
                </w:p>
              </w:tc>
              <w:tc>
                <w:tcPr>
                  <w:tcW w:w="6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cs="Times New Roman"/>
                      <w:color w:val="auto"/>
                      <w:spacing w:val="3"/>
                      <w:sz w:val="21"/>
                      <w:szCs w:val="21"/>
                      <w:vertAlign w:val="baseline"/>
                      <w:lang w:val="en-US" w:eastAsia="zh-CN"/>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5</w:t>
                  </w:r>
                </w:p>
              </w:tc>
              <w:tc>
                <w:tcPr>
                  <w:tcW w:w="9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pacing w:val="3"/>
                      <w:sz w:val="21"/>
                      <w:szCs w:val="21"/>
                      <w:vertAlign w:val="baseline"/>
                      <w:lang w:val="en-US" w:eastAsia="zh-CN"/>
                    </w:rPr>
                  </w:pPr>
                  <w:r>
                    <w:rPr>
                      <w:rFonts w:hint="default" w:ascii="Times New Roman" w:hAnsi="Times New Roman" w:cs="Times New Roman"/>
                      <w:color w:val="auto"/>
                      <w:spacing w:val="3"/>
                      <w:sz w:val="21"/>
                      <w:szCs w:val="21"/>
                      <w:vertAlign w:val="baseline"/>
                      <w:lang w:val="en-US" w:eastAsia="zh-CN"/>
                    </w:rPr>
                    <w:t>113°45′51.12″</w:t>
                  </w:r>
                </w:p>
              </w:tc>
              <w:tc>
                <w:tcPr>
                  <w:tcW w:w="9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35°19′51.2</w:t>
                  </w:r>
                  <w:r>
                    <w:rPr>
                      <w:rFonts w:hint="default" w:ascii="Times New Roman" w:hAnsi="Times New Roman" w:cs="Times New Roman"/>
                      <w:sz w:val="21"/>
                      <w:szCs w:val="21"/>
                      <w:lang w:val="en-US" w:eastAsia="zh-CN"/>
                    </w:rPr>
                    <w:t>3</w:t>
                  </w:r>
                  <w:r>
                    <w:rPr>
                      <w:rFonts w:hint="default" w:ascii="Times New Roman" w:hAnsi="Times New Roman" w:cs="Times New Roman"/>
                      <w:color w:val="auto"/>
                      <w:spacing w:val="3"/>
                      <w:sz w:val="21"/>
                      <w:szCs w:val="21"/>
                      <w:vertAlign w:val="baseline"/>
                      <w:lang w:val="en-US" w:eastAsia="zh-CN"/>
                    </w:rPr>
                    <w:t>″</w:t>
                  </w:r>
                </w:p>
              </w:tc>
              <w:tc>
                <w:tcPr>
                  <w:tcW w:w="4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eastAsia" w:ascii="Times New Roman" w:hAnsi="Times New Roman" w:cs="Times New Roman"/>
                      <w:color w:val="auto"/>
                      <w:sz w:val="21"/>
                      <w:szCs w:val="21"/>
                      <w:lang w:eastAsia="zh-CN"/>
                    </w:rPr>
                    <w:t>常温</w:t>
                  </w:r>
                </w:p>
              </w:tc>
              <w:tc>
                <w:tcPr>
                  <w:tcW w:w="5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cs="Times New Roman"/>
                      <w:color w:val="auto"/>
                      <w:spacing w:val="3"/>
                      <w:sz w:val="21"/>
                      <w:szCs w:val="21"/>
                      <w:vertAlign w:val="baseline"/>
                      <w:lang w:val="en-US" w:eastAsia="zh-CN"/>
                    </w:rPr>
                  </w:pPr>
                  <w:r>
                    <w:rPr>
                      <w:rFonts w:hint="eastAsia" w:cs="Times New Roman"/>
                      <w:color w:val="auto"/>
                      <w:spacing w:val="3"/>
                      <w:sz w:val="21"/>
                      <w:szCs w:val="21"/>
                      <w:vertAlign w:val="baseline"/>
                      <w:lang w:val="en-US" w:eastAsia="zh-CN"/>
                    </w:rPr>
                    <w:t>1040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Times New Roman"/>
                      <w:color w:val="auto"/>
                      <w:sz w:val="21"/>
                      <w:szCs w:val="21"/>
                      <w:lang w:eastAsia="zh-CN"/>
                    </w:rPr>
                  </w:pPr>
                </w:p>
              </w:tc>
              <w:tc>
                <w:tcPr>
                  <w:tcW w:w="32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cs="Times New Roman"/>
                      <w:color w:val="auto"/>
                      <w:sz w:val="21"/>
                      <w:szCs w:val="21"/>
                      <w:lang w:eastAsia="zh-CN"/>
                    </w:rPr>
                  </w:pPr>
                </w:p>
              </w:tc>
              <w:tc>
                <w:tcPr>
                  <w:tcW w:w="5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DA002</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6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6</w:t>
                  </w:r>
                </w:p>
              </w:tc>
              <w:tc>
                <w:tcPr>
                  <w:tcW w:w="9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cs="Times New Roman"/>
                      <w:color w:val="auto"/>
                      <w:spacing w:val="3"/>
                      <w:sz w:val="21"/>
                      <w:szCs w:val="21"/>
                      <w:vertAlign w:val="baseline"/>
                      <w:lang w:val="en-US" w:eastAsia="zh-CN"/>
                    </w:rPr>
                  </w:pPr>
                  <w:r>
                    <w:rPr>
                      <w:rFonts w:hint="default" w:ascii="Times New Roman" w:hAnsi="Times New Roman" w:cs="Times New Roman"/>
                      <w:color w:val="auto"/>
                      <w:spacing w:val="3"/>
                      <w:sz w:val="21"/>
                      <w:szCs w:val="21"/>
                      <w:vertAlign w:val="baseline"/>
                      <w:lang w:val="en-US" w:eastAsia="zh-CN"/>
                    </w:rPr>
                    <w:t>113°45′49.74″</w:t>
                  </w:r>
                </w:p>
              </w:tc>
              <w:tc>
                <w:tcPr>
                  <w:tcW w:w="92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sz w:val="21"/>
                      <w:szCs w:val="21"/>
                    </w:rPr>
                  </w:pPr>
                  <w:r>
                    <w:rPr>
                      <w:rFonts w:hint="default" w:ascii="Times New Roman" w:hAnsi="Times New Roman" w:cs="Times New Roman"/>
                      <w:color w:val="auto"/>
                      <w:spacing w:val="3"/>
                      <w:sz w:val="21"/>
                      <w:szCs w:val="21"/>
                      <w:vertAlign w:val="baseline"/>
                      <w:lang w:val="en-US" w:eastAsia="zh-CN"/>
                    </w:rPr>
                    <w:t>35°19′51.26″</w:t>
                  </w:r>
                </w:p>
              </w:tc>
              <w:tc>
                <w:tcPr>
                  <w:tcW w:w="4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常温</w:t>
                  </w:r>
                </w:p>
              </w:tc>
              <w:tc>
                <w:tcPr>
                  <w:tcW w:w="51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cs="Times New Roman"/>
                      <w:color w:val="auto"/>
                      <w:spacing w:val="3"/>
                      <w:sz w:val="21"/>
                      <w:szCs w:val="21"/>
                      <w:vertAlign w:val="baseline"/>
                      <w:lang w:val="en-US" w:eastAsia="zh-CN"/>
                    </w:rPr>
                  </w:pPr>
                  <w:r>
                    <w:rPr>
                      <w:rFonts w:hint="eastAsia" w:cs="Times New Roman"/>
                      <w:color w:val="auto"/>
                      <w:spacing w:val="3"/>
                      <w:sz w:val="21"/>
                      <w:szCs w:val="21"/>
                      <w:vertAlign w:val="baseline"/>
                      <w:lang w:val="en-US" w:eastAsia="zh-CN"/>
                    </w:rPr>
                    <w:t>2600</w:t>
                  </w:r>
                </w:p>
              </w:tc>
            </w:tr>
          </w:tbl>
          <w:p>
            <w:pPr>
              <w:keepNext w:val="0"/>
              <w:keepLines w:val="0"/>
              <w:pageBreakBefore w:val="0"/>
              <w:widowControl/>
              <w:kinsoku/>
              <w:wordWrap/>
              <w:overflowPunct/>
              <w:topLinePunct w:val="0"/>
              <w:autoSpaceDE w:val="0"/>
              <w:autoSpaceDN/>
              <w:bidi w:val="0"/>
              <w:adjustRightInd w:val="0"/>
              <w:snapToGrid w:val="0"/>
              <w:spacing w:before="157" w:beforeLines="50" w:line="360" w:lineRule="auto"/>
              <w:ind w:firstLine="492" w:firstLineChars="200"/>
              <w:textAlignment w:val="auto"/>
              <w:rPr>
                <w:rFonts w:hint="default" w:ascii="Times New Roman" w:hAnsi="Times New Roman" w:eastAsia="宋体" w:cs="Times New Roman"/>
                <w:i w:val="0"/>
                <w:iCs w:val="0"/>
                <w:caps w:val="0"/>
                <w:color w:val="auto"/>
                <w:spacing w:val="0"/>
                <w:sz w:val="24"/>
                <w:szCs w:val="24"/>
                <w:shd w:val="clear" w:color="auto" w:fill="FFFFFF"/>
                <w:lang w:val="en-US" w:eastAsia="zh-CN"/>
              </w:rPr>
            </w:pPr>
            <w:r>
              <w:rPr>
                <w:rFonts w:hint="eastAsia" w:cs="Times New Roman"/>
                <w:color w:val="auto"/>
                <w:spacing w:val="3"/>
                <w:sz w:val="24"/>
                <w:szCs w:val="24"/>
                <w:lang w:val="en-US" w:eastAsia="zh-CN"/>
              </w:rPr>
              <w:t>4、</w:t>
            </w:r>
            <w:r>
              <w:rPr>
                <w:rFonts w:hint="eastAsia" w:ascii="Times New Roman" w:hAnsi="Times New Roman" w:cs="Times New Roman"/>
                <w:color w:val="auto"/>
                <w:spacing w:val="3"/>
                <w:sz w:val="24"/>
                <w:szCs w:val="24"/>
                <w:lang w:val="en-US" w:eastAsia="zh-CN"/>
              </w:rPr>
              <w:t>本项</w:t>
            </w:r>
            <w:r>
              <w:rPr>
                <w:rFonts w:hint="eastAsia" w:ascii="宋体" w:hAnsi="宋体" w:eastAsia="宋体" w:cs="宋体"/>
                <w:color w:val="auto"/>
                <w:spacing w:val="3"/>
                <w:sz w:val="24"/>
                <w:szCs w:val="24"/>
                <w:lang w:val="en-US" w:eastAsia="zh-CN"/>
              </w:rPr>
              <w:t>目</w:t>
            </w:r>
            <w:r>
              <w:rPr>
                <w:rFonts w:hint="eastAsia" w:ascii="宋体" w:hAnsi="宋体" w:eastAsia="宋体" w:cs="宋体"/>
                <w:i w:val="0"/>
                <w:iCs w:val="0"/>
                <w:caps w:val="0"/>
                <w:color w:val="auto"/>
                <w:spacing w:val="0"/>
                <w:sz w:val="24"/>
                <w:szCs w:val="24"/>
                <w:shd w:val="clear" w:color="auto" w:fill="FFFFFF"/>
              </w:rPr>
              <w:t>废气污染物排放执行标准</w:t>
            </w:r>
            <w:r>
              <w:rPr>
                <w:rFonts w:hint="eastAsia" w:ascii="宋体" w:hAnsi="宋体" w:eastAsia="宋体" w:cs="宋体"/>
                <w:i w:val="0"/>
                <w:iCs w:val="0"/>
                <w:caps w:val="0"/>
                <w:color w:val="auto"/>
                <w:spacing w:val="0"/>
                <w:sz w:val="24"/>
                <w:szCs w:val="24"/>
                <w:shd w:val="clear" w:color="auto" w:fill="FFFFFF"/>
                <w:lang w:eastAsia="zh-CN"/>
              </w:rPr>
              <w:t>及</w:t>
            </w:r>
            <w:r>
              <w:rPr>
                <w:rFonts w:hint="default" w:ascii="Times New Roman" w:hAnsi="Times New Roman" w:eastAsia="宋体" w:cs="Times New Roman"/>
                <w:i w:val="0"/>
                <w:iCs w:val="0"/>
                <w:caps w:val="0"/>
                <w:color w:val="auto"/>
                <w:spacing w:val="0"/>
                <w:sz w:val="24"/>
                <w:szCs w:val="24"/>
                <w:shd w:val="clear" w:color="auto" w:fill="FFFFFF"/>
                <w:lang w:eastAsia="zh-CN"/>
              </w:rPr>
              <w:t>监测要求</w:t>
            </w:r>
            <w:r>
              <w:rPr>
                <w:rFonts w:hint="eastAsia" w:cs="Times New Roman"/>
                <w:i w:val="0"/>
                <w:iCs w:val="0"/>
                <w:caps w:val="0"/>
                <w:color w:val="auto"/>
                <w:spacing w:val="0"/>
                <w:sz w:val="24"/>
                <w:szCs w:val="24"/>
                <w:shd w:val="clear" w:color="auto" w:fill="FFFFFF"/>
                <w:lang w:eastAsia="zh-CN"/>
              </w:rPr>
              <w:t>。</w:t>
            </w:r>
          </w:p>
          <w:p>
            <w:pPr>
              <w:pStyle w:val="63"/>
              <w:keepNext w:val="0"/>
              <w:keepLines w:val="0"/>
              <w:pageBreakBefore w:val="0"/>
              <w:widowControl w:val="0"/>
              <w:kinsoku/>
              <w:wordWrap/>
              <w:overflowPunct/>
              <w:topLinePunct w:val="0"/>
              <w:autoSpaceDE w:val="0"/>
              <w:autoSpaceDN w:val="0"/>
              <w:bidi w:val="0"/>
              <w:adjustRightInd/>
              <w:snapToGrid/>
              <w:spacing w:before="157" w:beforeLines="50"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表</w:t>
            </w:r>
            <w:r>
              <w:rPr>
                <w:rFonts w:hint="eastAsia" w:ascii="Times New Roman" w:hAnsi="Times New Roman" w:eastAsia="宋体" w:cs="Times New Roman"/>
                <w:color w:val="auto"/>
                <w:kern w:val="2"/>
                <w:sz w:val="21"/>
                <w:szCs w:val="21"/>
                <w:lang w:val="en-US" w:eastAsia="zh-CN"/>
              </w:rPr>
              <w:t>2</w:t>
            </w:r>
            <w:r>
              <w:rPr>
                <w:rFonts w:hint="eastAsia" w:ascii="Times New Roman" w:hAnsi="Times New Roman" w:cs="Times New Roman"/>
                <w:color w:val="auto"/>
                <w:kern w:val="2"/>
                <w:sz w:val="21"/>
                <w:szCs w:val="21"/>
                <w:lang w:val="en-US" w:eastAsia="zh-CN"/>
              </w:rPr>
              <w:t>5</w:t>
            </w:r>
            <w:r>
              <w:rPr>
                <w:rFonts w:hint="default" w:ascii="Times New Roman" w:hAnsi="Times New Roman" w:eastAsia="宋体" w:cs="Times New Roman"/>
                <w:color w:val="auto"/>
                <w:kern w:val="2"/>
                <w:sz w:val="21"/>
                <w:szCs w:val="21"/>
                <w:lang w:val="en-US" w:eastAsia="zh-CN"/>
              </w:rPr>
              <w:t xml:space="preserve">  </w:t>
            </w:r>
            <w:r>
              <w:rPr>
                <w:rFonts w:hint="eastAsia" w:ascii="Times New Roman" w:hAnsi="Times New Roman" w:cs="Times New Roman"/>
                <w:color w:val="auto"/>
                <w:kern w:val="2"/>
                <w:sz w:val="21"/>
                <w:szCs w:val="21"/>
                <w:lang w:val="en-US" w:eastAsia="zh-CN"/>
              </w:rPr>
              <w:t xml:space="preserve">         </w:t>
            </w:r>
            <w:r>
              <w:rPr>
                <w:rFonts w:hint="eastAsia" w:ascii="宋体" w:hAnsi="宋体" w:eastAsia="宋体" w:cs="宋体"/>
                <w:i w:val="0"/>
                <w:iCs w:val="0"/>
                <w:caps w:val="0"/>
                <w:color w:val="auto"/>
                <w:spacing w:val="0"/>
                <w:sz w:val="21"/>
                <w:szCs w:val="21"/>
                <w:shd w:val="clear" w:color="auto" w:fill="FFFFFF"/>
              </w:rPr>
              <w:t>废气污染物排放执行标准</w:t>
            </w:r>
            <w:r>
              <w:rPr>
                <w:rFonts w:hint="default" w:ascii="Times New Roman" w:hAnsi="Times New Roman" w:eastAsia="宋体" w:cs="Times New Roman"/>
                <w:color w:val="auto"/>
                <w:kern w:val="2"/>
                <w:sz w:val="21"/>
                <w:szCs w:val="21"/>
                <w:lang w:eastAsia="zh-CN"/>
              </w:rPr>
              <w:t>情况表</w:t>
            </w:r>
          </w:p>
          <w:tbl>
            <w:tblPr>
              <w:tblStyle w:val="22"/>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06"/>
              <w:gridCol w:w="418"/>
              <w:gridCol w:w="836"/>
              <w:gridCol w:w="1074"/>
              <w:gridCol w:w="2824"/>
              <w:gridCol w:w="1392"/>
              <w:gridCol w:w="98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jc w:val="center"/>
              </w:trPr>
              <w:tc>
                <w:tcPr>
                  <w:tcW w:w="1047" w:type="pct"/>
                  <w:gridSpan w:val="3"/>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排放口</w:t>
                  </w:r>
                </w:p>
              </w:tc>
              <w:tc>
                <w:tcPr>
                  <w:tcW w:w="677" w:type="pct"/>
                  <w:vMerge w:val="restart"/>
                  <w:tcBorders>
                    <w:tl2br w:val="nil"/>
                    <w:tr2bl w:val="nil"/>
                  </w:tcBorders>
                  <w:noWrap w:val="0"/>
                  <w:vAlign w:val="center"/>
                </w:tcPr>
                <w:p>
                  <w:pPr>
                    <w:snapToGrid w:val="0"/>
                    <w:jc w:val="center"/>
                    <w:rPr>
                      <w:rFonts w:hint="eastAsia" w:ascii="Times New Roman" w:hAnsi="Times New Roman" w:eastAsia="宋体" w:cs="Times New Roman"/>
                      <w:b w:val="0"/>
                      <w:bCs/>
                      <w:color w:val="auto"/>
                      <w:sz w:val="21"/>
                      <w:szCs w:val="21"/>
                      <w:lang w:eastAsia="zh-CN"/>
                    </w:rPr>
                  </w:pPr>
                  <w:r>
                    <w:rPr>
                      <w:rFonts w:hint="eastAsia" w:ascii="Times New Roman" w:hAnsi="Times New Roman" w:cs="Times New Roman"/>
                      <w:b w:val="0"/>
                      <w:bCs/>
                      <w:color w:val="auto"/>
                      <w:sz w:val="21"/>
                      <w:szCs w:val="21"/>
                      <w:lang w:eastAsia="zh-CN"/>
                    </w:rPr>
                    <w:t>污染物种类</w:t>
                  </w:r>
                </w:p>
              </w:tc>
              <w:tc>
                <w:tcPr>
                  <w:tcW w:w="3275" w:type="pct"/>
                  <w:gridSpan w:val="3"/>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国家或地方污染物排放标准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256"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名称</w:t>
                  </w:r>
                </w:p>
              </w:tc>
              <w:tc>
                <w:tcPr>
                  <w:tcW w:w="264"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类型</w:t>
                  </w:r>
                </w:p>
              </w:tc>
              <w:tc>
                <w:tcPr>
                  <w:tcW w:w="526"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编号</w:t>
                  </w:r>
                </w:p>
              </w:tc>
              <w:tc>
                <w:tcPr>
                  <w:tcW w:w="677" w:type="pct"/>
                  <w:vMerge w:val="continue"/>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p>
              </w:tc>
              <w:tc>
                <w:tcPr>
                  <w:tcW w:w="1779"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标准名称</w:t>
                  </w:r>
                </w:p>
              </w:tc>
              <w:tc>
                <w:tcPr>
                  <w:tcW w:w="87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浓度限值/</w:t>
                  </w:r>
                </w:p>
                <w:p>
                  <w:pPr>
                    <w:snapToGrid w:val="0"/>
                    <w:jc w:val="center"/>
                    <w:rPr>
                      <w:rFonts w:hint="eastAsia"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rPr>
                    <w:t>（mg/m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w:t>
                  </w:r>
                </w:p>
              </w:tc>
              <w:tc>
                <w:tcPr>
                  <w:tcW w:w="61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速率</w:t>
                  </w:r>
                  <w:r>
                    <w:rPr>
                      <w:rFonts w:hint="default" w:ascii="Times New Roman" w:hAnsi="Times New Roman" w:cs="Times New Roman"/>
                      <w:b w:val="0"/>
                      <w:bCs/>
                      <w:color w:val="auto"/>
                      <w:sz w:val="21"/>
                      <w:szCs w:val="21"/>
                    </w:rPr>
                    <w:t>限值/</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w:t>
                  </w:r>
                  <w:r>
                    <w:rPr>
                      <w:rFonts w:hint="default" w:ascii="Times New Roman" w:hAnsi="Times New Roman" w:eastAsia="宋体" w:cs="Times New Roman"/>
                      <w:b w:val="0"/>
                      <w:bCs w:val="0"/>
                      <w:color w:val="auto"/>
                      <w:sz w:val="21"/>
                      <w:szCs w:val="21"/>
                      <w:vertAlign w:val="baseline"/>
                      <w:lang w:val="en-US" w:eastAsia="zh-CN"/>
                    </w:rPr>
                    <w:t>kg/h</w:t>
                  </w:r>
                  <w:r>
                    <w:rPr>
                      <w:rFonts w:hint="default" w:ascii="Times New Roman" w:hAnsi="Times New Roman" w:cs="Times New Roman"/>
                      <w:b w:val="0"/>
                      <w:bCs/>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23" w:hRule="atLeast"/>
                <w:jc w:val="center"/>
              </w:trPr>
              <w:tc>
                <w:tcPr>
                  <w:tcW w:w="256" w:type="pct"/>
                  <w:vMerge w:val="restart"/>
                  <w:tcBorders>
                    <w:tl2br w:val="nil"/>
                    <w:tr2bl w:val="nil"/>
                  </w:tcBorders>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eastAsia" w:ascii="Times New Roman" w:hAnsi="Times New Roman" w:eastAsia="宋体" w:cs="Times New Roman"/>
                      <w:color w:val="auto"/>
                      <w:sz w:val="21"/>
                      <w:szCs w:val="21"/>
                      <w:lang w:eastAsia="zh-CN"/>
                    </w:rPr>
                    <w:t>废气排放口</w:t>
                  </w:r>
                </w:p>
              </w:tc>
              <w:tc>
                <w:tcPr>
                  <w:tcW w:w="264" w:type="pct"/>
                  <w:vMerge w:val="restart"/>
                  <w:tcBorders>
                    <w:tl2br w:val="nil"/>
                    <w:tr2bl w:val="nil"/>
                  </w:tcBorders>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eastAsia" w:ascii="Times New Roman" w:hAnsi="Times New Roman" w:cs="Times New Roman"/>
                      <w:color w:val="auto"/>
                      <w:sz w:val="21"/>
                      <w:szCs w:val="21"/>
                      <w:lang w:eastAsia="zh-CN"/>
                    </w:rPr>
                    <w:t>一般排放口</w:t>
                  </w:r>
                </w:p>
              </w:tc>
              <w:tc>
                <w:tcPr>
                  <w:tcW w:w="891" w:type="dxa"/>
                  <w:tcBorders>
                    <w:tl2br w:val="nil"/>
                    <w:tr2bl w:val="nil"/>
                  </w:tcBorders>
                  <w:noWrap w:val="0"/>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DA001</w:t>
                  </w:r>
                </w:p>
              </w:tc>
              <w:tc>
                <w:tcPr>
                  <w:tcW w:w="677" w:type="pct"/>
                  <w:tcBorders>
                    <w:tl2br w:val="nil"/>
                    <w:tr2bl w:val="nil"/>
                  </w:tcBorders>
                  <w:noWrap w:val="0"/>
                  <w:vAlign w:val="center"/>
                </w:tcPr>
                <w:p>
                  <w:pPr>
                    <w:snapToGrid w:val="0"/>
                    <w:jc w:val="center"/>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eastAsia="zh-CN"/>
                    </w:rPr>
                    <w:t>颗粒物</w:t>
                  </w:r>
                </w:p>
              </w:tc>
              <w:tc>
                <w:tcPr>
                  <w:tcW w:w="1779" w:type="pct"/>
                  <w:tcBorders>
                    <w:tl2br w:val="nil"/>
                    <w:tr2bl w:val="nil"/>
                  </w:tcBorders>
                  <w:noWrap w:val="0"/>
                  <w:vAlign w:val="center"/>
                </w:tcPr>
                <w:p>
                  <w:pPr>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新乡市生态环境局关于进一步规范工业颗粒物排放限值的通知</w:t>
                  </w:r>
                </w:p>
              </w:tc>
              <w:tc>
                <w:tcPr>
                  <w:tcW w:w="877" w:type="pct"/>
                  <w:tcBorders>
                    <w:tl2br w:val="nil"/>
                    <w:tr2bl w:val="nil"/>
                  </w:tcBorders>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10</w:t>
                  </w:r>
                </w:p>
              </w:tc>
              <w:tc>
                <w:tcPr>
                  <w:tcW w:w="61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89" w:hRule="atLeast"/>
                <w:jc w:val="center"/>
              </w:trPr>
              <w:tc>
                <w:tcPr>
                  <w:tcW w:w="256" w:type="pct"/>
                  <w:vMerge w:val="continue"/>
                  <w:tcBorders>
                    <w:tl2br w:val="nil"/>
                    <w:tr2bl w:val="nil"/>
                  </w:tcBorders>
                  <w:noWrap w:val="0"/>
                  <w:vAlign w:val="center"/>
                </w:tcPr>
                <w:p>
                  <w:pPr>
                    <w:snapToGrid w:val="0"/>
                    <w:jc w:val="center"/>
                    <w:rPr>
                      <w:rFonts w:hint="eastAsia" w:ascii="Times New Roman" w:hAnsi="Times New Roman" w:eastAsia="宋体" w:cs="Times New Roman"/>
                      <w:color w:val="FF0000"/>
                      <w:sz w:val="21"/>
                      <w:szCs w:val="21"/>
                      <w:lang w:eastAsia="zh-CN"/>
                    </w:rPr>
                  </w:pPr>
                </w:p>
              </w:tc>
              <w:tc>
                <w:tcPr>
                  <w:tcW w:w="264" w:type="pct"/>
                  <w:vMerge w:val="continue"/>
                  <w:tcBorders>
                    <w:tl2br w:val="nil"/>
                    <w:tr2bl w:val="nil"/>
                  </w:tcBorders>
                  <w:noWrap w:val="0"/>
                  <w:vAlign w:val="center"/>
                </w:tcPr>
                <w:p>
                  <w:pPr>
                    <w:snapToGrid w:val="0"/>
                    <w:jc w:val="center"/>
                    <w:rPr>
                      <w:rFonts w:hint="eastAsia" w:ascii="Times New Roman" w:hAnsi="Times New Roman" w:cs="Times New Roman"/>
                      <w:color w:val="FF0000"/>
                      <w:sz w:val="21"/>
                      <w:szCs w:val="21"/>
                      <w:lang w:eastAsia="zh-CN"/>
                    </w:rPr>
                  </w:pPr>
                </w:p>
              </w:tc>
              <w:tc>
                <w:tcPr>
                  <w:tcW w:w="891" w:type="dxa"/>
                  <w:tcBorders>
                    <w:tl2br w:val="nil"/>
                    <w:tr2bl w:val="nil"/>
                  </w:tcBorders>
                  <w:noWrap w:val="0"/>
                  <w:vAlign w:val="center"/>
                </w:tcPr>
                <w:p>
                  <w:pPr>
                    <w:snapToGrid w:val="0"/>
                    <w:jc w:val="center"/>
                    <w:rPr>
                      <w:rFonts w:hint="default" w:ascii="Times New Roman" w:hAnsi="Times New Roman" w:eastAsia="黑体" w:cs="Times New Roman"/>
                      <w:b/>
                      <w:bCs/>
                      <w:color w:val="000000"/>
                      <w:kern w:val="44"/>
                      <w:sz w:val="30"/>
                      <w:szCs w:val="30"/>
                      <w:lang w:val="en-US" w:eastAsia="zh-CN" w:bidi="ar-SA"/>
                    </w:rPr>
                  </w:pPr>
                  <w:r>
                    <w:rPr>
                      <w:rFonts w:hint="eastAsia" w:ascii="Times New Roman" w:hAnsi="Times New Roman" w:cs="Times New Roman"/>
                      <w:color w:val="auto"/>
                      <w:sz w:val="21"/>
                      <w:szCs w:val="21"/>
                      <w:lang w:val="en-US" w:eastAsia="zh-CN"/>
                    </w:rPr>
                    <w:t>DA002</w:t>
                  </w:r>
                </w:p>
              </w:tc>
              <w:tc>
                <w:tcPr>
                  <w:tcW w:w="677" w:type="pct"/>
                  <w:tcBorders>
                    <w:tl2br w:val="nil"/>
                    <w:tr2bl w:val="nil"/>
                  </w:tcBorders>
                  <w:noWrap w:val="0"/>
                  <w:vAlign w:val="center"/>
                </w:tcPr>
                <w:p>
                  <w:pPr>
                    <w:snapToGrid w:val="0"/>
                    <w:jc w:val="center"/>
                    <w:rPr>
                      <w:rFonts w:hint="eastAsia"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sz w:val="21"/>
                      <w:szCs w:val="21"/>
                      <w:lang w:val="en-US" w:eastAsia="zh-CN"/>
                    </w:rPr>
                    <w:t>非甲烷总烃</w:t>
                  </w:r>
                </w:p>
              </w:tc>
              <w:tc>
                <w:tcPr>
                  <w:tcW w:w="1779" w:type="pct"/>
                  <w:tcBorders>
                    <w:tl2br w:val="nil"/>
                    <w:tr2bl w:val="nil"/>
                  </w:tcBorders>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河南省重污染天气重点行业应急减排措施制定技术指南</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2021年修订版</w:t>
                  </w:r>
                  <w:r>
                    <w:rPr>
                      <w:rFonts w:hint="default" w:ascii="Times New Roman" w:hAnsi="Times New Roman" w:eastAsia="宋体" w:cs="Times New Roman"/>
                      <w:b w:val="0"/>
                      <w:bCs/>
                      <w:color w:val="auto"/>
                      <w:sz w:val="21"/>
                      <w:szCs w:val="21"/>
                      <w:lang w:eastAsia="zh-CN"/>
                    </w:rPr>
                    <w:t>）塑料制品</w:t>
                  </w:r>
                  <w:r>
                    <w:rPr>
                      <w:rFonts w:hint="eastAsia" w:cs="Times New Roman"/>
                      <w:b w:val="0"/>
                      <w:bCs/>
                      <w:color w:val="auto"/>
                      <w:sz w:val="21"/>
                      <w:szCs w:val="21"/>
                      <w:lang w:val="en-US" w:eastAsia="zh-CN"/>
                    </w:rPr>
                    <w:t>B</w:t>
                  </w:r>
                  <w:r>
                    <w:rPr>
                      <w:rFonts w:hint="default" w:ascii="Times New Roman" w:hAnsi="Times New Roman" w:eastAsia="宋体" w:cs="Times New Roman"/>
                      <w:b w:val="0"/>
                      <w:bCs/>
                      <w:color w:val="auto"/>
                      <w:sz w:val="21"/>
                      <w:szCs w:val="21"/>
                      <w:lang w:val="en-US" w:eastAsia="zh-CN"/>
                    </w:rPr>
                    <w:t>级要求</w:t>
                  </w:r>
                </w:p>
              </w:tc>
              <w:tc>
                <w:tcPr>
                  <w:tcW w:w="877" w:type="pct"/>
                  <w:tcBorders>
                    <w:tl2br w:val="nil"/>
                    <w:tr2bl w:val="nil"/>
                  </w:tcBorders>
                  <w:noWrap w:val="0"/>
                  <w:vAlign w:val="center"/>
                </w:tcPr>
                <w:p>
                  <w:pPr>
                    <w:snapToGrid w:val="0"/>
                    <w:jc w:val="center"/>
                    <w:rPr>
                      <w:rFonts w:hint="eastAsia" w:ascii="Times New Roman" w:hAnsi="Times New Roman" w:eastAsia="宋体" w:cs="Times New Roman"/>
                      <w:b w:val="0"/>
                      <w:bCs/>
                      <w:color w:val="auto"/>
                      <w:kern w:val="2"/>
                      <w:sz w:val="21"/>
                      <w:szCs w:val="21"/>
                      <w:lang w:val="en-US" w:eastAsia="zh-CN" w:bidi="ar-SA"/>
                    </w:rPr>
                  </w:pPr>
                  <w:r>
                    <w:rPr>
                      <w:rFonts w:hint="eastAsia" w:cs="Times New Roman"/>
                      <w:b w:val="0"/>
                      <w:bCs w:val="0"/>
                      <w:color w:val="auto"/>
                      <w:kern w:val="0"/>
                      <w:sz w:val="21"/>
                      <w:szCs w:val="21"/>
                      <w:lang w:val="en-US" w:eastAsia="zh-CN" w:bidi="ar"/>
                    </w:rPr>
                    <w:t>30</w:t>
                  </w:r>
                </w:p>
              </w:tc>
              <w:tc>
                <w:tcPr>
                  <w:tcW w:w="617" w:type="pct"/>
                  <w:tcBorders>
                    <w:tl2br w:val="nil"/>
                    <w:tr2bl w:val="nil"/>
                  </w:tcBorders>
                  <w:noWrap w:val="0"/>
                  <w:vAlign w:val="center"/>
                </w:tcPr>
                <w:p>
                  <w:pPr>
                    <w:snapToGrid w:val="0"/>
                    <w:jc w:val="center"/>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47" w:type="pct"/>
                  <w:gridSpan w:val="3"/>
                  <w:vMerge w:val="restart"/>
                  <w:tcBorders>
                    <w:tl2br w:val="nil"/>
                    <w:tr2bl w:val="nil"/>
                  </w:tcBorders>
                  <w:noWrap w:val="0"/>
                  <w:vAlign w:val="center"/>
                </w:tcPr>
                <w:p>
                  <w:pPr>
                    <w:snapToGrid w:val="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厂界</w:t>
                  </w:r>
                </w:p>
              </w:tc>
              <w:tc>
                <w:tcPr>
                  <w:tcW w:w="677" w:type="pct"/>
                  <w:tcBorders>
                    <w:tl2br w:val="nil"/>
                    <w:tr2bl w:val="nil"/>
                  </w:tcBorders>
                  <w:noWrap w:val="0"/>
                  <w:vAlign w:val="center"/>
                </w:tcPr>
                <w:p>
                  <w:pPr>
                    <w:snapToGrid w:val="0"/>
                    <w:jc w:val="center"/>
                    <w:rPr>
                      <w:rFonts w:hint="eastAsia"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非甲烷总烃</w:t>
                  </w:r>
                </w:p>
              </w:tc>
              <w:tc>
                <w:tcPr>
                  <w:tcW w:w="1779" w:type="pct"/>
                  <w:tcBorders>
                    <w:tl2br w:val="nil"/>
                    <w:tr2bl w:val="nil"/>
                  </w:tcBorders>
                  <w:noWrap w:val="0"/>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color w:val="auto"/>
                      <w:sz w:val="21"/>
                      <w:szCs w:val="21"/>
                    </w:rPr>
                    <w:t>豫环攻坚办[2017]162号</w:t>
                  </w:r>
                </w:p>
              </w:tc>
              <w:tc>
                <w:tcPr>
                  <w:tcW w:w="87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2</w:t>
                  </w:r>
                </w:p>
              </w:tc>
              <w:tc>
                <w:tcPr>
                  <w:tcW w:w="61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35" w:hRule="atLeast"/>
                <w:jc w:val="center"/>
              </w:trPr>
              <w:tc>
                <w:tcPr>
                  <w:tcW w:w="1047" w:type="pct"/>
                  <w:gridSpan w:val="3"/>
                  <w:vMerge w:val="continue"/>
                  <w:tcBorders>
                    <w:tl2br w:val="nil"/>
                    <w:tr2bl w:val="nil"/>
                  </w:tcBorders>
                  <w:noWrap w:val="0"/>
                  <w:vAlign w:val="center"/>
                </w:tcPr>
                <w:p>
                  <w:pPr>
                    <w:snapToGrid w:val="0"/>
                    <w:jc w:val="center"/>
                    <w:rPr>
                      <w:rFonts w:hint="eastAsia" w:ascii="Times New Roman" w:hAnsi="Times New Roman" w:cs="Times New Roman"/>
                      <w:color w:val="auto"/>
                      <w:sz w:val="21"/>
                      <w:szCs w:val="21"/>
                      <w:lang w:val="en-US" w:eastAsia="zh-CN"/>
                    </w:rPr>
                  </w:pPr>
                </w:p>
              </w:tc>
              <w:tc>
                <w:tcPr>
                  <w:tcW w:w="677" w:type="pct"/>
                  <w:tcBorders>
                    <w:tl2br w:val="nil"/>
                    <w:tr2bl w:val="nil"/>
                  </w:tcBorders>
                  <w:noWrap w:val="0"/>
                  <w:vAlign w:val="center"/>
                </w:tcPr>
                <w:p>
                  <w:pPr>
                    <w:snapToGrid w:val="0"/>
                    <w:jc w:val="center"/>
                    <w:rPr>
                      <w:rFonts w:hint="eastAsia"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颗粒物</w:t>
                  </w:r>
                </w:p>
              </w:tc>
              <w:tc>
                <w:tcPr>
                  <w:tcW w:w="1779" w:type="pct"/>
                  <w:tcBorders>
                    <w:tl2br w:val="nil"/>
                    <w:tr2bl w:val="nil"/>
                  </w:tcBorders>
                  <w:noWrap w:val="0"/>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zh-CN"/>
                    </w:rPr>
                    <w:t>新乡市生态环境局关于进一步规范工业颗粒物排放限值的通知</w:t>
                  </w:r>
                </w:p>
              </w:tc>
              <w:tc>
                <w:tcPr>
                  <w:tcW w:w="87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0.5</w:t>
                  </w:r>
                </w:p>
              </w:tc>
              <w:tc>
                <w:tcPr>
                  <w:tcW w:w="617" w:type="pct"/>
                  <w:tcBorders>
                    <w:tl2br w:val="nil"/>
                    <w:tr2bl w:val="nil"/>
                  </w:tcBorders>
                  <w:noWrap w:val="0"/>
                  <w:vAlign w:val="center"/>
                </w:tcPr>
                <w:p>
                  <w:pPr>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表</w:t>
            </w:r>
            <w:r>
              <w:rPr>
                <w:rFonts w:hint="eastAsia" w:ascii="Times New Roman" w:hAnsi="Times New Roman" w:eastAsia="宋体" w:cs="Times New Roman"/>
                <w:bCs/>
                <w:color w:val="auto"/>
                <w:sz w:val="21"/>
                <w:szCs w:val="21"/>
                <w:lang w:val="en-US" w:eastAsia="zh-CN"/>
              </w:rPr>
              <w:t>2</w:t>
            </w:r>
            <w:r>
              <w:rPr>
                <w:rFonts w:hint="eastAsia" w:cs="Times New Roman"/>
                <w:bCs/>
                <w:color w:val="auto"/>
                <w:sz w:val="21"/>
                <w:szCs w:val="21"/>
                <w:lang w:val="en-US" w:eastAsia="zh-CN"/>
              </w:rPr>
              <w:t>6</w:t>
            </w:r>
            <w:r>
              <w:rPr>
                <w:rFonts w:hint="default" w:ascii="Times New Roman" w:hAnsi="Times New Roman" w:eastAsia="宋体" w:cs="Times New Roman"/>
                <w:bCs/>
                <w:color w:val="auto"/>
                <w:sz w:val="21"/>
                <w:szCs w:val="21"/>
                <w:lang w:val="en-US" w:eastAsia="zh-CN"/>
              </w:rPr>
              <w:t xml:space="preserve">  </w:t>
            </w:r>
            <w:r>
              <w:rPr>
                <w:rFonts w:hint="eastAsia" w:ascii="Times New Roman" w:hAnsi="Times New Roman" w:eastAsia="宋体" w:cs="Times New Roman"/>
                <w:bCs/>
                <w:color w:val="auto"/>
                <w:sz w:val="21"/>
                <w:szCs w:val="21"/>
                <w:lang w:val="en-US" w:eastAsia="zh-CN"/>
              </w:rPr>
              <w:t xml:space="preserve">                废气</w:t>
            </w:r>
            <w:r>
              <w:rPr>
                <w:rFonts w:hint="default" w:ascii="Times New Roman" w:hAnsi="Times New Roman" w:eastAsia="宋体" w:cs="Times New Roman"/>
                <w:bCs/>
                <w:color w:val="auto"/>
                <w:sz w:val="21"/>
                <w:szCs w:val="21"/>
                <w:lang w:val="en-US" w:eastAsia="zh-CN"/>
              </w:rPr>
              <w:t>监测计划一览表</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63"/>
              <w:gridCol w:w="1762"/>
              <w:gridCol w:w="2202"/>
              <w:gridCol w:w="2202"/>
              <w:gridCol w:w="110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39" w:hRule="atLeast"/>
                <w:jc w:val="center"/>
              </w:trPr>
              <w:tc>
                <w:tcPr>
                  <w:tcW w:w="418"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1110"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类别</w:t>
                  </w:r>
                </w:p>
              </w:tc>
              <w:tc>
                <w:tcPr>
                  <w:tcW w:w="1387"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监测因子</w:t>
                  </w:r>
                </w:p>
              </w:tc>
              <w:tc>
                <w:tcPr>
                  <w:tcW w:w="1387"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监测点位</w:t>
                  </w:r>
                </w:p>
              </w:tc>
              <w:tc>
                <w:tcPr>
                  <w:tcW w:w="695"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监测频次</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47" w:hRule="atLeast"/>
                <w:jc w:val="center"/>
              </w:trPr>
              <w:tc>
                <w:tcPr>
                  <w:tcW w:w="418"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1110"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r>
                    <w:rPr>
                      <w:rFonts w:hint="eastAsia" w:ascii="Times New Roman" w:hAnsi="Times New Roman" w:eastAsia="宋体" w:cs="Times New Roman"/>
                      <w:color w:val="auto"/>
                      <w:kern w:val="2"/>
                      <w:sz w:val="21"/>
                      <w:szCs w:val="21"/>
                      <w:lang w:val="en-US" w:eastAsia="zh-CN" w:bidi="ar-SA"/>
                    </w:rPr>
                    <w:t>（有组织）</w:t>
                  </w:r>
                </w:p>
              </w:tc>
              <w:tc>
                <w:tcPr>
                  <w:tcW w:w="1387"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非甲烷总烃</w:t>
                  </w:r>
                  <w:r>
                    <w:rPr>
                      <w:rFonts w:hint="eastAsia" w:ascii="Times New Roman" w:hAnsi="Times New Roman" w:eastAsia="宋体" w:cs="Times New Roman"/>
                      <w:color w:val="auto"/>
                      <w:kern w:val="2"/>
                      <w:sz w:val="21"/>
                      <w:szCs w:val="21"/>
                      <w:lang w:val="en-US" w:eastAsia="zh-CN" w:bidi="ar-SA"/>
                    </w:rPr>
                    <w:t>、颗粒物</w:t>
                  </w:r>
                </w:p>
              </w:tc>
              <w:tc>
                <w:tcPr>
                  <w:tcW w:w="1387"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废气处理设施进出口</w:t>
                  </w:r>
                </w:p>
              </w:tc>
              <w:tc>
                <w:tcPr>
                  <w:tcW w:w="695"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w:t>
                  </w:r>
                  <w:r>
                    <w:rPr>
                      <w:rFonts w:hint="eastAsia" w:ascii="Times New Roman" w:hAnsi="Times New Roman" w:eastAsia="宋体" w:cs="Times New Roman"/>
                      <w:color w:val="auto"/>
                      <w:kern w:val="2"/>
                      <w:sz w:val="21"/>
                      <w:szCs w:val="21"/>
                      <w:lang w:val="en-US" w:eastAsia="zh-CN" w:bidi="ar-SA"/>
                    </w:rPr>
                    <w:t>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34" w:hRule="atLeast"/>
                <w:jc w:val="center"/>
              </w:trPr>
              <w:tc>
                <w:tcPr>
                  <w:tcW w:w="418"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p>
              </w:tc>
              <w:tc>
                <w:tcPr>
                  <w:tcW w:w="1110"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无组织废气</w:t>
                  </w:r>
                </w:p>
              </w:tc>
              <w:tc>
                <w:tcPr>
                  <w:tcW w:w="1387" w:type="pct"/>
                  <w:tcBorders>
                    <w:tl2br w:val="nil"/>
                    <w:tr2bl w:val="nil"/>
                  </w:tcBorders>
                  <w:noWrap w:val="0"/>
                  <w:vAlign w:val="center"/>
                </w:tcPr>
                <w:p>
                  <w:pPr>
                    <w:widowControl/>
                    <w:snapToGrid/>
                    <w:spacing w:after="0" w:afterLines="0"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非甲烷总烃</w:t>
                  </w:r>
                  <w:r>
                    <w:rPr>
                      <w:rFonts w:hint="eastAsia" w:ascii="Times New Roman" w:hAnsi="Times New Roman" w:eastAsia="宋体" w:cs="Times New Roman"/>
                      <w:color w:val="auto"/>
                      <w:kern w:val="2"/>
                      <w:sz w:val="21"/>
                      <w:szCs w:val="21"/>
                      <w:lang w:val="en-US" w:eastAsia="zh-CN" w:bidi="ar-SA"/>
                    </w:rPr>
                    <w:t>、颗粒物</w:t>
                  </w:r>
                </w:p>
              </w:tc>
              <w:tc>
                <w:tcPr>
                  <w:tcW w:w="1387"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厂界</w:t>
                  </w:r>
                </w:p>
              </w:tc>
              <w:tc>
                <w:tcPr>
                  <w:tcW w:w="695" w:type="pct"/>
                  <w:tcBorders>
                    <w:tl2br w:val="nil"/>
                    <w:tr2bl w:val="nil"/>
                  </w:tcBorders>
                  <w:noWrap w:val="0"/>
                  <w:vAlign w:val="center"/>
                </w:tcPr>
                <w:p>
                  <w:pPr>
                    <w:widowControl w:val="0"/>
                    <w:snapToGrid w:val="0"/>
                    <w:spacing w:after="120" w:afterLines="0"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w:t>
                  </w:r>
                  <w:r>
                    <w:rPr>
                      <w:rFonts w:hint="eastAsia" w:ascii="Times New Roman" w:hAnsi="Times New Roman" w:eastAsia="宋体" w:cs="Times New Roman"/>
                      <w:color w:val="auto"/>
                      <w:kern w:val="2"/>
                      <w:sz w:val="21"/>
                      <w:szCs w:val="21"/>
                      <w:lang w:val="en-US" w:eastAsia="zh-CN" w:bidi="ar-SA"/>
                    </w:rPr>
                    <w:t>年</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sz w:val="24"/>
                <w:szCs w:val="24"/>
              </w:rPr>
            </w:pPr>
            <w:r>
              <w:rPr>
                <w:rFonts w:hint="eastAsia"/>
                <w:sz w:val="24"/>
                <w:szCs w:val="24"/>
                <w:lang w:val="en-US" w:eastAsia="zh-CN"/>
              </w:rPr>
              <w:t>5、</w:t>
            </w:r>
            <w:r>
              <w:rPr>
                <w:sz w:val="24"/>
                <w:szCs w:val="24"/>
              </w:rPr>
              <w:t>非正常排放分析</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24"/>
              </w:rPr>
            </w:pPr>
            <w:r>
              <w:rPr>
                <w:sz w:val="24"/>
                <w:szCs w:val="24"/>
              </w:rPr>
              <w:t>项目生产过程中产生的非正常排放主要是</w:t>
            </w:r>
            <w:r>
              <w:rPr>
                <w:rFonts w:hint="eastAsia"/>
                <w:lang w:eastAsia="zh-CN"/>
              </w:rPr>
              <w:t>废气治理设施出现故障及</w:t>
            </w:r>
            <w:r>
              <w:rPr>
                <w:sz w:val="24"/>
                <w:szCs w:val="24"/>
              </w:rPr>
              <w:t>污染物排放控制措施达不到应有效率时引起的污染物超标排放，</w:t>
            </w:r>
            <w:r>
              <w:rPr>
                <w:rFonts w:hint="eastAsia"/>
                <w:lang w:eastAsia="zh-CN"/>
              </w:rPr>
              <w:t>一旦发生异常，企业产生废气的工序应立即停止生产，及时查找原因，采取措施，恢复治理设施正常运行。企业应加强环保管理，要认真检查废气治理设施，要及时保养，避免废气治理设施出现故障，杜绝对环境造成影响。</w:t>
            </w:r>
            <w:r>
              <w:rPr>
                <w:rFonts w:hint="eastAsia"/>
                <w:sz w:val="24"/>
                <w:szCs w:val="24"/>
                <w:lang w:val="en-US" w:eastAsia="zh-CN"/>
              </w:rPr>
              <w:t>以袋式除尘器和</w:t>
            </w:r>
            <w:r>
              <w:rPr>
                <w:rFonts w:hint="eastAsia"/>
                <w:sz w:val="24"/>
                <w:szCs w:val="24"/>
                <w:lang w:eastAsia="zh-CN"/>
              </w:rPr>
              <w:t>活性炭吸附-脱附+催化燃烧装置</w:t>
            </w:r>
            <w:r>
              <w:rPr>
                <w:sz w:val="24"/>
                <w:szCs w:val="24"/>
              </w:rPr>
              <w:t>处理效率为0时的情况进行分析。经过分析，项目非正常排放废气源强为：</w:t>
            </w:r>
            <w:r>
              <w:rPr>
                <w:rFonts w:hint="eastAsia"/>
                <w:sz w:val="24"/>
                <w:szCs w:val="24"/>
                <w:lang w:val="en-US" w:eastAsia="zh-CN"/>
              </w:rPr>
              <w:t>颗粒物产生</w:t>
            </w:r>
            <w:r>
              <w:rPr>
                <w:rFonts w:hint="eastAsia"/>
                <w:sz w:val="24"/>
                <w:szCs w:val="24"/>
              </w:rPr>
              <w:t>速率</w:t>
            </w:r>
            <w:r>
              <w:rPr>
                <w:sz w:val="24"/>
                <w:szCs w:val="24"/>
              </w:rPr>
              <w:t>为</w:t>
            </w:r>
            <w:r>
              <w:rPr>
                <w:rFonts w:hint="eastAsia"/>
                <w:sz w:val="24"/>
                <w:szCs w:val="24"/>
                <w:lang w:val="en-US" w:eastAsia="zh-CN"/>
              </w:rPr>
              <w:t>0.0243kg/h，</w:t>
            </w:r>
            <w:r>
              <w:rPr>
                <w:sz w:val="24"/>
                <w:szCs w:val="24"/>
              </w:rPr>
              <w:t>非甲烷总烃</w:t>
            </w:r>
            <w:r>
              <w:rPr>
                <w:rFonts w:hint="eastAsia"/>
                <w:sz w:val="24"/>
                <w:szCs w:val="24"/>
                <w:lang w:val="en-US" w:eastAsia="zh-CN"/>
              </w:rPr>
              <w:t>产生</w:t>
            </w:r>
            <w:r>
              <w:rPr>
                <w:rFonts w:hint="eastAsia"/>
                <w:sz w:val="24"/>
                <w:szCs w:val="24"/>
              </w:rPr>
              <w:t>速率</w:t>
            </w:r>
            <w:r>
              <w:rPr>
                <w:sz w:val="24"/>
                <w:szCs w:val="24"/>
              </w:rPr>
              <w:t>为</w:t>
            </w:r>
            <w:r>
              <w:rPr>
                <w:rFonts w:hint="eastAsia"/>
                <w:sz w:val="24"/>
                <w:szCs w:val="24"/>
                <w:lang w:val="en-US" w:eastAsia="zh-CN"/>
              </w:rPr>
              <w:t>0.1918</w:t>
            </w:r>
            <w:r>
              <w:rPr>
                <w:rFonts w:hint="eastAsia"/>
                <w:sz w:val="24"/>
                <w:szCs w:val="24"/>
              </w:rPr>
              <w:t>kg/h</w:t>
            </w:r>
            <w:r>
              <w:rPr>
                <w:sz w:val="24"/>
                <w:szCs w:val="24"/>
              </w:rPr>
              <w:t>。事故排放时间最大为15分钟。</w:t>
            </w:r>
            <w:r>
              <w:rPr>
                <w:rFonts w:hint="eastAsia"/>
                <w:sz w:val="24"/>
                <w:szCs w:val="24"/>
                <w:lang w:eastAsia="zh-CN"/>
              </w:rPr>
              <w:t>经分析预测，</w:t>
            </w:r>
            <w:r>
              <w:rPr>
                <w:sz w:val="24"/>
                <w:szCs w:val="24"/>
              </w:rPr>
              <w:t>非正常排放</w:t>
            </w:r>
            <w:r>
              <w:rPr>
                <w:rFonts w:hint="eastAsia"/>
                <w:sz w:val="24"/>
                <w:szCs w:val="24"/>
                <w:lang w:eastAsia="zh-CN"/>
              </w:rPr>
              <w:t>的可能性较小，不会对大气环境造成影响。</w:t>
            </w:r>
            <w:r>
              <w:rPr>
                <w:sz w:val="24"/>
                <w:szCs w:val="24"/>
              </w:rPr>
              <w:t>非正常排放具体参数见下表。</w:t>
            </w:r>
          </w:p>
          <w:p>
            <w:pPr>
              <w:pStyle w:val="7"/>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rPr>
            </w:pPr>
            <w:r>
              <w:rPr>
                <w:rFonts w:hint="default"/>
                <w:sz w:val="21"/>
                <w:szCs w:val="21"/>
              </w:rPr>
              <w:t>表</w:t>
            </w:r>
            <w:r>
              <w:rPr>
                <w:rFonts w:hint="eastAsia"/>
                <w:sz w:val="21"/>
                <w:szCs w:val="21"/>
                <w:lang w:val="en-US" w:eastAsia="zh-CN"/>
              </w:rPr>
              <w:t>27</w:t>
            </w:r>
            <w:r>
              <w:rPr>
                <w:rFonts w:hint="default"/>
                <w:sz w:val="21"/>
                <w:szCs w:val="21"/>
              </w:rPr>
              <w:t xml:space="preserve">      非正常排放参数表</w:t>
            </w:r>
          </w:p>
          <w:tbl>
            <w:tblPr>
              <w:tblStyle w:val="22"/>
              <w:tblW w:w="7918"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85" w:type="dxa"/>
                <w:bottom w:w="0" w:type="dxa"/>
                <w:right w:w="85" w:type="dxa"/>
              </w:tblCellMar>
            </w:tblPr>
            <w:tblGrid>
              <w:gridCol w:w="1142"/>
              <w:gridCol w:w="988"/>
              <w:gridCol w:w="1262"/>
              <w:gridCol w:w="1125"/>
              <w:gridCol w:w="813"/>
              <w:gridCol w:w="762"/>
              <w:gridCol w:w="929"/>
              <w:gridCol w:w="89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85" w:type="dxa"/>
                  <w:bottom w:w="0" w:type="dxa"/>
                  <w:right w:w="85" w:type="dxa"/>
                </w:tblCellMar>
              </w:tblPrEx>
              <w:trPr>
                <w:trHeight w:val="397" w:hRule="atLeast"/>
                <w:jc w:val="center"/>
              </w:trPr>
              <w:tc>
                <w:tcPr>
                  <w:tcW w:w="1142" w:type="dxa"/>
                  <w:tcBorders>
                    <w:tl2br w:val="nil"/>
                    <w:tr2bl w:val="nil"/>
                  </w:tcBorders>
                  <w:noWrap w:val="0"/>
                  <w:vAlign w:val="center"/>
                </w:tcPr>
                <w:p>
                  <w:pPr>
                    <w:jc w:val="center"/>
                  </w:pPr>
                  <w:r>
                    <w:t>非正常排放源</w:t>
                  </w:r>
                </w:p>
              </w:tc>
              <w:tc>
                <w:tcPr>
                  <w:tcW w:w="988" w:type="dxa"/>
                  <w:tcBorders>
                    <w:tl2br w:val="nil"/>
                    <w:tr2bl w:val="nil"/>
                  </w:tcBorders>
                  <w:noWrap w:val="0"/>
                  <w:vAlign w:val="center"/>
                </w:tcPr>
                <w:p>
                  <w:pPr>
                    <w:jc w:val="center"/>
                  </w:pPr>
                  <w:r>
                    <w:t>非正常排放原因</w:t>
                  </w:r>
                </w:p>
              </w:tc>
              <w:tc>
                <w:tcPr>
                  <w:tcW w:w="1262" w:type="dxa"/>
                  <w:tcBorders>
                    <w:tl2br w:val="nil"/>
                    <w:tr2bl w:val="nil"/>
                  </w:tcBorders>
                  <w:noWrap w:val="0"/>
                  <w:vAlign w:val="center"/>
                </w:tcPr>
                <w:p>
                  <w:pPr>
                    <w:jc w:val="center"/>
                  </w:pPr>
                  <w:r>
                    <w:t>污染物</w:t>
                  </w:r>
                </w:p>
              </w:tc>
              <w:tc>
                <w:tcPr>
                  <w:tcW w:w="1125" w:type="dxa"/>
                  <w:tcBorders>
                    <w:tl2br w:val="nil"/>
                    <w:tr2bl w:val="nil"/>
                  </w:tcBorders>
                  <w:noWrap w:val="0"/>
                  <w:vAlign w:val="center"/>
                </w:tcPr>
                <w:p>
                  <w:pPr>
                    <w:jc w:val="center"/>
                  </w:pPr>
                  <w:r>
                    <w:t>非正常排放速率/（kg/h）</w:t>
                  </w:r>
                </w:p>
              </w:tc>
              <w:tc>
                <w:tcPr>
                  <w:tcW w:w="813" w:type="dxa"/>
                  <w:tcBorders>
                    <w:tl2br w:val="nil"/>
                    <w:tr2bl w:val="nil"/>
                  </w:tcBorders>
                  <w:noWrap w:val="0"/>
                  <w:vAlign w:val="center"/>
                </w:tcPr>
                <w:p>
                  <w:pPr>
                    <w:jc w:val="center"/>
                  </w:pPr>
                  <w:r>
                    <w:t>单次持续时间/h</w:t>
                  </w:r>
                </w:p>
              </w:tc>
              <w:tc>
                <w:tcPr>
                  <w:tcW w:w="762" w:type="dxa"/>
                  <w:tcBorders>
                    <w:tl2br w:val="nil"/>
                    <w:tr2bl w:val="nil"/>
                  </w:tcBorders>
                  <w:noWrap w:val="0"/>
                  <w:vAlign w:val="center"/>
                </w:tcPr>
                <w:p>
                  <w:pPr>
                    <w:jc w:val="center"/>
                  </w:pPr>
                  <w:r>
                    <w:t>年发生频次/次</w:t>
                  </w:r>
                </w:p>
              </w:tc>
              <w:tc>
                <w:tcPr>
                  <w:tcW w:w="929" w:type="dxa"/>
                  <w:tcBorders>
                    <w:tl2br w:val="nil"/>
                    <w:tr2bl w:val="nil"/>
                  </w:tcBorders>
                  <w:noWrap w:val="0"/>
                  <w:vAlign w:val="center"/>
                </w:tcPr>
                <w:p>
                  <w:pPr>
                    <w:jc w:val="center"/>
                  </w:pPr>
                  <w:r>
                    <w:t>非正常排放量/（kg）</w:t>
                  </w:r>
                </w:p>
              </w:tc>
              <w:tc>
                <w:tcPr>
                  <w:tcW w:w="897" w:type="dxa"/>
                  <w:tcBorders>
                    <w:tl2br w:val="nil"/>
                    <w:tr2bl w:val="nil"/>
                  </w:tcBorders>
                  <w:noWrap w:val="0"/>
                  <w:vAlign w:val="center"/>
                </w:tcPr>
                <w:p>
                  <w:pPr>
                    <w:jc w:val="center"/>
                  </w:pPr>
                  <w:r>
                    <w:t>采取措施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85" w:type="dxa"/>
                  <w:bottom w:w="0" w:type="dxa"/>
                  <w:right w:w="85" w:type="dxa"/>
                </w:tblCellMar>
              </w:tblPrEx>
              <w:trPr>
                <w:trHeight w:val="909" w:hRule="atLeast"/>
                <w:jc w:val="center"/>
              </w:trPr>
              <w:tc>
                <w:tcPr>
                  <w:tcW w:w="1142" w:type="dxa"/>
                  <w:tcBorders>
                    <w:tl2br w:val="nil"/>
                    <w:tr2bl w:val="nil"/>
                  </w:tcBorders>
                  <w:noWrap w:val="0"/>
                  <w:vAlign w:val="center"/>
                </w:tcPr>
                <w:p>
                  <w:pPr>
                    <w:jc w:val="center"/>
                    <w:rPr>
                      <w:rFonts w:hint="eastAsia"/>
                      <w:lang w:val="en-US" w:eastAsia="zh-CN"/>
                    </w:rPr>
                  </w:pPr>
                  <w:r>
                    <w:rPr>
                      <w:rFonts w:hint="eastAsia"/>
                      <w:lang w:val="en-US" w:eastAsia="zh-CN"/>
                    </w:rPr>
                    <w:t>袋式除尘器</w:t>
                  </w:r>
                </w:p>
              </w:tc>
              <w:tc>
                <w:tcPr>
                  <w:tcW w:w="988" w:type="dxa"/>
                  <w:vMerge w:val="restart"/>
                  <w:tcBorders>
                    <w:tl2br w:val="nil"/>
                    <w:tr2bl w:val="nil"/>
                  </w:tcBorders>
                  <w:noWrap w:val="0"/>
                  <w:vAlign w:val="center"/>
                </w:tcPr>
                <w:p>
                  <w:pPr>
                    <w:jc w:val="center"/>
                  </w:pPr>
                  <w:r>
                    <w:t>污染物排放控制措施达不到应有效率，处理效率为0</w:t>
                  </w:r>
                </w:p>
              </w:tc>
              <w:tc>
                <w:tcPr>
                  <w:tcW w:w="1262" w:type="dxa"/>
                  <w:tcBorders>
                    <w:tl2br w:val="nil"/>
                    <w:tr2bl w:val="nil"/>
                  </w:tcBorders>
                  <w:noWrap w:val="0"/>
                  <w:vAlign w:val="center"/>
                </w:tcPr>
                <w:p>
                  <w:pPr>
                    <w:jc w:val="center"/>
                    <w:rPr>
                      <w:rFonts w:hint="eastAsia"/>
                      <w:lang w:val="en-US" w:eastAsia="zh-CN"/>
                    </w:rPr>
                  </w:pPr>
                  <w:r>
                    <w:rPr>
                      <w:rFonts w:hint="eastAsia"/>
                      <w:lang w:val="en-US" w:eastAsia="zh-CN"/>
                    </w:rPr>
                    <w:t>颗粒物</w:t>
                  </w:r>
                </w:p>
              </w:tc>
              <w:tc>
                <w:tcPr>
                  <w:tcW w:w="1125" w:type="dxa"/>
                  <w:tcBorders>
                    <w:tl2br w:val="nil"/>
                    <w:tr2bl w:val="nil"/>
                  </w:tcBorders>
                  <w:noWrap w:val="0"/>
                  <w:vAlign w:val="center"/>
                </w:tcPr>
                <w:p>
                  <w:pPr>
                    <w:jc w:val="center"/>
                    <w:rPr>
                      <w:rFonts w:hint="default"/>
                      <w:lang w:val="en-US" w:eastAsia="zh-CN"/>
                    </w:rPr>
                  </w:pPr>
                  <w:r>
                    <w:rPr>
                      <w:rFonts w:hint="eastAsia"/>
                      <w:lang w:val="en-US" w:eastAsia="zh-CN"/>
                    </w:rPr>
                    <w:t>0.0243</w:t>
                  </w:r>
                </w:p>
              </w:tc>
              <w:tc>
                <w:tcPr>
                  <w:tcW w:w="813" w:type="dxa"/>
                  <w:vMerge w:val="restart"/>
                  <w:tcBorders>
                    <w:tl2br w:val="nil"/>
                    <w:tr2bl w:val="nil"/>
                  </w:tcBorders>
                  <w:noWrap w:val="0"/>
                  <w:vAlign w:val="center"/>
                </w:tcPr>
                <w:p>
                  <w:pPr>
                    <w:jc w:val="center"/>
                    <w:rPr>
                      <w:rFonts w:hint="default" w:eastAsia="宋体"/>
                      <w:lang w:val="en-US" w:eastAsia="zh-CN"/>
                    </w:rPr>
                  </w:pPr>
                  <w:r>
                    <w:rPr>
                      <w:rFonts w:hint="eastAsia"/>
                      <w:lang w:val="en-US" w:eastAsia="zh-CN"/>
                    </w:rPr>
                    <w:t>0.25</w:t>
                  </w:r>
                </w:p>
              </w:tc>
              <w:tc>
                <w:tcPr>
                  <w:tcW w:w="762" w:type="dxa"/>
                  <w:vMerge w:val="restart"/>
                  <w:tcBorders>
                    <w:tl2br w:val="nil"/>
                    <w:tr2bl w:val="nil"/>
                  </w:tcBorders>
                  <w:noWrap w:val="0"/>
                  <w:vAlign w:val="center"/>
                </w:tcPr>
                <w:p>
                  <w:pPr>
                    <w:jc w:val="center"/>
                    <w:rPr>
                      <w:rFonts w:hint="eastAsia" w:eastAsia="宋体"/>
                      <w:lang w:val="en-US" w:eastAsia="zh-CN"/>
                    </w:rPr>
                  </w:pPr>
                  <w:r>
                    <w:rPr>
                      <w:rFonts w:hint="eastAsia"/>
                      <w:lang w:val="en-US" w:eastAsia="zh-CN"/>
                    </w:rPr>
                    <w:t>1</w:t>
                  </w:r>
                </w:p>
              </w:tc>
              <w:tc>
                <w:tcPr>
                  <w:tcW w:w="929" w:type="dxa"/>
                  <w:tcBorders>
                    <w:tl2br w:val="nil"/>
                    <w:tr2bl w:val="nil"/>
                  </w:tcBorders>
                  <w:noWrap w:val="0"/>
                  <w:vAlign w:val="center"/>
                </w:tcPr>
                <w:p>
                  <w:pPr>
                    <w:jc w:val="center"/>
                    <w:rPr>
                      <w:rFonts w:hint="default"/>
                      <w:lang w:val="en-US" w:eastAsia="zh-CN"/>
                    </w:rPr>
                  </w:pPr>
                  <w:r>
                    <w:rPr>
                      <w:rFonts w:hint="eastAsia"/>
                      <w:lang w:val="en-US" w:eastAsia="zh-CN"/>
                    </w:rPr>
                    <w:t>0.0061</w:t>
                  </w:r>
                </w:p>
              </w:tc>
              <w:tc>
                <w:tcPr>
                  <w:tcW w:w="897" w:type="dxa"/>
                  <w:vMerge w:val="restart"/>
                  <w:tcBorders>
                    <w:tl2br w:val="nil"/>
                    <w:tr2bl w:val="nil"/>
                  </w:tcBorders>
                  <w:noWrap w:val="0"/>
                  <w:vAlign w:val="center"/>
                </w:tcPr>
                <w:p>
                  <w:pPr>
                    <w:jc w:val="center"/>
                  </w:pPr>
                  <w:r>
                    <w:t>产生废气的工序及时停止运行</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85" w:type="dxa"/>
                  <w:bottom w:w="0" w:type="dxa"/>
                  <w:right w:w="85" w:type="dxa"/>
                </w:tblCellMar>
              </w:tblPrEx>
              <w:trPr>
                <w:trHeight w:val="397" w:hRule="atLeast"/>
                <w:jc w:val="center"/>
              </w:trPr>
              <w:tc>
                <w:tcPr>
                  <w:tcW w:w="1142" w:type="dxa"/>
                  <w:tcBorders>
                    <w:tl2br w:val="nil"/>
                    <w:tr2bl w:val="nil"/>
                  </w:tcBorders>
                  <w:noWrap w:val="0"/>
                  <w:vAlign w:val="center"/>
                </w:tcPr>
                <w:p>
                  <w:pPr>
                    <w:jc w:val="center"/>
                    <w:rPr>
                      <w:rFonts w:hint="eastAsia"/>
                    </w:rPr>
                  </w:pPr>
                  <w:r>
                    <w:rPr>
                      <w:rFonts w:hint="eastAsia"/>
                    </w:rPr>
                    <w:t>活性炭吸附-脱附+催化燃烧装置</w:t>
                  </w:r>
                </w:p>
              </w:tc>
              <w:tc>
                <w:tcPr>
                  <w:tcW w:w="988" w:type="dxa"/>
                  <w:vMerge w:val="continue"/>
                  <w:tcBorders>
                    <w:tl2br w:val="nil"/>
                    <w:tr2bl w:val="nil"/>
                  </w:tcBorders>
                  <w:noWrap w:val="0"/>
                  <w:vAlign w:val="center"/>
                </w:tcPr>
                <w:p>
                  <w:pPr>
                    <w:jc w:val="center"/>
                  </w:pPr>
                </w:p>
              </w:tc>
              <w:tc>
                <w:tcPr>
                  <w:tcW w:w="1262" w:type="dxa"/>
                  <w:tcBorders>
                    <w:tl2br w:val="nil"/>
                    <w:tr2bl w:val="nil"/>
                  </w:tcBorders>
                  <w:noWrap w:val="0"/>
                  <w:vAlign w:val="center"/>
                </w:tcPr>
                <w:p>
                  <w:pPr>
                    <w:jc w:val="center"/>
                    <w:rPr>
                      <w:lang w:val="pt-BR"/>
                    </w:rPr>
                  </w:pPr>
                  <w:r>
                    <w:rPr>
                      <w:lang w:val="pt-BR"/>
                    </w:rPr>
                    <w:t>非甲烷总烃</w:t>
                  </w:r>
                </w:p>
              </w:tc>
              <w:tc>
                <w:tcPr>
                  <w:tcW w:w="1125" w:type="dxa"/>
                  <w:tcBorders>
                    <w:tl2br w:val="nil"/>
                    <w:tr2bl w:val="nil"/>
                  </w:tcBorders>
                  <w:noWrap w:val="0"/>
                  <w:vAlign w:val="center"/>
                </w:tcPr>
                <w:p>
                  <w:pPr>
                    <w:jc w:val="center"/>
                    <w:rPr>
                      <w:rFonts w:hint="default" w:eastAsia="宋体"/>
                      <w:lang w:val="en-US" w:eastAsia="zh-CN"/>
                    </w:rPr>
                  </w:pPr>
                  <w:r>
                    <w:rPr>
                      <w:rFonts w:hint="eastAsia"/>
                      <w:lang w:val="en-US" w:eastAsia="zh-CN"/>
                    </w:rPr>
                    <w:t>0.1918</w:t>
                  </w:r>
                </w:p>
              </w:tc>
              <w:tc>
                <w:tcPr>
                  <w:tcW w:w="813" w:type="dxa"/>
                  <w:vMerge w:val="continue"/>
                  <w:tcBorders>
                    <w:tl2br w:val="nil"/>
                    <w:tr2bl w:val="nil"/>
                  </w:tcBorders>
                  <w:noWrap w:val="0"/>
                  <w:vAlign w:val="center"/>
                </w:tcPr>
                <w:p>
                  <w:pPr>
                    <w:jc w:val="center"/>
                    <w:rPr>
                      <w:rFonts w:hint="default" w:eastAsia="宋体"/>
                      <w:lang w:val="en-US" w:eastAsia="zh-CN"/>
                    </w:rPr>
                  </w:pPr>
                </w:p>
              </w:tc>
              <w:tc>
                <w:tcPr>
                  <w:tcW w:w="762" w:type="dxa"/>
                  <w:vMerge w:val="continue"/>
                  <w:tcBorders>
                    <w:tl2br w:val="nil"/>
                    <w:tr2bl w:val="nil"/>
                  </w:tcBorders>
                  <w:noWrap w:val="0"/>
                  <w:vAlign w:val="center"/>
                </w:tcPr>
                <w:p>
                  <w:pPr>
                    <w:jc w:val="center"/>
                    <w:rPr>
                      <w:rFonts w:hint="eastAsia" w:eastAsia="宋体"/>
                      <w:lang w:val="en-US" w:eastAsia="zh-CN"/>
                    </w:rPr>
                  </w:pPr>
                </w:p>
              </w:tc>
              <w:tc>
                <w:tcPr>
                  <w:tcW w:w="929" w:type="dxa"/>
                  <w:tcBorders>
                    <w:tl2br w:val="nil"/>
                    <w:tr2bl w:val="nil"/>
                  </w:tcBorders>
                  <w:noWrap w:val="0"/>
                  <w:vAlign w:val="center"/>
                </w:tcPr>
                <w:p>
                  <w:pPr>
                    <w:jc w:val="center"/>
                    <w:rPr>
                      <w:rFonts w:hint="default"/>
                      <w:lang w:val="en-US" w:eastAsia="zh-CN"/>
                    </w:rPr>
                  </w:pPr>
                  <w:r>
                    <w:rPr>
                      <w:rFonts w:hint="eastAsia"/>
                      <w:lang w:val="en-US" w:eastAsia="zh-CN"/>
                    </w:rPr>
                    <w:t>0.0480</w:t>
                  </w:r>
                </w:p>
              </w:tc>
              <w:tc>
                <w:tcPr>
                  <w:tcW w:w="897" w:type="dxa"/>
                  <w:vMerge w:val="continue"/>
                  <w:tcBorders>
                    <w:tl2br w:val="nil"/>
                    <w:tr2bl w:val="nil"/>
                  </w:tcBorders>
                  <w:noWrap w:val="0"/>
                  <w:vAlign w:val="center"/>
                </w:tcPr>
                <w:p>
                  <w:pPr>
                    <w:jc w:val="center"/>
                  </w:pPr>
                </w:p>
              </w:tc>
            </w:tr>
          </w:tbl>
          <w:p>
            <w:pPr>
              <w:pStyle w:val="5"/>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left="0" w:leftChars="0" w:firstLine="480" w:firstLineChars="200"/>
              <w:textAlignment w:val="auto"/>
              <w:outlineLvl w:val="9"/>
              <w:rPr>
                <w:rFonts w:hint="eastAsia" w:ascii="Times New Roman" w:hAnsi="Times New Roman" w:cs="Times New Roman"/>
                <w:color w:val="auto"/>
                <w:sz w:val="24"/>
                <w:szCs w:val="24"/>
                <w:lang w:val="en-US" w:eastAsia="zh-CN"/>
              </w:rPr>
            </w:pPr>
            <w:r>
              <w:rPr>
                <w:rFonts w:hint="eastAsia" w:cs="Times New Roman"/>
                <w:color w:val="auto"/>
                <w:sz w:val="24"/>
                <w:szCs w:val="24"/>
                <w:lang w:val="en-US" w:eastAsia="zh-CN"/>
              </w:rPr>
              <w:t>6</w:t>
            </w:r>
            <w:r>
              <w:rPr>
                <w:rFonts w:hint="eastAsia" w:ascii="Times New Roman" w:hAnsi="Times New Roman" w:cs="Times New Roman"/>
                <w:color w:val="auto"/>
                <w:sz w:val="24"/>
                <w:szCs w:val="24"/>
                <w:lang w:val="en-US" w:eastAsia="zh-CN"/>
              </w:rPr>
              <w:t>、废气排放的影响</w:t>
            </w:r>
          </w:p>
          <w:p>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outlineLvl w:val="9"/>
              <w:rPr>
                <w:rFonts w:hint="default"/>
                <w:sz w:val="24"/>
                <w:szCs w:val="24"/>
                <w:lang w:val="en-US" w:eastAsia="zh-CN"/>
              </w:rPr>
            </w:pPr>
            <w:r>
              <w:rPr>
                <w:rFonts w:hint="default" w:ascii="Times New Roman" w:hAnsi="Times New Roman" w:cs="Times New Roman"/>
                <w:color w:val="auto"/>
                <w:sz w:val="24"/>
                <w:szCs w:val="24"/>
              </w:rPr>
              <w:t>新乡市</w:t>
            </w:r>
            <w:r>
              <w:rPr>
                <w:rFonts w:hint="eastAsia" w:ascii="Times New Roman" w:hAnsi="Times New Roman" w:cs="Times New Roman"/>
                <w:color w:val="auto"/>
                <w:sz w:val="24"/>
                <w:szCs w:val="24"/>
                <w:lang w:val="en-US" w:eastAsia="zh-CN"/>
              </w:rPr>
              <w:t>2021</w:t>
            </w:r>
            <w:r>
              <w:rPr>
                <w:rFonts w:hint="default" w:ascii="Times New Roman" w:hAnsi="Times New Roman" w:cs="Times New Roman"/>
                <w:color w:val="auto"/>
                <w:sz w:val="24"/>
                <w:szCs w:val="24"/>
              </w:rPr>
              <w:t>年PM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和O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年评价指标均不能够满足《环境空气质量标准》（GB3095-2012）二级标准要求</w:t>
            </w:r>
            <w:r>
              <w:rPr>
                <w:rFonts w:hint="eastAsia" w:ascii="Times New Roman" w:hAnsi="Times New Roman" w:cs="Times New Roman"/>
                <w:color w:val="auto"/>
                <w:sz w:val="24"/>
                <w:szCs w:val="24"/>
                <w:lang w:eastAsia="zh-CN"/>
              </w:rPr>
              <w:t>，属于不</w:t>
            </w:r>
            <w:r>
              <w:rPr>
                <w:rFonts w:hint="default" w:ascii="Times New Roman" w:hAnsi="Times New Roman" w:cs="Times New Roman"/>
                <w:color w:val="auto"/>
                <w:sz w:val="24"/>
                <w:szCs w:val="24"/>
              </w:rPr>
              <w:t>达标区</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b w:val="0"/>
                <w:bCs w:val="0"/>
                <w:color w:val="auto"/>
                <w:sz w:val="24"/>
                <w:szCs w:val="24"/>
                <w:u w:val="none"/>
                <w:lang w:eastAsia="zh-CN"/>
              </w:rPr>
              <w:t>本项目</w:t>
            </w:r>
            <w:r>
              <w:rPr>
                <w:rFonts w:hint="eastAsia" w:cs="Times New Roman"/>
                <w:bCs/>
                <w:color w:val="auto"/>
                <w:sz w:val="24"/>
                <w:szCs w:val="24"/>
                <w:lang w:val="en-US" w:eastAsia="zh-CN"/>
              </w:rPr>
              <w:t>破碎</w:t>
            </w:r>
            <w:r>
              <w:rPr>
                <w:rFonts w:hint="eastAsia" w:ascii="Times New Roman" w:hAnsi="Times New Roman" w:eastAsia="宋体" w:cs="Times New Roman"/>
                <w:bCs/>
                <w:color w:val="auto"/>
                <w:sz w:val="24"/>
                <w:szCs w:val="24"/>
                <w:lang w:val="en-US" w:eastAsia="zh-CN"/>
              </w:rPr>
              <w:t>工序废气经</w:t>
            </w:r>
            <w:r>
              <w:rPr>
                <w:rFonts w:hint="eastAsia" w:ascii="Times New Roman" w:hAnsi="Times New Roman" w:cs="Times New Roman"/>
                <w:color w:val="auto"/>
                <w:sz w:val="24"/>
                <w:szCs w:val="24"/>
                <w:lang w:eastAsia="zh-CN"/>
              </w:rPr>
              <w:t>集气装置收集后</w:t>
            </w:r>
            <w:r>
              <w:rPr>
                <w:rFonts w:hint="default" w:ascii="Times New Roman" w:hAnsi="Times New Roman" w:cs="Times New Roman"/>
                <w:color w:val="auto"/>
                <w:sz w:val="24"/>
                <w:szCs w:val="24"/>
                <w:highlight w:val="none"/>
              </w:rPr>
              <w:t>引至</w:t>
            </w:r>
            <w:r>
              <w:rPr>
                <w:rFonts w:hint="eastAsia"/>
                <w:color w:val="auto"/>
                <w:sz w:val="24"/>
                <w:szCs w:val="24"/>
                <w:lang w:val="en-US" w:eastAsia="zh-CN"/>
              </w:rPr>
              <w:t>袋式除尘器</w:t>
            </w:r>
            <w:r>
              <w:rPr>
                <w:rFonts w:hint="eastAsia"/>
                <w:color w:val="auto"/>
                <w:sz w:val="24"/>
                <w:szCs w:val="24"/>
                <w:lang w:eastAsia="zh-CN"/>
              </w:rPr>
              <w:t>处理</w:t>
            </w:r>
            <w:r>
              <w:rPr>
                <w:rFonts w:hint="eastAsia" w:ascii="Times New Roman" w:hAnsi="Times New Roman" w:eastAsia="宋体" w:cs="Times New Roman"/>
                <w:bCs/>
                <w:color w:val="auto"/>
                <w:sz w:val="24"/>
                <w:szCs w:val="24"/>
                <w:lang w:val="en-US" w:eastAsia="zh-CN"/>
              </w:rPr>
              <w:t>处理后分别由15m高排气筒</w:t>
            </w:r>
            <w:r>
              <w:rPr>
                <w:rFonts w:hint="eastAsia" w:cs="Times New Roman"/>
                <w:bCs/>
                <w:color w:val="auto"/>
                <w:sz w:val="24"/>
                <w:szCs w:val="24"/>
                <w:lang w:val="en-US" w:eastAsia="zh-CN"/>
              </w:rPr>
              <w:t>DA001</w:t>
            </w:r>
            <w:r>
              <w:rPr>
                <w:rFonts w:hint="eastAsia" w:ascii="Times New Roman" w:hAnsi="Times New Roman" w:eastAsia="宋体" w:cs="Times New Roman"/>
                <w:bCs/>
                <w:color w:val="auto"/>
                <w:sz w:val="24"/>
                <w:szCs w:val="24"/>
                <w:lang w:val="en-US" w:eastAsia="zh-CN"/>
              </w:rPr>
              <w:t>排放；</w:t>
            </w:r>
            <w:r>
              <w:rPr>
                <w:rFonts w:hint="eastAsia"/>
                <w:sz w:val="24"/>
                <w:szCs w:val="24"/>
                <w:lang w:val="en-US" w:eastAsia="zh-CN"/>
              </w:rPr>
              <w:t>注塑、加热挤出、吹塑工序</w:t>
            </w:r>
            <w:r>
              <w:rPr>
                <w:rFonts w:hint="eastAsia"/>
                <w:color w:val="auto"/>
                <w:sz w:val="24"/>
                <w:szCs w:val="24"/>
                <w:lang w:eastAsia="zh-CN"/>
              </w:rPr>
              <w:t>废气经</w:t>
            </w:r>
            <w:r>
              <w:rPr>
                <w:rFonts w:hint="eastAsia" w:ascii="Times New Roman" w:hAnsi="Times New Roman" w:cs="Times New Roman"/>
                <w:color w:val="auto"/>
                <w:sz w:val="24"/>
                <w:szCs w:val="24"/>
                <w:lang w:eastAsia="zh-CN"/>
              </w:rPr>
              <w:t>集气装置收集后</w:t>
            </w:r>
            <w:r>
              <w:rPr>
                <w:rFonts w:hint="eastAsia" w:ascii="Times New Roman" w:hAnsi="Times New Roman" w:cs="Times New Roman"/>
                <w:color w:val="auto"/>
                <w:sz w:val="24"/>
                <w:szCs w:val="24"/>
                <w:highlight w:val="none"/>
                <w:lang w:val="en-US" w:eastAsia="zh-CN"/>
              </w:rPr>
              <w:t>活性炭吸附装置</w:t>
            </w:r>
            <w:r>
              <w:rPr>
                <w:rFonts w:hint="eastAsia"/>
                <w:color w:val="auto"/>
                <w:sz w:val="24"/>
                <w:szCs w:val="24"/>
                <w:lang w:eastAsia="zh-CN"/>
              </w:rPr>
              <w:t>处理设施</w:t>
            </w:r>
            <w:r>
              <w:rPr>
                <w:rFonts w:hint="eastAsia" w:ascii="Times New Roman" w:hAnsi="Times New Roman" w:eastAsia="宋体" w:cs="Times New Roman"/>
                <w:bCs/>
                <w:color w:val="auto"/>
                <w:sz w:val="24"/>
                <w:szCs w:val="24"/>
                <w:lang w:val="en-US" w:eastAsia="zh-CN"/>
              </w:rPr>
              <w:t>处理后由15m高排气筒</w:t>
            </w:r>
            <w:r>
              <w:rPr>
                <w:rFonts w:hint="eastAsia" w:cs="Times New Roman"/>
                <w:bCs/>
                <w:color w:val="auto"/>
                <w:sz w:val="24"/>
                <w:szCs w:val="24"/>
                <w:lang w:val="en-US" w:eastAsia="zh-CN"/>
              </w:rPr>
              <w:t>DA002</w:t>
            </w:r>
            <w:r>
              <w:rPr>
                <w:rFonts w:hint="eastAsia" w:ascii="Times New Roman" w:hAnsi="Times New Roman" w:eastAsia="宋体" w:cs="Times New Roman"/>
                <w:bCs/>
                <w:color w:val="auto"/>
                <w:sz w:val="24"/>
                <w:szCs w:val="24"/>
                <w:lang w:val="en-US" w:eastAsia="zh-CN"/>
              </w:rPr>
              <w:t>排放；</w:t>
            </w:r>
            <w:r>
              <w:rPr>
                <w:rFonts w:hint="default" w:ascii="Times New Roman" w:hAnsi="Times New Roman" w:cs="Times New Roman"/>
                <w:color w:val="auto"/>
                <w:sz w:val="24"/>
                <w:szCs w:val="24"/>
              </w:rPr>
              <w:t>废气中主要污染因子</w:t>
            </w:r>
            <w:r>
              <w:rPr>
                <w:rFonts w:hint="eastAsia" w:ascii="Times New Roman" w:hAnsi="Times New Roman" w:cs="Times New Roman"/>
                <w:color w:val="auto"/>
                <w:sz w:val="24"/>
                <w:szCs w:val="24"/>
                <w:lang w:eastAsia="zh-CN"/>
              </w:rPr>
              <w:t>为非甲烷总烃、颗粒物，</w:t>
            </w:r>
            <w:r>
              <w:rPr>
                <w:rFonts w:hint="eastAsia" w:ascii="Times New Roman" w:hAnsi="Times New Roman" w:cs="Times New Roman"/>
                <w:color w:val="auto"/>
                <w:sz w:val="24"/>
                <w:szCs w:val="24"/>
                <w:lang w:val="en-US" w:eastAsia="zh-CN"/>
              </w:rPr>
              <w:t>项目</w:t>
            </w:r>
            <w:r>
              <w:rPr>
                <w:rFonts w:hint="eastAsia" w:cs="Times New Roman"/>
                <w:color w:val="auto"/>
                <w:sz w:val="24"/>
                <w:szCs w:val="24"/>
                <w:lang w:val="en-US" w:eastAsia="zh-CN"/>
              </w:rPr>
              <w:t>距敏感点较远</w:t>
            </w:r>
            <w:r>
              <w:rPr>
                <w:rFonts w:hint="eastAsia" w:ascii="Times New Roman" w:hAnsi="Times New Roman" w:cs="Times New Roman"/>
                <w:color w:val="auto"/>
                <w:sz w:val="24"/>
                <w:szCs w:val="24"/>
                <w:lang w:val="en-US" w:eastAsia="zh-CN"/>
              </w:rPr>
              <w:t>；本项目废气排放量较小，废气排放</w:t>
            </w:r>
            <w:r>
              <w:rPr>
                <w:rFonts w:hint="eastAsia"/>
                <w:color w:val="auto"/>
                <w:sz w:val="24"/>
                <w:szCs w:val="24"/>
                <w:lang w:eastAsia="zh-CN"/>
              </w:rPr>
              <w:t>对周围环境影响较小</w:t>
            </w:r>
            <w:r>
              <w:rPr>
                <w:rFonts w:hint="default" w:ascii="Times New Roman" w:hAnsi="Times New Roman" w:cs="Times New Roman"/>
                <w:color w:val="auto"/>
                <w:sz w:val="24"/>
                <w:szCs w:val="24"/>
              </w:rPr>
              <w:t>。项目只要确保环保设施正常运行，就能减少对大气环境质量的影响。总体来说，</w:t>
            </w:r>
            <w:r>
              <w:rPr>
                <w:rFonts w:hint="default"/>
                <w:sz w:val="24"/>
                <w:szCs w:val="24"/>
              </w:rPr>
              <w:t>项目建设</w:t>
            </w:r>
            <w:r>
              <w:rPr>
                <w:rFonts w:hint="eastAsia"/>
                <w:sz w:val="24"/>
                <w:szCs w:val="24"/>
                <w:lang w:eastAsia="zh-CN"/>
              </w:rPr>
              <w:t>不会</w:t>
            </w:r>
            <w:r>
              <w:rPr>
                <w:rFonts w:hint="default"/>
                <w:sz w:val="24"/>
                <w:szCs w:val="24"/>
              </w:rPr>
              <w:t>对周围大气环境质量</w:t>
            </w:r>
            <w:r>
              <w:rPr>
                <w:rFonts w:hint="eastAsia"/>
                <w:sz w:val="24"/>
                <w:szCs w:val="24"/>
                <w:lang w:eastAsia="zh-CN"/>
              </w:rPr>
              <w:t>造成影响</w:t>
            </w:r>
            <w:r>
              <w:rPr>
                <w:rFonts w:hint="default"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sz w:val="24"/>
                <w:szCs w:val="24"/>
                <w:lang w:val="en-US" w:eastAsia="zh-CN"/>
              </w:rPr>
            </w:pPr>
            <w:r>
              <w:rPr>
                <w:rFonts w:hint="default"/>
                <w:b/>
                <w:bCs/>
                <w:sz w:val="24"/>
                <w:szCs w:val="24"/>
              </w:rPr>
              <w:t>（二）废水对环境的影响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（1）地表水环境</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①冷却水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本项目生产过程中需用水进行间接冷却，由于对冷却水的水质要求不高，</w:t>
            </w:r>
            <w:r>
              <w:rPr>
                <w:rFonts w:hint="eastAsia"/>
                <w:sz w:val="24"/>
                <w:szCs w:val="24"/>
                <w:lang w:val="en-US" w:eastAsia="zh-CN"/>
              </w:rPr>
              <w:t>3t</w:t>
            </w:r>
            <w:r>
              <w:rPr>
                <w:rFonts w:hint="default"/>
                <w:sz w:val="24"/>
                <w:szCs w:val="24"/>
                <w:lang w:val="en-US" w:eastAsia="zh-CN"/>
              </w:rPr>
              <w:t>冷却</w:t>
            </w:r>
            <w:r>
              <w:rPr>
                <w:rFonts w:hint="eastAsia"/>
                <w:sz w:val="24"/>
                <w:szCs w:val="24"/>
                <w:lang w:val="en-US" w:eastAsia="zh-CN"/>
              </w:rPr>
              <w:t>水</w:t>
            </w:r>
            <w:r>
              <w:rPr>
                <w:rFonts w:hint="default"/>
                <w:sz w:val="24"/>
                <w:szCs w:val="24"/>
                <w:lang w:val="en-US" w:eastAsia="zh-CN"/>
              </w:rPr>
              <w:t>循环使用，不排放，只定期补充蒸发掉的水量，</w:t>
            </w:r>
            <w:r>
              <w:rPr>
                <w:rFonts w:hint="eastAsia"/>
                <w:sz w:val="24"/>
                <w:szCs w:val="24"/>
                <w:lang w:val="en-US" w:eastAsia="zh-CN"/>
              </w:rPr>
              <w:t>损耗量为循环量的10%，</w:t>
            </w:r>
            <w:r>
              <w:rPr>
                <w:rFonts w:hint="default"/>
                <w:sz w:val="24"/>
                <w:szCs w:val="24"/>
                <w:lang w:val="en-US" w:eastAsia="zh-CN"/>
              </w:rPr>
              <w:t>每天补充水量约为0.</w:t>
            </w:r>
            <w:r>
              <w:rPr>
                <w:rFonts w:hint="eastAsia"/>
                <w:sz w:val="24"/>
                <w:szCs w:val="24"/>
                <w:lang w:val="en-US" w:eastAsia="zh-CN"/>
              </w:rPr>
              <w:t>3t</w:t>
            </w:r>
            <w:r>
              <w:rPr>
                <w:rFonts w:hint="default"/>
                <w:sz w:val="24"/>
                <w:szCs w:val="24"/>
                <w:lang w:val="en-US" w:eastAsia="zh-CN"/>
              </w:rPr>
              <w:t>，则年补充水量约为</w:t>
            </w:r>
            <w:r>
              <w:rPr>
                <w:rFonts w:hint="eastAsia"/>
                <w:sz w:val="24"/>
                <w:szCs w:val="24"/>
                <w:lang w:val="en-US" w:eastAsia="zh-CN"/>
              </w:rPr>
              <w:t>78t</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②生活污水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default" w:ascii="Times New Roman" w:hAnsi="Times New Roman" w:eastAsia="宋体" w:cs="Times New Roman"/>
                <w:color w:val="000000"/>
                <w:sz w:val="24"/>
                <w:szCs w:val="24"/>
                <w:highlight w:val="none"/>
              </w:rPr>
              <w:t>本项目</w:t>
            </w:r>
            <w:r>
              <w:rPr>
                <w:rFonts w:hint="default" w:ascii="Times New Roman" w:hAnsi="Times New Roman" w:eastAsia="宋体" w:cs="Times New Roman"/>
                <w:color w:val="000000"/>
                <w:sz w:val="24"/>
                <w:szCs w:val="24"/>
                <w:highlight w:val="none"/>
                <w:lang w:val="en-US" w:eastAsia="zh-CN"/>
              </w:rPr>
              <w:t>不新增员工，</w:t>
            </w:r>
            <w:r>
              <w:rPr>
                <w:rFonts w:hint="eastAsia" w:cs="Times New Roman"/>
                <w:color w:val="000000"/>
                <w:sz w:val="24"/>
                <w:szCs w:val="24"/>
                <w:highlight w:val="none"/>
                <w:lang w:val="en-US" w:eastAsia="zh-CN"/>
              </w:rPr>
              <w:t>从现有员工调剂6人</w:t>
            </w:r>
            <w:r>
              <w:rPr>
                <w:rFonts w:hint="default" w:ascii="Times New Roman" w:hAnsi="Times New Roman" w:eastAsia="宋体" w:cs="Times New Roman"/>
                <w:color w:val="000000"/>
                <w:sz w:val="24"/>
                <w:szCs w:val="24"/>
                <w:highlight w:val="none"/>
                <w:lang w:eastAsia="zh-CN"/>
              </w:rPr>
              <w:t>，</w:t>
            </w:r>
            <w:r>
              <w:rPr>
                <w:rFonts w:hint="eastAsia" w:cs="Times New Roman"/>
                <w:color w:val="000000"/>
                <w:sz w:val="24"/>
                <w:szCs w:val="24"/>
                <w:highlight w:val="none"/>
                <w:lang w:val="en-US" w:eastAsia="zh-CN"/>
              </w:rPr>
              <w:t>不在厂区食宿</w:t>
            </w:r>
            <w:r>
              <w:rPr>
                <w:rFonts w:hint="default" w:ascii="Times New Roman" w:hAnsi="Times New Roman" w:eastAsia="宋体" w:cs="Times New Roman"/>
                <w:color w:val="000000"/>
                <w:sz w:val="24"/>
                <w:szCs w:val="24"/>
                <w:highlight w:val="none"/>
                <w:lang w:val="en-US" w:eastAsia="zh-CN"/>
              </w:rPr>
              <w:t>故无新增生活用水量产生</w:t>
            </w:r>
            <w:r>
              <w:rPr>
                <w:rFonts w:hint="eastAsia" w:cs="Times New Roman"/>
                <w:color w:val="000000"/>
                <w:sz w:val="24"/>
                <w:szCs w:val="24"/>
                <w:highlight w:val="none"/>
                <w:lang w:val="en-US" w:eastAsia="zh-CN"/>
              </w:rPr>
              <w:t>，不在开展分析，</w:t>
            </w:r>
            <w:r>
              <w:rPr>
                <w:rFonts w:hint="eastAsia"/>
                <w:sz w:val="24"/>
                <w:szCs w:val="24"/>
                <w:lang w:val="en-US" w:eastAsia="zh-CN"/>
              </w:rPr>
              <w:t>现有员工生活废水经化粪池处理后定期清运。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rPr>
                <w:rFonts w:hint="default"/>
                <w:b/>
                <w:bCs/>
                <w:sz w:val="24"/>
                <w:szCs w:val="24"/>
              </w:rPr>
            </w:pPr>
            <w:r>
              <w:rPr>
                <w:rFonts w:hint="default"/>
                <w:b/>
                <w:bCs/>
                <w:sz w:val="24"/>
                <w:szCs w:val="24"/>
              </w:rPr>
              <w:t>（三）噪声对环境的影响</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baseline"/>
              <w:rPr>
                <w:rFonts w:hint="default" w:eastAsia="宋体"/>
                <w:sz w:val="24"/>
                <w:szCs w:val="24"/>
                <w:lang w:val="en-US" w:eastAsia="zh-CN"/>
              </w:rPr>
            </w:pPr>
            <w:r>
              <w:rPr>
                <w:rFonts w:hint="default"/>
                <w:sz w:val="24"/>
                <w:szCs w:val="24"/>
              </w:rPr>
              <w:t>本项目生产过程中产生的噪声主要是</w:t>
            </w:r>
            <w:r>
              <w:rPr>
                <w:rFonts w:hint="default"/>
                <w:sz w:val="24"/>
                <w:szCs w:val="24"/>
                <w:lang w:val="en-US" w:eastAsia="zh-CN"/>
              </w:rPr>
              <w:t>注塑机</w:t>
            </w:r>
            <w:r>
              <w:rPr>
                <w:rFonts w:hint="eastAsia"/>
                <w:sz w:val="24"/>
                <w:szCs w:val="24"/>
                <w:lang w:val="en-US" w:eastAsia="zh-CN"/>
              </w:rPr>
              <w:t>、挤出机、吹塑机</w:t>
            </w:r>
            <w:r>
              <w:rPr>
                <w:rFonts w:hint="default"/>
                <w:sz w:val="24"/>
                <w:szCs w:val="24"/>
                <w:lang w:val="en-US" w:eastAsia="zh-CN"/>
              </w:rPr>
              <w:t>和破碎机</w:t>
            </w:r>
            <w:r>
              <w:rPr>
                <w:rFonts w:hint="default"/>
                <w:sz w:val="24"/>
                <w:szCs w:val="24"/>
              </w:rPr>
              <w:t>等设备运行时产生的噪声，工程噪声源强在</w:t>
            </w:r>
            <w:r>
              <w:rPr>
                <w:rFonts w:hint="default"/>
                <w:sz w:val="24"/>
                <w:szCs w:val="24"/>
                <w:lang w:val="en-US" w:eastAsia="zh-CN"/>
              </w:rPr>
              <w:t>7</w:t>
            </w:r>
            <w:r>
              <w:rPr>
                <w:rFonts w:hint="eastAsia"/>
                <w:sz w:val="24"/>
                <w:szCs w:val="24"/>
                <w:lang w:val="en-US" w:eastAsia="zh-CN"/>
              </w:rPr>
              <w:t>0</w:t>
            </w:r>
            <w:r>
              <w:rPr>
                <w:rFonts w:hint="default"/>
                <w:sz w:val="24"/>
                <w:szCs w:val="24"/>
              </w:rPr>
              <w:t>~</w:t>
            </w:r>
            <w:r>
              <w:rPr>
                <w:rFonts w:hint="default"/>
                <w:sz w:val="24"/>
                <w:szCs w:val="24"/>
                <w:lang w:val="en-US" w:eastAsia="zh-CN"/>
              </w:rPr>
              <w:t>8</w:t>
            </w:r>
            <w:r>
              <w:rPr>
                <w:rFonts w:hint="eastAsia"/>
                <w:sz w:val="24"/>
                <w:szCs w:val="24"/>
                <w:lang w:val="en-US" w:eastAsia="zh-CN"/>
              </w:rPr>
              <w:t>5</w:t>
            </w:r>
            <w:r>
              <w:rPr>
                <w:rFonts w:hint="default"/>
                <w:sz w:val="24"/>
                <w:szCs w:val="24"/>
              </w:rPr>
              <w:t>dB（A）</w:t>
            </w:r>
            <w:r>
              <w:rPr>
                <w:rFonts w:hint="eastAsia"/>
                <w:sz w:val="24"/>
                <w:szCs w:val="24"/>
                <w:lang w:eastAsia="zh-CN"/>
              </w:rPr>
              <w:t>，</w:t>
            </w:r>
            <w:r>
              <w:rPr>
                <w:rFonts w:hint="eastAsia"/>
                <w:sz w:val="24"/>
                <w:szCs w:val="24"/>
                <w:lang w:val="en-US" w:eastAsia="zh-CN"/>
              </w:rPr>
              <w:t>以及废气治理风机、除尘器风机、循环水泵噪声源强75-85</w:t>
            </w:r>
            <w:r>
              <w:rPr>
                <w:rFonts w:hint="default"/>
                <w:sz w:val="24"/>
                <w:szCs w:val="24"/>
              </w:rPr>
              <w:t>dB（A</w:t>
            </w:r>
            <w:r>
              <w:rPr>
                <w:rFonts w:hint="eastAsia"/>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baseline"/>
              <w:rPr>
                <w:sz w:val="24"/>
              </w:rPr>
            </w:pPr>
            <w:r>
              <w:rPr>
                <w:sz w:val="24"/>
                <w:szCs w:val="24"/>
              </w:rPr>
              <w:t>根据《环境影响评价技术导则声环境》（HJ2.4-2021），工业声源应按照室内声源计算。</w:t>
            </w:r>
          </w:p>
          <w:p>
            <w:pPr>
              <w:keepNext w:val="0"/>
              <w:keepLines w:val="0"/>
              <w:pageBreakBefore w:val="0"/>
              <w:widowControl w:val="0"/>
              <w:kinsoku/>
              <w:wordWrap/>
              <w:overflowPunct/>
              <w:topLinePunct w:val="0"/>
              <w:autoSpaceDE/>
              <w:autoSpaceDN/>
              <w:bidi w:val="0"/>
              <w:spacing w:line="360" w:lineRule="auto"/>
              <w:ind w:left="0" w:firstLine="480" w:firstLineChars="200"/>
              <w:jc w:val="left"/>
              <w:rPr>
                <w:sz w:val="24"/>
              </w:rPr>
            </w:pPr>
            <w:r>
              <w:rPr>
                <w:sz w:val="24"/>
                <w:szCs w:val="24"/>
              </w:rPr>
              <w:t>声源位于室内，室内声源可采用等效室外声源声功率级法进行计算。设靠近开口处（或窗户）室内、室外某倍频带的声压级或A声级分别为Lp1和Lp2。</w:t>
            </w:r>
          </w:p>
          <w:p>
            <w:pPr>
              <w:keepNext w:val="0"/>
              <w:keepLines w:val="0"/>
              <w:pageBreakBefore w:val="0"/>
              <w:widowControl w:val="0"/>
              <w:kinsoku/>
              <w:wordWrap/>
              <w:overflowPunct/>
              <w:topLinePunct w:val="0"/>
              <w:autoSpaceDE/>
              <w:autoSpaceDN/>
              <w:bidi w:val="0"/>
              <w:spacing w:line="360" w:lineRule="auto"/>
              <w:ind w:left="0" w:firstLine="480" w:firstLineChars="200"/>
              <w:jc w:val="left"/>
              <w:rPr>
                <w:sz w:val="24"/>
              </w:rPr>
            </w:pPr>
            <w:r>
              <w:rPr>
                <w:sz w:val="24"/>
                <w:szCs w:val="24"/>
              </w:rPr>
              <w:t>计算某一室内声源靠近围护结构处产生的倍频带声压级或A声级公式如下：</w:t>
            </w:r>
          </w:p>
          <w:p>
            <w:pPr>
              <w:keepNext w:val="0"/>
              <w:keepLines w:val="0"/>
              <w:pageBreakBefore w:val="0"/>
              <w:widowControl w:val="0"/>
              <w:kinsoku/>
              <w:wordWrap/>
              <w:overflowPunct/>
              <w:topLinePunct w:val="0"/>
              <w:autoSpaceDE/>
              <w:autoSpaceDN/>
              <w:bidi w:val="0"/>
              <w:spacing w:line="360" w:lineRule="auto"/>
              <w:ind w:left="0" w:firstLine="480" w:firstLineChars="200"/>
              <w:jc w:val="center"/>
              <w:rPr>
                <w:sz w:val="24"/>
              </w:rPr>
            </w:pPr>
            <w:r>
              <w:rPr>
                <w:sz w:val="24"/>
              </w:rPr>
              <w:drawing>
                <wp:inline distT="0" distB="0" distL="114300" distR="114300">
                  <wp:extent cx="2054225" cy="422275"/>
                  <wp:effectExtent l="0" t="0" r="0" b="16510"/>
                  <wp:docPr id="55" name="图片 1"/>
                  <wp:cNvGraphicFramePr/>
                  <a:graphic xmlns:a="http://schemas.openxmlformats.org/drawingml/2006/main">
                    <a:graphicData uri="http://schemas.openxmlformats.org/drawingml/2006/picture">
                      <pic:pic xmlns:pic="http://schemas.openxmlformats.org/drawingml/2006/picture">
                        <pic:nvPicPr>
                          <pic:cNvPr id="55" name="图片 1"/>
                          <pic:cNvPicPr/>
                        </pic:nvPicPr>
                        <pic:blipFill>
                          <a:blip r:embed="rId21"/>
                          <a:stretch>
                            <a:fillRect/>
                          </a:stretch>
                        </pic:blipFill>
                        <pic:spPr>
                          <a:xfrm>
                            <a:off x="0" y="0"/>
                            <a:ext cx="2054225" cy="422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pacing w:line="360" w:lineRule="auto"/>
              <w:jc w:val="left"/>
              <w:rPr>
                <w:sz w:val="24"/>
                <w:szCs w:val="24"/>
              </w:rPr>
            </w:pPr>
            <w:r>
              <w:rPr>
                <w:sz w:val="24"/>
                <w:szCs w:val="24"/>
              </w:rPr>
              <w:t>式中：</w:t>
            </w:r>
          </w:p>
          <w:p>
            <w:pPr>
              <w:keepNext w:val="0"/>
              <w:keepLines w:val="0"/>
              <w:pageBreakBefore w:val="0"/>
              <w:widowControl w:val="0"/>
              <w:kinsoku/>
              <w:wordWrap/>
              <w:overflowPunct/>
              <w:topLinePunct w:val="0"/>
              <w:autoSpaceDE/>
              <w:autoSpaceDN/>
              <w:bidi w:val="0"/>
              <w:spacing w:line="360" w:lineRule="auto"/>
              <w:ind w:left="0" w:firstLine="480" w:firstLineChars="200"/>
              <w:jc w:val="left"/>
              <w:rPr>
                <w:sz w:val="24"/>
              </w:rPr>
            </w:pPr>
            <w:r>
              <w:rPr>
                <w:sz w:val="24"/>
                <w:szCs w:val="24"/>
              </w:rPr>
              <w:t>Lp1——靠近开口处（或窗户）室内某倍频带的声压级或A声级，dB；</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baseline"/>
              <w:rPr>
                <w:sz w:val="24"/>
              </w:rPr>
            </w:pPr>
            <w:r>
              <w:rPr>
                <w:sz w:val="24"/>
                <w:szCs w:val="24"/>
              </w:rPr>
              <w:t>Lw1—点声源声功率级（A计权或倍频带），dB；</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baseline"/>
              <w:rPr>
                <w:rFonts w:hint="eastAsia"/>
                <w:sz w:val="24"/>
                <w:szCs w:val="24"/>
              </w:rPr>
            </w:pPr>
            <w:r>
              <w:rPr>
                <w:sz w:val="24"/>
                <w:szCs w:val="24"/>
              </w:rPr>
              <w:t>Q—指向性因数；通常对无指向性声源，当声源放在房间中心时，Q=1；当放在一面墙的中心时，Q=2；当放在两面墙夹角处时，Q=4；当放在三面墙夹角处时，Q=8；本项目</w:t>
            </w:r>
            <w:r>
              <w:rPr>
                <w:rFonts w:hint="eastAsia"/>
                <w:sz w:val="24"/>
                <w:szCs w:val="24"/>
              </w:rPr>
              <w:t>Q值取</w:t>
            </w:r>
            <w:r>
              <w:rPr>
                <w:rFonts w:hint="eastAsia"/>
                <w:sz w:val="24"/>
                <w:szCs w:val="24"/>
                <w:lang w:val="en-US" w:eastAsia="zh-CN"/>
              </w:rPr>
              <w:t>4</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baseline"/>
              <w:rPr>
                <w:rFonts w:hint="eastAsia" w:eastAsia="宋体"/>
                <w:sz w:val="24"/>
                <w:lang w:eastAsia="zh-CN"/>
              </w:rPr>
            </w:pPr>
            <w:r>
              <w:rPr>
                <w:sz w:val="24"/>
                <w:szCs w:val="24"/>
              </w:rPr>
              <w:t>R——房间常数；R=S/</w:t>
            </w:r>
            <w:r>
              <w:rPr>
                <w:rFonts w:hint="eastAsia"/>
                <w:sz w:val="24"/>
                <w:szCs w:val="24"/>
                <w:lang w:val="en-US" w:eastAsia="zh-CN"/>
              </w:rPr>
              <w:t>(</w:t>
            </w:r>
            <w:r>
              <w:rPr>
                <w:sz w:val="24"/>
                <w:szCs w:val="24"/>
              </w:rPr>
              <w:t>1-α</w:t>
            </w:r>
            <w:r>
              <w:rPr>
                <w:rFonts w:hint="eastAsia"/>
                <w:sz w:val="24"/>
                <w:szCs w:val="24"/>
                <w:lang w:val="en-US" w:eastAsia="zh-CN"/>
              </w:rPr>
              <w:t>)</w:t>
            </w:r>
            <w:r>
              <w:rPr>
                <w:sz w:val="24"/>
                <w:szCs w:val="24"/>
              </w:rPr>
              <w:t>，S为房间内表面面积，m</w:t>
            </w:r>
            <w:r>
              <w:rPr>
                <w:sz w:val="24"/>
                <w:szCs w:val="24"/>
                <w:vertAlign w:val="superscript"/>
              </w:rPr>
              <w:t>2</w:t>
            </w:r>
            <w:r>
              <w:rPr>
                <w:sz w:val="24"/>
                <w:szCs w:val="24"/>
              </w:rPr>
              <w:t>；α为平均吸声系数，取平均吸声系数0.</w:t>
            </w:r>
            <w:r>
              <w:rPr>
                <w:rFonts w:hint="eastAsia"/>
                <w:sz w:val="24"/>
                <w:szCs w:val="24"/>
              </w:rPr>
              <w:t>4</w:t>
            </w:r>
            <w:r>
              <w:rPr>
                <w:sz w:val="24"/>
                <w:szCs w:val="24"/>
              </w:rPr>
              <w:t>；</w:t>
            </w:r>
            <w:r>
              <w:rPr>
                <w:rFonts w:hint="eastAsia"/>
                <w:sz w:val="24"/>
                <w:szCs w:val="24"/>
                <w:lang w:val="en-US" w:eastAsia="zh-CN"/>
              </w:rPr>
              <w:t>生产</w:t>
            </w:r>
            <w:r>
              <w:rPr>
                <w:sz w:val="24"/>
                <w:szCs w:val="24"/>
              </w:rPr>
              <w:t>车间内表面面积</w:t>
            </w:r>
            <w:r>
              <w:rPr>
                <w:rFonts w:hint="eastAsia"/>
                <w:sz w:val="24"/>
                <w:szCs w:val="24"/>
                <w:lang w:val="en-US" w:eastAsia="zh-CN"/>
              </w:rPr>
              <w:t>1036</w:t>
            </w:r>
            <w:r>
              <w:rPr>
                <w:sz w:val="24"/>
                <w:szCs w:val="24"/>
              </w:rPr>
              <w:t>m</w:t>
            </w:r>
            <w:r>
              <w:rPr>
                <w:sz w:val="24"/>
                <w:szCs w:val="24"/>
                <w:vertAlign w:val="superscript"/>
              </w:rPr>
              <w:t>2</w:t>
            </w:r>
            <w:r>
              <w:rPr>
                <w:rFonts w:hint="eastAsia"/>
                <w:sz w:val="24"/>
                <w:szCs w:val="24"/>
                <w:vertAlign w:val="baseline"/>
                <w:lang w:eastAsia="zh-CN"/>
              </w:rPr>
              <w:t>。</w:t>
            </w:r>
          </w:p>
          <w:p>
            <w:pPr>
              <w:keepNext w:val="0"/>
              <w:keepLines w:val="0"/>
              <w:pageBreakBefore w:val="0"/>
              <w:widowControl w:val="0"/>
              <w:kinsoku/>
              <w:wordWrap/>
              <w:overflowPunct/>
              <w:topLinePunct w:val="0"/>
              <w:autoSpaceDE/>
              <w:autoSpaceDN/>
              <w:bidi w:val="0"/>
              <w:spacing w:line="360" w:lineRule="auto"/>
              <w:ind w:left="0" w:firstLine="480" w:firstLineChars="200"/>
              <w:jc w:val="left"/>
              <w:rPr>
                <w:sz w:val="24"/>
              </w:rPr>
            </w:pPr>
            <w:r>
              <w:rPr>
                <w:sz w:val="24"/>
                <w:szCs w:val="24"/>
              </w:rPr>
              <w:t>r——声源到靠近围护结构某点处的距离，m</w:t>
            </w:r>
          </w:p>
          <w:p>
            <w:pPr>
              <w:keepNext w:val="0"/>
              <w:keepLines w:val="0"/>
              <w:pageBreakBefore w:val="0"/>
              <w:widowControl w:val="0"/>
              <w:kinsoku/>
              <w:wordWrap/>
              <w:overflowPunct/>
              <w:topLinePunct w:val="0"/>
              <w:autoSpaceDE/>
              <w:autoSpaceDN/>
              <w:bidi w:val="0"/>
              <w:spacing w:line="360" w:lineRule="auto"/>
              <w:ind w:left="0" w:firstLine="480" w:firstLineChars="200"/>
              <w:jc w:val="left"/>
              <w:rPr>
                <w:sz w:val="24"/>
                <w:szCs w:val="24"/>
              </w:rPr>
            </w:pPr>
            <w:r>
              <w:rPr>
                <w:sz w:val="24"/>
                <w:szCs w:val="24"/>
              </w:rPr>
              <w:t>然后按下式计算出所有室内声源在围护结构处产生的i倍频带叠加声压级：</w:t>
            </w:r>
          </w:p>
          <w:p>
            <w:pPr>
              <w:keepNext w:val="0"/>
              <w:keepLines w:val="0"/>
              <w:pageBreakBefore w:val="0"/>
              <w:widowControl w:val="0"/>
              <w:kinsoku/>
              <w:wordWrap/>
              <w:overflowPunct/>
              <w:topLinePunct w:val="0"/>
              <w:autoSpaceDE/>
              <w:autoSpaceDN/>
              <w:bidi w:val="0"/>
              <w:spacing w:line="360" w:lineRule="auto"/>
              <w:ind w:left="0" w:firstLine="480" w:firstLineChars="200"/>
              <w:jc w:val="center"/>
              <w:rPr>
                <w:rFonts w:hint="eastAsia" w:eastAsia="宋体"/>
                <w:sz w:val="24"/>
                <w:lang w:eastAsia="zh-CN"/>
              </w:rPr>
            </w:pPr>
            <w:r>
              <w:rPr>
                <w:rFonts w:hint="eastAsia" w:eastAsia="宋体"/>
                <w:sz w:val="24"/>
                <w:lang w:eastAsia="zh-CN"/>
              </w:rPr>
              <w:drawing>
                <wp:inline distT="0" distB="0" distL="114300" distR="114300">
                  <wp:extent cx="2185035" cy="605155"/>
                  <wp:effectExtent l="0" t="0" r="5715" b="4445"/>
                  <wp:docPr id="54" name="图片 2" descr="168326844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1683268443771"/>
                          <pic:cNvPicPr>
                            <a:picLocks noChangeAspect="1"/>
                          </pic:cNvPicPr>
                        </pic:nvPicPr>
                        <pic:blipFill>
                          <a:blip r:embed="rId22"/>
                          <a:stretch>
                            <a:fillRect/>
                          </a:stretch>
                        </pic:blipFill>
                        <pic:spPr>
                          <a:xfrm>
                            <a:off x="0" y="0"/>
                            <a:ext cx="2185035" cy="6051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pacing w:line="360" w:lineRule="auto"/>
              <w:jc w:val="left"/>
              <w:rPr>
                <w:sz w:val="24"/>
                <w:szCs w:val="24"/>
              </w:rPr>
            </w:pPr>
            <w:r>
              <w:rPr>
                <w:sz w:val="24"/>
                <w:szCs w:val="24"/>
              </w:rPr>
              <w:t>式中：</w:t>
            </w:r>
          </w:p>
          <w:p>
            <w:pPr>
              <w:keepNext w:val="0"/>
              <w:keepLines w:val="0"/>
              <w:pageBreakBefore w:val="0"/>
              <w:widowControl w:val="0"/>
              <w:kinsoku/>
              <w:wordWrap/>
              <w:overflowPunct/>
              <w:topLinePunct w:val="0"/>
              <w:autoSpaceDE/>
              <w:autoSpaceDN/>
              <w:bidi w:val="0"/>
              <w:spacing w:line="360" w:lineRule="auto"/>
              <w:ind w:firstLine="480" w:firstLineChars="200"/>
              <w:jc w:val="left"/>
              <w:rPr>
                <w:sz w:val="24"/>
                <w:szCs w:val="24"/>
              </w:rPr>
            </w:pPr>
            <w:r>
              <w:rPr>
                <w:sz w:val="24"/>
                <w:szCs w:val="24"/>
              </w:rPr>
              <w:t>Lp1i（T）——靠近围护结构处室内N个声源i倍频带的叠加声压级，dB；</w:t>
            </w:r>
          </w:p>
          <w:p>
            <w:pPr>
              <w:keepNext w:val="0"/>
              <w:keepLines w:val="0"/>
              <w:pageBreakBefore w:val="0"/>
              <w:widowControl w:val="0"/>
              <w:kinsoku/>
              <w:wordWrap/>
              <w:overflowPunct/>
              <w:topLinePunct w:val="0"/>
              <w:autoSpaceDE/>
              <w:autoSpaceDN/>
              <w:bidi w:val="0"/>
              <w:spacing w:line="360" w:lineRule="auto"/>
              <w:ind w:firstLine="480" w:firstLineChars="200"/>
              <w:jc w:val="left"/>
              <w:rPr>
                <w:sz w:val="24"/>
              </w:rPr>
            </w:pPr>
            <w:r>
              <w:rPr>
                <w:sz w:val="24"/>
                <w:szCs w:val="24"/>
              </w:rPr>
              <w:t>Lp1ij——室内j声源i倍频带的声压级，dB；</w:t>
            </w:r>
          </w:p>
          <w:p>
            <w:pPr>
              <w:keepNext w:val="0"/>
              <w:keepLines w:val="0"/>
              <w:pageBreakBefore w:val="0"/>
              <w:widowControl w:val="0"/>
              <w:kinsoku/>
              <w:wordWrap/>
              <w:overflowPunct/>
              <w:topLinePunct w:val="0"/>
              <w:autoSpaceDE/>
              <w:autoSpaceDN/>
              <w:bidi w:val="0"/>
              <w:spacing w:line="360" w:lineRule="auto"/>
              <w:ind w:firstLine="480" w:firstLineChars="200"/>
              <w:jc w:val="left"/>
              <w:rPr>
                <w:sz w:val="24"/>
              </w:rPr>
            </w:pPr>
            <w:r>
              <w:rPr>
                <w:sz w:val="24"/>
                <w:szCs w:val="24"/>
              </w:rPr>
              <w:t>N——室内声源总数。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在室内近似为扩散声场时，按下式计算出靠近室外围护结构处的声压级：</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sz w:val="24"/>
              </w:rPr>
            </w:pPr>
            <w:r>
              <w:rPr>
                <w:sz w:val="24"/>
                <w:szCs w:val="24"/>
              </w:rPr>
              <w:t>Lp2i（T）=Lp1i（T）-（Ali+6）</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baseline"/>
              <w:rPr>
                <w:sz w:val="24"/>
                <w:szCs w:val="24"/>
              </w:rPr>
            </w:pPr>
            <w:r>
              <w:rPr>
                <w:sz w:val="24"/>
                <w:szCs w:val="24"/>
              </w:rPr>
              <w:t>式中：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Lp2i（T）——靠近围护结构处室外N个声源i倍频带的叠加声压级，dB；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Lp1i（T）——靠近围护结构处室内N个声源i倍频带的叠加声压级，dB；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szCs w:val="24"/>
              </w:rPr>
            </w:pPr>
            <w:r>
              <w:rPr>
                <w:sz w:val="24"/>
                <w:szCs w:val="24"/>
              </w:rPr>
              <w:t>Ali——围护结构i倍频带的隔声量，dB；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然后按下式将室外声源的声压级和透过面积换算成等效的室外声源，计算出中心位置位于透声面积（S）处的等效声源的倍频带声功率级：</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sz w:val="24"/>
              </w:rPr>
            </w:pPr>
            <w:r>
              <w:rPr>
                <w:rFonts w:hint="eastAsia"/>
                <w:sz w:val="24"/>
                <w:szCs w:val="24"/>
              </w:rPr>
              <w:t>Lw2</w:t>
            </w:r>
            <w:r>
              <w:rPr>
                <w:sz w:val="24"/>
                <w:szCs w:val="24"/>
              </w:rPr>
              <w:t>=Lp2（T）+10lgS</w:t>
            </w:r>
          </w:p>
          <w:p>
            <w:pPr>
              <w:adjustRightInd w:val="0"/>
              <w:snapToGrid w:val="0"/>
              <w:spacing w:line="420" w:lineRule="exact"/>
              <w:jc w:val="left"/>
              <w:textAlignment w:val="baseline"/>
              <w:rPr>
                <w:sz w:val="24"/>
                <w:szCs w:val="24"/>
              </w:rPr>
            </w:pPr>
            <w:r>
              <w:rPr>
                <w:sz w:val="24"/>
                <w:szCs w:val="24"/>
              </w:rPr>
              <w:t>式中：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szCs w:val="24"/>
              </w:rPr>
            </w:pPr>
            <w:r>
              <w:rPr>
                <w:sz w:val="24"/>
                <w:szCs w:val="24"/>
              </w:rPr>
              <w:t>Lw2——中心位置位于透声面积（S）处的等效声源的倍频带声功率级，dB；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szCs w:val="24"/>
              </w:rPr>
            </w:pPr>
            <w:r>
              <w:rPr>
                <w:sz w:val="24"/>
                <w:szCs w:val="24"/>
              </w:rPr>
              <w:t>Lp2（T）——靠近围护结构处室外声源的声压级，dB；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S——透声面积，m</w:t>
            </w:r>
            <w:r>
              <w:rPr>
                <w:sz w:val="24"/>
                <w:szCs w:val="24"/>
                <w:vertAlign w:val="superscript"/>
              </w:rPr>
              <w:t>2</w:t>
            </w:r>
            <w:r>
              <w:rPr>
                <w:sz w:val="24"/>
                <w:szCs w:val="24"/>
              </w:rPr>
              <w:t>。</w:t>
            </w:r>
            <w:r>
              <w:rPr>
                <w:rFonts w:hint="eastAsia"/>
                <w:sz w:val="24"/>
                <w:szCs w:val="24"/>
              </w:rPr>
              <w:t>（</w:t>
            </w:r>
            <w:r>
              <w:rPr>
                <w:sz w:val="24"/>
                <w:szCs w:val="24"/>
              </w:rPr>
              <w:t>车间</w:t>
            </w:r>
            <w:r>
              <w:rPr>
                <w:rFonts w:hint="eastAsia"/>
                <w:sz w:val="24"/>
                <w:szCs w:val="24"/>
              </w:rPr>
              <w:t>S=</w:t>
            </w:r>
            <w:r>
              <w:rPr>
                <w:rFonts w:hint="eastAsia"/>
                <w:sz w:val="24"/>
                <w:szCs w:val="24"/>
                <w:lang w:val="en-US" w:eastAsia="zh-CN"/>
              </w:rPr>
              <w:t>30</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如果声源处于半自由声场，则预测点处声压级计算公式如下：</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baseline"/>
              <w:rPr>
                <w:sz w:val="24"/>
              </w:rPr>
            </w:pPr>
            <w:r>
              <w:rPr>
                <w:sz w:val="24"/>
                <w:szCs w:val="24"/>
              </w:rPr>
              <w:t>Lp（r）=Lw-20lgr-8</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baseline"/>
              <w:rPr>
                <w:sz w:val="24"/>
                <w:szCs w:val="24"/>
              </w:rPr>
            </w:pPr>
            <w:r>
              <w:rPr>
                <w:sz w:val="24"/>
                <w:szCs w:val="24"/>
              </w:rPr>
              <w:t>式中：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szCs w:val="24"/>
              </w:rPr>
            </w:pPr>
            <w:r>
              <w:rPr>
                <w:sz w:val="24"/>
                <w:szCs w:val="24"/>
              </w:rPr>
              <w:t>Lp（r）——预测点处声压级，dB；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szCs w:val="24"/>
              </w:rPr>
            </w:pPr>
            <w:r>
              <w:rPr>
                <w:sz w:val="24"/>
                <w:szCs w:val="24"/>
              </w:rPr>
              <w:t>Lw——由点声源产生的倍频带声功率级，dB；</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default" w:ascii="Times New Roman" w:hAnsi="Times New Roman" w:cs="Times New Roman"/>
                <w:sz w:val="24"/>
                <w:szCs w:val="24"/>
                <w:lang w:val="en-US" w:eastAsia="zh-CN"/>
              </w:rPr>
            </w:pPr>
            <w:r>
              <w:rPr>
                <w:rFonts w:hint="default" w:ascii="Times New Roman" w:hAnsi="Times New Roman" w:cs="Times New Roman"/>
                <w:sz w:val="24"/>
                <w:szCs w:val="24"/>
              </w:rPr>
              <w:t>r——预测点距声源的距离，m。</w:t>
            </w:r>
          </w:p>
          <w:p>
            <w:pPr>
              <w:pStyle w:val="21"/>
              <w:keepNext w:val="0"/>
              <w:keepLines w:val="0"/>
              <w:pageBreakBefore w:val="0"/>
              <w:widowControl w:val="0"/>
              <w:kinsoku/>
              <w:wordWrap/>
              <w:overflowPunct/>
              <w:topLinePunct w:val="0"/>
              <w:autoSpaceDE/>
              <w:autoSpaceDN/>
              <w:bidi w:val="0"/>
              <w:adjustRightInd/>
              <w:snapToGrid/>
              <w:spacing w:before="157" w:beforeLines="50" w:after="0"/>
              <w:ind w:left="0" w:leftChars="0" w:firstLine="0" w:firstLineChars="0"/>
              <w:jc w:val="center"/>
              <w:textAlignment w:val="auto"/>
              <w:rPr>
                <w:rFonts w:hint="eastAsia"/>
                <w:sz w:val="21"/>
                <w:szCs w:val="21"/>
                <w:lang w:val="en-US" w:eastAsia="zh-CN"/>
              </w:rPr>
            </w:pPr>
          </w:p>
          <w:p>
            <w:pPr>
              <w:pStyle w:val="21"/>
              <w:keepNext w:val="0"/>
              <w:keepLines w:val="0"/>
              <w:pageBreakBefore w:val="0"/>
              <w:widowControl w:val="0"/>
              <w:kinsoku/>
              <w:wordWrap/>
              <w:overflowPunct/>
              <w:topLinePunct w:val="0"/>
              <w:autoSpaceDE/>
              <w:autoSpaceDN/>
              <w:bidi w:val="0"/>
              <w:adjustRightInd/>
              <w:snapToGrid/>
              <w:spacing w:before="157" w:beforeLines="50" w:after="0"/>
              <w:ind w:left="0" w:leftChars="0" w:firstLine="0" w:firstLineChars="0"/>
              <w:jc w:val="center"/>
              <w:textAlignment w:val="auto"/>
              <w:rPr>
                <w:sz w:val="21"/>
                <w:szCs w:val="21"/>
              </w:rPr>
            </w:pPr>
            <w:r>
              <w:rPr>
                <w:rFonts w:hint="eastAsia"/>
                <w:sz w:val="21"/>
                <w:szCs w:val="21"/>
                <w:lang w:val="en-US" w:eastAsia="zh-CN"/>
              </w:rPr>
              <w:t xml:space="preserve">表28    </w:t>
            </w:r>
            <w:r>
              <w:rPr>
                <w:rFonts w:hint="eastAsia"/>
                <w:sz w:val="21"/>
                <w:szCs w:val="21"/>
              </w:rPr>
              <w:t>工业企业</w:t>
            </w:r>
            <w:r>
              <w:rPr>
                <w:sz w:val="21"/>
                <w:szCs w:val="21"/>
              </w:rPr>
              <w:t>噪声源强调查清单</w:t>
            </w:r>
          </w:p>
          <w:tbl>
            <w:tblPr>
              <w:tblStyle w:val="22"/>
              <w:tblW w:w="498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329"/>
              <w:gridCol w:w="496"/>
              <w:gridCol w:w="805"/>
              <w:gridCol w:w="405"/>
              <w:gridCol w:w="1029"/>
              <w:gridCol w:w="473"/>
              <w:gridCol w:w="343"/>
              <w:gridCol w:w="418"/>
              <w:gridCol w:w="500"/>
              <w:gridCol w:w="551"/>
              <w:gridCol w:w="531"/>
              <w:gridCol w:w="692"/>
              <w:gridCol w:w="519"/>
              <w:gridCol w:w="420"/>
              <w:gridCol w:w="4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24" w:hRule="atLeast"/>
                <w:jc w:val="center"/>
              </w:trPr>
              <w:tc>
                <w:tcPr>
                  <w:tcW w:w="208"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序号</w:t>
                  </w:r>
                </w:p>
              </w:tc>
              <w:tc>
                <w:tcPr>
                  <w:tcW w:w="313"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建筑物名称</w:t>
                  </w:r>
                </w:p>
              </w:tc>
              <w:tc>
                <w:tcPr>
                  <w:tcW w:w="508"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声源名称</w:t>
                  </w:r>
                </w:p>
              </w:tc>
              <w:tc>
                <w:tcPr>
                  <w:tcW w:w="255" w:type="pct"/>
                  <w:vMerge w:val="restart"/>
                  <w:tcBorders>
                    <w:tl2br w:val="nil"/>
                    <w:tr2bl w:val="nil"/>
                  </w:tcBorders>
                  <w:noWrap w:val="0"/>
                  <w:vAlign w:val="center"/>
                </w:tcPr>
                <w:p>
                  <w:pPr>
                    <w:pStyle w:val="51"/>
                    <w:adjustRightInd w:val="0"/>
                    <w:snapToGrid w:val="0"/>
                    <w:rPr>
                      <w:rFonts w:hint="eastAsia"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声功率级/dB</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rPr>
                    <w:t>A</w:t>
                  </w:r>
                  <w:r>
                    <w:rPr>
                      <w:rFonts w:hint="eastAsia" w:ascii="Times New Roman" w:hAnsi="Times New Roman" w:eastAsia="宋体" w:cs="Times New Roman"/>
                      <w:b w:val="0"/>
                      <w:bCs/>
                      <w:color w:val="auto"/>
                      <w:sz w:val="21"/>
                      <w:szCs w:val="21"/>
                      <w:lang w:val="en-US" w:eastAsia="zh-CN"/>
                    </w:rPr>
                    <w:t>)</w:t>
                  </w:r>
                </w:p>
              </w:tc>
              <w:tc>
                <w:tcPr>
                  <w:tcW w:w="649"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声源控制措施</w:t>
                  </w:r>
                </w:p>
              </w:tc>
              <w:tc>
                <w:tcPr>
                  <w:tcW w:w="779" w:type="pct"/>
                  <w:gridSpan w:val="3"/>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空间相对位置/m</w:t>
                  </w:r>
                </w:p>
              </w:tc>
              <w:tc>
                <w:tcPr>
                  <w:tcW w:w="315"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距室内边界距离/m</w:t>
                  </w:r>
                </w:p>
              </w:tc>
              <w:tc>
                <w:tcPr>
                  <w:tcW w:w="348"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室内边界声级/dB(A)</w:t>
                  </w:r>
                </w:p>
              </w:tc>
              <w:tc>
                <w:tcPr>
                  <w:tcW w:w="335"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室内边界叠加声级/dB（A）</w:t>
                  </w:r>
                </w:p>
              </w:tc>
              <w:tc>
                <w:tcPr>
                  <w:tcW w:w="436"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运行时段</w:t>
                  </w:r>
                </w:p>
              </w:tc>
              <w:tc>
                <w:tcPr>
                  <w:tcW w:w="327" w:type="pct"/>
                  <w:vMerge w:val="restar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建筑物插入损失/dB(A)</w:t>
                  </w:r>
                </w:p>
              </w:tc>
              <w:tc>
                <w:tcPr>
                  <w:tcW w:w="522" w:type="pct"/>
                  <w:gridSpan w:val="2"/>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建筑物外噪声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714" w:hRule="atLeast"/>
                <w:jc w:val="center"/>
              </w:trPr>
              <w:tc>
                <w:tcPr>
                  <w:tcW w:w="208"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313"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508"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255"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649"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299" w:type="pc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X</w:t>
                  </w:r>
                </w:p>
              </w:tc>
              <w:tc>
                <w:tcPr>
                  <w:tcW w:w="216" w:type="pc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Y</w:t>
                  </w:r>
                </w:p>
              </w:tc>
              <w:tc>
                <w:tcPr>
                  <w:tcW w:w="264" w:type="pc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Z</w:t>
                  </w:r>
                </w:p>
              </w:tc>
              <w:tc>
                <w:tcPr>
                  <w:tcW w:w="315"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348"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335"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436"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327" w:type="pct"/>
                  <w:vMerge w:val="continue"/>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p>
              </w:tc>
              <w:tc>
                <w:tcPr>
                  <w:tcW w:w="265" w:type="pc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声</w:t>
                  </w:r>
                  <w:r>
                    <w:rPr>
                      <w:rFonts w:hint="eastAsia" w:ascii="Times New Roman" w:hAnsi="Times New Roman" w:eastAsia="宋体" w:cs="Times New Roman"/>
                      <w:b w:val="0"/>
                      <w:bCs/>
                      <w:color w:val="auto"/>
                      <w:sz w:val="21"/>
                      <w:szCs w:val="21"/>
                      <w:lang w:val="en-US" w:eastAsia="zh-CN"/>
                    </w:rPr>
                    <w:t>功率级</w:t>
                  </w:r>
                  <w:r>
                    <w:rPr>
                      <w:rFonts w:hint="default" w:ascii="Times New Roman" w:hAnsi="Times New Roman" w:eastAsia="宋体" w:cs="Times New Roman"/>
                      <w:b w:val="0"/>
                      <w:bCs/>
                      <w:color w:val="auto"/>
                      <w:sz w:val="21"/>
                      <w:szCs w:val="21"/>
                    </w:rPr>
                    <w:t>/dB(A)</w:t>
                  </w:r>
                </w:p>
              </w:tc>
              <w:tc>
                <w:tcPr>
                  <w:tcW w:w="257" w:type="pct"/>
                  <w:tcBorders>
                    <w:tl2br w:val="nil"/>
                    <w:tr2bl w:val="nil"/>
                  </w:tcBorders>
                  <w:noWrap w:val="0"/>
                  <w:vAlign w:val="center"/>
                </w:tcPr>
                <w:p>
                  <w:pPr>
                    <w:pStyle w:val="51"/>
                    <w:adjustRightInd w:val="0"/>
                    <w:snapToGrid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建筑物外距离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bookmarkStart w:id="8" w:name="OLE_LINK8" w:colFirst="9" w:colLast="9"/>
                  <w:r>
                    <w:rPr>
                      <w:rFonts w:hint="default" w:ascii="Times New Roman" w:hAnsi="Times New Roman" w:eastAsia="宋体" w:cs="Times New Roman"/>
                      <w:sz w:val="21"/>
                      <w:szCs w:val="21"/>
                    </w:rPr>
                    <w:t>1</w:t>
                  </w:r>
                </w:p>
              </w:tc>
              <w:tc>
                <w:tcPr>
                  <w:tcW w:w="313" w:type="pct"/>
                  <w:vMerge w:val="restart"/>
                  <w:tcBorders>
                    <w:tl2br w:val="nil"/>
                    <w:tr2bl w:val="nil"/>
                  </w:tcBorders>
                  <w:noWrap w:val="0"/>
                  <w:vAlign w:val="center"/>
                </w:tcPr>
                <w:p>
                  <w:pPr>
                    <w:pStyle w:val="52"/>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生产车间</w:t>
                  </w: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bCs/>
                      <w:color w:val="000000"/>
                      <w:sz w:val="21"/>
                      <w:szCs w:val="21"/>
                      <w:highlight w:val="none"/>
                      <w:lang w:val="en-US" w:eastAsia="zh-CN"/>
                    </w:rPr>
                    <w:t>中空吹塑机1</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bookmarkStart w:id="9" w:name="OLE_LINK7"/>
                  <w:r>
                    <w:rPr>
                      <w:rFonts w:hint="default" w:ascii="Times New Roman" w:hAnsi="Times New Roman" w:eastAsia="宋体" w:cs="Times New Roman"/>
                      <w:sz w:val="21"/>
                      <w:szCs w:val="21"/>
                    </w:rPr>
                    <w:t>基础减振、厂房隔声</w:t>
                  </w:r>
                  <w:bookmarkEnd w:id="9"/>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79</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28</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52.9</w:t>
                  </w:r>
                </w:p>
              </w:tc>
              <w:tc>
                <w:tcPr>
                  <w:tcW w:w="335" w:type="pct"/>
                  <w:vMerge w:val="restart"/>
                  <w:tcBorders>
                    <w:tl2br w:val="nil"/>
                    <w:tr2bl w:val="nil"/>
                  </w:tcBorders>
                  <w:noWrap w:val="0"/>
                  <w:vAlign w:val="center"/>
                </w:tcPr>
                <w:p>
                  <w:pPr>
                    <w:pStyle w:val="52"/>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73.2</w:t>
                  </w: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65" w:type="pct"/>
                  <w:vMerge w:val="restar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72.0</w:t>
                  </w:r>
                </w:p>
              </w:tc>
              <w:tc>
                <w:tcPr>
                  <w:tcW w:w="257" w:type="pct"/>
                  <w:vMerge w:val="restart"/>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color w:val="000000"/>
                      <w:sz w:val="21"/>
                      <w:szCs w:val="21"/>
                      <w:highlight w:val="none"/>
                      <w:lang w:val="en-US" w:eastAsia="zh-CN"/>
                    </w:rPr>
                    <w:t>中空吹塑机2</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75</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52.9</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pStyle w:val="52"/>
                    <w:adjustRightInd w:val="0"/>
                    <w:snapToGrid w:val="0"/>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color w:val="000000"/>
                      <w:sz w:val="21"/>
                      <w:szCs w:val="21"/>
                      <w:highlight w:val="none"/>
                      <w:lang w:val="en-US" w:eastAsia="zh-CN"/>
                    </w:rPr>
                    <w:t>中空吹塑机3</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78</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3</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53.1</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313" w:type="pct"/>
                  <w:vMerge w:val="continue"/>
                  <w:tcBorders>
                    <w:tl2br w:val="nil"/>
                    <w:tr2bl w:val="nil"/>
                  </w:tcBorders>
                  <w:noWrap w:val="0"/>
                  <w:vAlign w:val="center"/>
                </w:tcPr>
                <w:p>
                  <w:pPr>
                    <w:pStyle w:val="52"/>
                    <w:adjustRightInd w:val="0"/>
                    <w:snapToGrid w:val="0"/>
                    <w:jc w:val="both"/>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bCs/>
                      <w:color w:val="000000"/>
                      <w:sz w:val="21"/>
                      <w:szCs w:val="21"/>
                      <w:highlight w:val="none"/>
                      <w:lang w:val="en-US" w:eastAsia="zh-CN"/>
                    </w:rPr>
                    <w:t>中空吹塑机4</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74</w:t>
                  </w:r>
                </w:p>
              </w:tc>
              <w:tc>
                <w:tcPr>
                  <w:tcW w:w="264" w:type="pct"/>
                  <w:tcBorders>
                    <w:tl2br w:val="nil"/>
                    <w:tr2bl w:val="nil"/>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r>
                    <w:rPr>
                      <w:rFonts w:hint="eastAsia" w:cs="Times New Roman"/>
                      <w:color w:val="auto"/>
                      <w:sz w:val="21"/>
                      <w:szCs w:val="21"/>
                      <w:lang w:val="en-US" w:eastAsia="zh-CN"/>
                    </w:rPr>
                    <w:t>2</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53.1</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rPr>
                  </w:pPr>
                  <w:bookmarkStart w:id="10" w:name="OLE_LINK5" w:colFirst="7" w:colLast="8"/>
                  <w:r>
                    <w:rPr>
                      <w:rFonts w:hint="default" w:ascii="Times New Roman" w:hAnsi="Times New Roman" w:eastAsia="宋体" w:cs="Times New Roman"/>
                      <w:i w:val="0"/>
                      <w:iCs w:val="0"/>
                      <w:color w:val="000000"/>
                      <w:kern w:val="0"/>
                      <w:sz w:val="21"/>
                      <w:szCs w:val="21"/>
                      <w:u w:val="none"/>
                      <w:lang w:val="en-US" w:eastAsia="zh-CN" w:bidi="ar"/>
                    </w:rPr>
                    <w:t>5</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rPr>
                  </w:pPr>
                  <w:r>
                    <w:rPr>
                      <w:rFonts w:hint="eastAsia" w:cs="Times New Roman"/>
                      <w:bCs/>
                      <w:color w:val="000000"/>
                      <w:sz w:val="21"/>
                      <w:szCs w:val="21"/>
                      <w:highlight w:val="none"/>
                      <w:lang w:val="en-US" w:eastAsia="zh-CN"/>
                    </w:rPr>
                    <w:t>挤出</w:t>
                  </w:r>
                  <w:r>
                    <w:rPr>
                      <w:rFonts w:hint="eastAsia" w:ascii="Times New Roman" w:hAnsi="Times New Roman" w:eastAsia="宋体" w:cs="Times New Roman"/>
                      <w:bCs/>
                      <w:color w:val="000000"/>
                      <w:sz w:val="21"/>
                      <w:szCs w:val="21"/>
                      <w:highlight w:val="none"/>
                      <w:lang w:val="en-US" w:eastAsia="zh-CN"/>
                    </w:rPr>
                    <w:t>机</w:t>
                  </w:r>
                  <w:r>
                    <w:rPr>
                      <w:rFonts w:hint="eastAsia" w:cs="Times New Roman"/>
                      <w:bCs/>
                      <w:color w:val="000000"/>
                      <w:sz w:val="21"/>
                      <w:szCs w:val="21"/>
                      <w:highlight w:val="none"/>
                      <w:lang w:val="en-US" w:eastAsia="zh-CN"/>
                    </w:rPr>
                    <w:t>1</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eastAsia"/>
                      <w:sz w:val="21"/>
                      <w:szCs w:val="21"/>
                      <w:lang w:val="en-US" w:eastAsia="zh-CN"/>
                    </w:rPr>
                    <w:t>85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48</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p>
              </w:tc>
              <w:tc>
                <w:tcPr>
                  <w:tcW w:w="264" w:type="pct"/>
                  <w:tcBorders>
                    <w:tl2br w:val="nil"/>
                    <w:tr2bl w:val="nil"/>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19</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63.2</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Cs/>
                      <w:color w:val="000000"/>
                      <w:sz w:val="21"/>
                      <w:szCs w:val="21"/>
                      <w:highlight w:val="none"/>
                      <w:lang w:val="en-US" w:eastAsia="zh-CN"/>
                    </w:rPr>
                    <w:t>挤出</w:t>
                  </w:r>
                  <w:r>
                    <w:rPr>
                      <w:rFonts w:hint="eastAsia" w:ascii="Times New Roman" w:hAnsi="Times New Roman" w:eastAsia="宋体" w:cs="Times New Roman"/>
                      <w:bCs/>
                      <w:color w:val="000000"/>
                      <w:sz w:val="21"/>
                      <w:szCs w:val="21"/>
                      <w:highlight w:val="none"/>
                      <w:lang w:val="en-US" w:eastAsia="zh-CN"/>
                    </w:rPr>
                    <w:t>机</w:t>
                  </w:r>
                  <w:r>
                    <w:rPr>
                      <w:rFonts w:hint="eastAsia" w:cs="Times New Roman"/>
                      <w:bCs/>
                      <w:color w:val="000000"/>
                      <w:sz w:val="21"/>
                      <w:szCs w:val="21"/>
                      <w:highlight w:val="none"/>
                      <w:lang w:val="en-US" w:eastAsia="zh-CN"/>
                    </w:rPr>
                    <w:t>2</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eastAsia"/>
                      <w:sz w:val="21"/>
                      <w:szCs w:val="21"/>
                      <w:lang w:val="en-US" w:eastAsia="zh-CN"/>
                    </w:rPr>
                    <w:t>85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49</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76</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17</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63.4</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Cs/>
                      <w:color w:val="000000"/>
                      <w:sz w:val="21"/>
                      <w:szCs w:val="21"/>
                      <w:highlight w:val="none"/>
                      <w:lang w:val="en-US" w:eastAsia="zh-CN"/>
                    </w:rPr>
                    <w:t>挤出</w:t>
                  </w:r>
                  <w:r>
                    <w:rPr>
                      <w:rFonts w:hint="eastAsia" w:ascii="Times New Roman" w:hAnsi="Times New Roman" w:eastAsia="宋体" w:cs="Times New Roman"/>
                      <w:bCs/>
                      <w:color w:val="000000"/>
                      <w:sz w:val="21"/>
                      <w:szCs w:val="21"/>
                      <w:highlight w:val="none"/>
                      <w:lang w:val="en-US" w:eastAsia="zh-CN"/>
                    </w:rPr>
                    <w:t>机</w:t>
                  </w:r>
                  <w:r>
                    <w:rPr>
                      <w:rFonts w:hint="eastAsia" w:cs="Times New Roman"/>
                      <w:bCs/>
                      <w:color w:val="000000"/>
                      <w:sz w:val="21"/>
                      <w:szCs w:val="21"/>
                      <w:highlight w:val="none"/>
                      <w:lang w:val="en-US" w:eastAsia="zh-CN"/>
                    </w:rPr>
                    <w:t>3</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eastAsia"/>
                      <w:sz w:val="21"/>
                      <w:szCs w:val="21"/>
                      <w:lang w:val="en-US" w:eastAsia="zh-CN"/>
                    </w:rPr>
                    <w:t>85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41</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79</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63.6</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Cs/>
                      <w:sz w:val="21"/>
                      <w:szCs w:val="21"/>
                      <w:highlight w:val="none"/>
                      <w:lang w:val="en-US" w:eastAsia="zh-CN"/>
                    </w:rPr>
                    <w:t>挤出机4</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eastAsia"/>
                      <w:sz w:val="21"/>
                      <w:szCs w:val="21"/>
                      <w:lang w:val="en-US" w:eastAsia="zh-CN"/>
                    </w:rPr>
                    <w:t>85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37</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80</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64.3</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Cs/>
                      <w:sz w:val="21"/>
                      <w:szCs w:val="21"/>
                      <w:highlight w:val="none"/>
                      <w:lang w:val="en-US" w:eastAsia="zh-CN"/>
                    </w:rPr>
                    <w:t>注塑机1</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37</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76</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11</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54.3</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Cs/>
                      <w:sz w:val="21"/>
                      <w:szCs w:val="21"/>
                      <w:highlight w:val="none"/>
                      <w:lang w:val="en-US" w:eastAsia="zh-CN"/>
                    </w:rPr>
                    <w:t>注塑机2</w:t>
                  </w:r>
                </w:p>
              </w:tc>
              <w:tc>
                <w:tcPr>
                  <w:tcW w:w="255" w:type="pc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lang w:eastAsia="zh-CN"/>
                    </w:rPr>
                  </w:pPr>
                  <w:r>
                    <w:rPr>
                      <w:rFonts w:hint="eastAsia"/>
                      <w:sz w:val="21"/>
                      <w:szCs w:val="21"/>
                      <w:lang w:val="en-US" w:eastAsia="zh-CN"/>
                    </w:rPr>
                    <w:t>75</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34</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78</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55.3</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bookmarkEnd w:id="10"/>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bCs/>
                      <w:sz w:val="21"/>
                      <w:szCs w:val="21"/>
                      <w:highlight w:val="none"/>
                      <w:lang w:val="en-US" w:eastAsia="zh-CN"/>
                    </w:rPr>
                    <w:t>螺杆空压机1</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70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45</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8</w:t>
                  </w:r>
                </w:p>
              </w:tc>
              <w:tc>
                <w:tcPr>
                  <w:tcW w:w="264" w:type="pct"/>
                  <w:tcBorders>
                    <w:tl2br w:val="nil"/>
                    <w:tr2bl w:val="nil"/>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3</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48.5</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bookmarkStart w:id="11" w:name="OLE_LINK3" w:colFirst="12" w:colLast="12"/>
                  <w:bookmarkStart w:id="12" w:name="OLE_LINK4" w:colFirst="17" w:colLast="17"/>
                  <w:r>
                    <w:rPr>
                      <w:rFonts w:hint="default" w:ascii="Times New Roman" w:hAnsi="Times New Roman" w:eastAsia="宋体" w:cs="Times New Roman"/>
                      <w:i w:val="0"/>
                      <w:iCs w:val="0"/>
                      <w:color w:val="000000"/>
                      <w:kern w:val="0"/>
                      <w:sz w:val="21"/>
                      <w:szCs w:val="21"/>
                      <w:u w:val="none"/>
                      <w:lang w:val="en-US" w:eastAsia="zh-CN" w:bidi="ar"/>
                    </w:rPr>
                    <w:t>12</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sz w:val="21"/>
                      <w:szCs w:val="21"/>
                      <w:highlight w:val="none"/>
                      <w:lang w:val="en-US" w:eastAsia="zh-CN"/>
                    </w:rPr>
                    <w:t>螺杆空压机2</w:t>
                  </w:r>
                </w:p>
              </w:tc>
              <w:tc>
                <w:tcPr>
                  <w:tcW w:w="255" w:type="pct"/>
                  <w:tcBorders>
                    <w:tl2br w:val="nil"/>
                    <w:tr2bl w:val="nil"/>
                  </w:tcBorders>
                  <w:noWrap w:val="0"/>
                  <w:vAlign w:val="center"/>
                </w:tcPr>
                <w:p>
                  <w:pPr>
                    <w:pStyle w:val="52"/>
                    <w:adjustRightInd w:val="0"/>
                    <w:snapToGrid w:val="0"/>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35</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75</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51.7</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sz w:val="21"/>
                      <w:szCs w:val="21"/>
                      <w:highlight w:val="none"/>
                      <w:lang w:val="en-US" w:eastAsia="zh-CN"/>
                    </w:rPr>
                    <w:t>塑料</w:t>
                  </w:r>
                  <w:r>
                    <w:rPr>
                      <w:rFonts w:hint="eastAsia" w:cs="Times New Roman"/>
                      <w:bCs/>
                      <w:sz w:val="21"/>
                      <w:szCs w:val="21"/>
                      <w:highlight w:val="none"/>
                      <w:lang w:val="en-US" w:eastAsia="zh-CN"/>
                    </w:rPr>
                    <w:t>破</w:t>
                  </w:r>
                  <w:r>
                    <w:rPr>
                      <w:rFonts w:hint="eastAsia" w:ascii="Times New Roman" w:hAnsi="Times New Roman" w:eastAsia="宋体" w:cs="Times New Roman"/>
                      <w:bCs/>
                      <w:sz w:val="21"/>
                      <w:szCs w:val="21"/>
                      <w:highlight w:val="none"/>
                      <w:lang w:val="en-US" w:eastAsia="zh-CN"/>
                    </w:rPr>
                    <w:t>碎机1</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31</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80</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59.9</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sz w:val="21"/>
                      <w:szCs w:val="21"/>
                      <w:highlight w:val="none"/>
                      <w:lang w:val="en-US" w:eastAsia="zh-CN"/>
                    </w:rPr>
                    <w:t>塑料</w:t>
                  </w:r>
                  <w:r>
                    <w:rPr>
                      <w:rFonts w:hint="eastAsia" w:cs="Times New Roman"/>
                      <w:bCs/>
                      <w:sz w:val="21"/>
                      <w:szCs w:val="21"/>
                      <w:highlight w:val="none"/>
                      <w:lang w:val="en-US" w:eastAsia="zh-CN"/>
                    </w:rPr>
                    <w:t>破</w:t>
                  </w:r>
                  <w:r>
                    <w:rPr>
                      <w:rFonts w:hint="eastAsia" w:ascii="Times New Roman" w:hAnsi="Times New Roman" w:eastAsia="宋体" w:cs="Times New Roman"/>
                      <w:bCs/>
                      <w:sz w:val="21"/>
                      <w:szCs w:val="21"/>
                      <w:highlight w:val="none"/>
                      <w:lang w:val="en-US" w:eastAsia="zh-CN"/>
                    </w:rPr>
                    <w:t>碎机2</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31</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78</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61.7</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55"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Cs/>
                      <w:sz w:val="21"/>
                      <w:szCs w:val="21"/>
                      <w:highlight w:val="none"/>
                      <w:lang w:val="en-US" w:eastAsia="zh-CN"/>
                    </w:rPr>
                    <w:t>塑料</w:t>
                  </w:r>
                  <w:r>
                    <w:rPr>
                      <w:rFonts w:hint="eastAsia" w:cs="Times New Roman"/>
                      <w:bCs/>
                      <w:sz w:val="21"/>
                      <w:szCs w:val="21"/>
                      <w:highlight w:val="none"/>
                      <w:lang w:val="en-US" w:eastAsia="zh-CN"/>
                    </w:rPr>
                    <w:t>破</w:t>
                  </w:r>
                  <w:r>
                    <w:rPr>
                      <w:rFonts w:hint="eastAsia" w:ascii="Times New Roman" w:hAnsi="Times New Roman" w:eastAsia="宋体" w:cs="Times New Roman"/>
                      <w:bCs/>
                      <w:sz w:val="21"/>
                      <w:szCs w:val="21"/>
                      <w:highlight w:val="none"/>
                      <w:lang w:val="en-US" w:eastAsia="zh-CN"/>
                    </w:rPr>
                    <w:t>碎机3</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31</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74</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66.1</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73"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313"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bCs/>
                      <w:sz w:val="21"/>
                      <w:szCs w:val="21"/>
                      <w:highlight w:val="none"/>
                      <w:lang w:val="en-US" w:eastAsia="zh-CN"/>
                    </w:rPr>
                    <w:t>塑料撕装机</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33</w:t>
                  </w:r>
                </w:p>
              </w:tc>
              <w:tc>
                <w:tcPr>
                  <w:tcW w:w="21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80</w:t>
                  </w:r>
                </w:p>
              </w:tc>
              <w:tc>
                <w:tcPr>
                  <w:tcW w:w="26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60.3</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73"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17</w:t>
                  </w:r>
                </w:p>
              </w:tc>
              <w:tc>
                <w:tcPr>
                  <w:tcW w:w="313"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自动循环冷却机1</w:t>
                  </w:r>
                </w:p>
              </w:tc>
              <w:tc>
                <w:tcPr>
                  <w:tcW w:w="255"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lang w:val="en-US" w:eastAsia="zh-CN"/>
                    </w:rPr>
                  </w:pPr>
                  <w:r>
                    <w:rPr>
                      <w:rFonts w:hint="eastAsia"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44</w:t>
                  </w:r>
                </w:p>
              </w:tc>
              <w:tc>
                <w:tcPr>
                  <w:tcW w:w="216"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80</w:t>
                  </w:r>
                </w:p>
              </w:tc>
              <w:tc>
                <w:tcPr>
                  <w:tcW w:w="264"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15</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58.6</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73"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18</w:t>
                  </w:r>
                </w:p>
              </w:tc>
              <w:tc>
                <w:tcPr>
                  <w:tcW w:w="313"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自动循环冷却机2</w:t>
                  </w:r>
                </w:p>
              </w:tc>
              <w:tc>
                <w:tcPr>
                  <w:tcW w:w="255" w:type="pct"/>
                  <w:tcBorders>
                    <w:tl2br w:val="nil"/>
                    <w:tr2bl w:val="nil"/>
                  </w:tcBorders>
                  <w:noWrap w:val="0"/>
                  <w:vAlign w:val="center"/>
                </w:tcPr>
                <w:p>
                  <w:pPr>
                    <w:pStyle w:val="52"/>
                    <w:adjustRightInd w:val="0"/>
                    <w:snapToGrid w:val="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44</w:t>
                  </w:r>
                </w:p>
              </w:tc>
              <w:tc>
                <w:tcPr>
                  <w:tcW w:w="216"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75</w:t>
                  </w:r>
                </w:p>
              </w:tc>
              <w:tc>
                <w:tcPr>
                  <w:tcW w:w="264"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11</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59.3</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73" w:hRule="atLeast"/>
                <w:jc w:val="center"/>
              </w:trPr>
              <w:tc>
                <w:tcPr>
                  <w:tcW w:w="208"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19</w:t>
                  </w:r>
                </w:p>
              </w:tc>
              <w:tc>
                <w:tcPr>
                  <w:tcW w:w="313" w:type="pct"/>
                  <w:tcBorders>
                    <w:tl2br w:val="nil"/>
                    <w:tr2bl w:val="nil"/>
                  </w:tcBorders>
                  <w:noWrap w:val="0"/>
                  <w:vAlign w:val="center"/>
                </w:tcPr>
                <w:p>
                  <w:pPr>
                    <w:pStyle w:val="52"/>
                    <w:adjustRightInd w:val="0"/>
                    <w:snapToGrid w:val="0"/>
                    <w:rPr>
                      <w:rFonts w:hint="default" w:ascii="Times New Roman" w:hAnsi="Times New Roman" w:eastAsia="宋体" w:cs="Times New Roman"/>
                      <w:sz w:val="21"/>
                      <w:szCs w:val="21"/>
                    </w:rPr>
                  </w:pPr>
                </w:p>
              </w:tc>
              <w:tc>
                <w:tcPr>
                  <w:tcW w:w="508" w:type="pct"/>
                  <w:tcBorders>
                    <w:tl2br w:val="nil"/>
                    <w:tr2bl w:val="nil"/>
                  </w:tcBorders>
                  <w:noWrap w:val="0"/>
                  <w:vAlign w:val="center"/>
                </w:tcPr>
                <w:p>
                  <w:pPr>
                    <w:keepNext w:val="0"/>
                    <w:keepLines w:val="0"/>
                    <w:pageBreakBefore w:val="0"/>
                    <w:widowControl w:val="0"/>
                    <w:wordWrap/>
                    <w:topLinePunct w:val="0"/>
                    <w:bidi w:val="0"/>
                    <w:adjustRightInd/>
                    <w:snapToGrid w:val="0"/>
                    <w:ind w:firstLine="0" w:firstLineChars="0"/>
                    <w:jc w:val="center"/>
                    <w:textAlignment w:val="auto"/>
                    <w:rPr>
                      <w:rFonts w:hint="default" w:ascii="Times New Roman" w:hAnsi="Times New Roman" w:eastAsia="宋体" w:cs="Times New Roman"/>
                      <w:bCs/>
                      <w:sz w:val="21"/>
                      <w:szCs w:val="21"/>
                      <w:highlight w:val="none"/>
                      <w:lang w:val="en-US" w:eastAsia="zh-CN"/>
                    </w:rPr>
                  </w:pPr>
                  <w:r>
                    <w:rPr>
                      <w:rFonts w:hint="eastAsia" w:cs="Times New Roman"/>
                      <w:bCs/>
                      <w:sz w:val="21"/>
                      <w:szCs w:val="21"/>
                      <w:highlight w:val="none"/>
                      <w:lang w:val="en-US" w:eastAsia="zh-CN"/>
                    </w:rPr>
                    <w:t>自动循环冷却机3</w:t>
                  </w:r>
                </w:p>
              </w:tc>
              <w:tc>
                <w:tcPr>
                  <w:tcW w:w="255" w:type="pct"/>
                  <w:tcBorders>
                    <w:tl2br w:val="nil"/>
                    <w:tr2bl w:val="nil"/>
                  </w:tcBorders>
                  <w:noWrap w:val="0"/>
                  <w:vAlign w:val="center"/>
                </w:tcPr>
                <w:p>
                  <w:pPr>
                    <w:pStyle w:val="52"/>
                    <w:adjustRightInd w:val="0"/>
                    <w:snapToGrid w:val="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80</w:t>
                  </w:r>
                </w:p>
              </w:tc>
              <w:tc>
                <w:tcPr>
                  <w:tcW w:w="649"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基础减振、厂房隔声</w:t>
                  </w:r>
                </w:p>
              </w:tc>
              <w:tc>
                <w:tcPr>
                  <w:tcW w:w="299"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42</w:t>
                  </w:r>
                </w:p>
              </w:tc>
              <w:tc>
                <w:tcPr>
                  <w:tcW w:w="216"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74</w:t>
                  </w:r>
                </w:p>
              </w:tc>
              <w:tc>
                <w:tcPr>
                  <w:tcW w:w="264"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315" w:type="pct"/>
                  <w:tcBorders>
                    <w:tl2br w:val="nil"/>
                    <w:tr2bl w:val="nil"/>
                  </w:tcBorders>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348"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lang w:val="en-US" w:eastAsia="zh-CN"/>
                    </w:rPr>
                  </w:pPr>
                  <w:r>
                    <w:rPr>
                      <w:rFonts w:hint="eastAsia" w:cs="Times New Roman"/>
                      <w:color w:val="auto"/>
                      <w:sz w:val="21"/>
                      <w:szCs w:val="21"/>
                      <w:lang w:val="en-US" w:eastAsia="zh-CN"/>
                    </w:rPr>
                    <w:t>59.9</w:t>
                  </w:r>
                </w:p>
              </w:tc>
              <w:tc>
                <w:tcPr>
                  <w:tcW w:w="335"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c>
                <w:tcPr>
                  <w:tcW w:w="436"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8-17</w:t>
                  </w:r>
                  <w:r>
                    <w:rPr>
                      <w:rFonts w:hint="default" w:ascii="Times New Roman" w:hAnsi="Times New Roman" w:eastAsia="宋体" w:cs="Times New Roman"/>
                      <w:color w:val="auto"/>
                      <w:sz w:val="21"/>
                      <w:szCs w:val="21"/>
                      <w:lang w:val="en-US" w:eastAsia="zh-CN"/>
                    </w:rPr>
                    <w:t>点</w:t>
                  </w:r>
                </w:p>
              </w:tc>
              <w:tc>
                <w:tcPr>
                  <w:tcW w:w="327" w:type="pct"/>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265" w:type="pct"/>
                  <w:vMerge w:val="continue"/>
                  <w:tcBorders>
                    <w:tl2br w:val="nil"/>
                    <w:tr2bl w:val="nil"/>
                  </w:tcBorders>
                  <w:noWrap w:val="0"/>
                  <w:vAlign w:val="center"/>
                </w:tcPr>
                <w:p>
                  <w:pPr>
                    <w:jc w:val="center"/>
                    <w:rPr>
                      <w:rFonts w:hint="eastAsia" w:ascii="Times New Roman" w:hAnsi="Times New Roman" w:eastAsia="宋体" w:cs="Times New Roman"/>
                      <w:color w:val="auto"/>
                      <w:sz w:val="21"/>
                      <w:szCs w:val="21"/>
                      <w:lang w:val="en-US" w:eastAsia="zh-CN"/>
                    </w:rPr>
                  </w:pPr>
                </w:p>
              </w:tc>
              <w:tc>
                <w:tcPr>
                  <w:tcW w:w="257" w:type="pct"/>
                  <w:vMerge w:val="continue"/>
                  <w:tcBorders>
                    <w:tl2br w:val="nil"/>
                    <w:tr2bl w:val="nil"/>
                  </w:tcBorders>
                  <w:noWrap w:val="0"/>
                  <w:vAlign w:val="center"/>
                </w:tcPr>
                <w:p>
                  <w:pPr>
                    <w:pStyle w:val="52"/>
                    <w:adjustRightInd w:val="0"/>
                    <w:snapToGrid w:val="0"/>
                    <w:rPr>
                      <w:rFonts w:hint="default" w:ascii="Times New Roman" w:hAnsi="Times New Roman" w:eastAsia="宋体" w:cs="Times New Roman"/>
                      <w:color w:val="auto"/>
                      <w:sz w:val="21"/>
                      <w:szCs w:val="21"/>
                    </w:rPr>
                  </w:pPr>
                </w:p>
              </w:tc>
            </w:tr>
            <w:bookmarkEnd w:id="8"/>
            <w:bookmarkEnd w:id="11"/>
            <w:bookmarkEnd w:id="12"/>
          </w:tbl>
          <w:p>
            <w:pPr>
              <w:pStyle w:val="6"/>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表</w:t>
            </w:r>
            <w:r>
              <w:rPr>
                <w:rFonts w:hint="eastAsia" w:eastAsia="宋体" w:cs="Times New Roman"/>
                <w:sz w:val="21"/>
                <w:szCs w:val="21"/>
                <w:lang w:val="en-US" w:eastAsia="zh-CN"/>
              </w:rPr>
              <w:t>29</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 xml:space="preserve"> </w:t>
            </w:r>
            <w:r>
              <w:rPr>
                <w:rFonts w:hint="eastAsia" w:eastAsia="宋体" w:cs="Times New Roman"/>
                <w:sz w:val="21"/>
                <w:szCs w:val="21"/>
                <w:lang w:val="en-US" w:eastAsia="zh-CN"/>
              </w:rPr>
              <w:t xml:space="preserve"> </w:t>
            </w:r>
            <w:r>
              <w:rPr>
                <w:rFonts w:hint="default" w:ascii="Times New Roman" w:hAnsi="Times New Roman" w:eastAsia="宋体" w:cs="Times New Roman"/>
                <w:sz w:val="21"/>
                <w:szCs w:val="21"/>
              </w:rPr>
              <w:t>工业企业噪声源强调查清单</w:t>
            </w:r>
            <w:r>
              <w:rPr>
                <w:rFonts w:hint="default" w:ascii="Times New Roman" w:hAnsi="Times New Roman" w:eastAsia="宋体" w:cs="Times New Roman"/>
                <w:color w:val="auto"/>
                <w:sz w:val="21"/>
                <w:szCs w:val="21"/>
                <w:lang w:val="en-US" w:eastAsia="zh-CN"/>
              </w:rPr>
              <w:t>（室外声源）</w:t>
            </w:r>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9"/>
              <w:gridCol w:w="642"/>
              <w:gridCol w:w="497"/>
              <w:gridCol w:w="767"/>
              <w:gridCol w:w="757"/>
              <w:gridCol w:w="498"/>
              <w:gridCol w:w="1058"/>
              <w:gridCol w:w="1085"/>
              <w:gridCol w:w="1026"/>
              <w:gridCol w:w="11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1" w:hRule="exact"/>
                <w:jc w:val="center"/>
              </w:trPr>
              <w:tc>
                <w:tcPr>
                  <w:tcW w:w="283" w:type="pct"/>
                  <w:vMerge w:val="restart"/>
                  <w:tcBorders>
                    <w:tl2br w:val="nil"/>
                    <w:tr2bl w:val="nil"/>
                  </w:tcBorders>
                  <w:noWrap w:val="0"/>
                  <w:vAlign w:val="center"/>
                </w:tcPr>
                <w:p>
                  <w:pPr>
                    <w:pStyle w:val="61"/>
                    <w:bidi w:val="0"/>
                    <w:rPr>
                      <w:b/>
                      <w:bCs/>
                      <w:color w:val="auto"/>
                      <w:sz w:val="21"/>
                      <w:szCs w:val="21"/>
                      <w:highlight w:val="none"/>
                    </w:rPr>
                  </w:pPr>
                  <w:r>
                    <w:rPr>
                      <w:b/>
                      <w:bCs/>
                      <w:color w:val="auto"/>
                      <w:sz w:val="21"/>
                      <w:szCs w:val="21"/>
                      <w:highlight w:val="none"/>
                    </w:rPr>
                    <w:t>序号</w:t>
                  </w:r>
                </w:p>
              </w:tc>
              <w:tc>
                <w:tcPr>
                  <w:tcW w:w="405" w:type="pct"/>
                  <w:vMerge w:val="restar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声源名称</w:t>
                  </w:r>
                </w:p>
              </w:tc>
              <w:tc>
                <w:tcPr>
                  <w:tcW w:w="313" w:type="pct"/>
                  <w:vMerge w:val="restar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型号</w:t>
                  </w:r>
                </w:p>
              </w:tc>
              <w:tc>
                <w:tcPr>
                  <w:tcW w:w="1272" w:type="pct"/>
                  <w:gridSpan w:val="3"/>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空间相对位置/m</w:t>
                  </w:r>
                </w:p>
              </w:tc>
              <w:tc>
                <w:tcPr>
                  <w:tcW w:w="666" w:type="pc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lang w:eastAsia="zh-CN"/>
                    </w:rPr>
                    <w:t>声源源强</w:t>
                  </w:r>
                </w:p>
              </w:tc>
              <w:tc>
                <w:tcPr>
                  <w:tcW w:w="683" w:type="pct"/>
                  <w:tcBorders>
                    <w:tl2br w:val="nil"/>
                    <w:tr2bl w:val="nil"/>
                  </w:tcBorders>
                  <w:noWrap w:val="0"/>
                  <w:vAlign w:val="center"/>
                </w:tcPr>
                <w:p>
                  <w:pPr>
                    <w:pStyle w:val="61"/>
                    <w:bidi w:val="0"/>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声源控制措施</w:t>
                  </w:r>
                </w:p>
              </w:tc>
              <w:tc>
                <w:tcPr>
                  <w:tcW w:w="646" w:type="pct"/>
                  <w:tcBorders>
                    <w:tl2br w:val="nil"/>
                    <w:tr2bl w:val="nil"/>
                  </w:tcBorders>
                  <w:noWrap w:val="0"/>
                  <w:vAlign w:val="center"/>
                </w:tcPr>
                <w:p>
                  <w:pPr>
                    <w:pStyle w:val="61"/>
                    <w:bidi w:val="0"/>
                    <w:ind w:firstLine="0" w:firstLineChars="0"/>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val="en-US" w:eastAsia="zh-CN"/>
                    </w:rPr>
                    <w:t>治理后声源源强</w:t>
                  </w:r>
                </w:p>
              </w:tc>
              <w:tc>
                <w:tcPr>
                  <w:tcW w:w="727" w:type="pct"/>
                  <w:tcBorders>
                    <w:tl2br w:val="nil"/>
                    <w:tr2bl w:val="nil"/>
                  </w:tcBorders>
                  <w:noWrap w:val="0"/>
                  <w:vAlign w:val="center"/>
                </w:tcPr>
                <w:p>
                  <w:pPr>
                    <w:pStyle w:val="61"/>
                    <w:bidi w:val="0"/>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运行时段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83" w:type="pct"/>
                  <w:vMerge w:val="continue"/>
                  <w:tcBorders>
                    <w:tl2br w:val="nil"/>
                    <w:tr2bl w:val="nil"/>
                  </w:tcBorders>
                  <w:noWrap w:val="0"/>
                  <w:vAlign w:val="center"/>
                </w:tcPr>
                <w:p>
                  <w:pPr>
                    <w:pStyle w:val="61"/>
                    <w:bidi w:val="0"/>
                    <w:rPr>
                      <w:b/>
                      <w:bCs/>
                      <w:color w:val="auto"/>
                      <w:sz w:val="21"/>
                      <w:szCs w:val="21"/>
                      <w:highlight w:val="none"/>
                    </w:rPr>
                  </w:pPr>
                </w:p>
              </w:tc>
              <w:tc>
                <w:tcPr>
                  <w:tcW w:w="405" w:type="pct"/>
                  <w:vMerge w:val="continue"/>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p>
              </w:tc>
              <w:tc>
                <w:tcPr>
                  <w:tcW w:w="313" w:type="pct"/>
                  <w:vMerge w:val="continue"/>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p>
              </w:tc>
              <w:tc>
                <w:tcPr>
                  <w:tcW w:w="483" w:type="pc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X</w:t>
                  </w:r>
                </w:p>
              </w:tc>
              <w:tc>
                <w:tcPr>
                  <w:tcW w:w="476" w:type="pc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Y</w:t>
                  </w:r>
                </w:p>
              </w:tc>
              <w:tc>
                <w:tcPr>
                  <w:tcW w:w="311" w:type="pct"/>
                  <w:tcBorders>
                    <w:tl2br w:val="nil"/>
                    <w:tr2bl w:val="nil"/>
                  </w:tcBorders>
                  <w:noWrap w:val="0"/>
                  <w:vAlign w:val="center"/>
                </w:tcPr>
                <w:p>
                  <w:pPr>
                    <w:pStyle w:val="61"/>
                    <w:bidi w:val="0"/>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Z</w:t>
                  </w:r>
                </w:p>
              </w:tc>
              <w:tc>
                <w:tcPr>
                  <w:tcW w:w="666" w:type="pct"/>
                  <w:tcBorders>
                    <w:tl2br w:val="nil"/>
                    <w:tr2bl w:val="nil"/>
                  </w:tcBorders>
                  <w:noWrap w:val="0"/>
                  <w:vAlign w:val="center"/>
                </w:tcPr>
                <w:p>
                  <w:pPr>
                    <w:pStyle w:val="61"/>
                    <w:bidi w:val="0"/>
                    <w:ind w:firstLine="0" w:firstLineChars="0"/>
                    <w:rPr>
                      <w:rFonts w:ascii="Times New Roman" w:hAnsi="Times New Roman" w:eastAsia="宋体" w:cs="Times New Roman"/>
                      <w:b/>
                      <w:bCs/>
                      <w:color w:val="auto"/>
                      <w:kern w:val="0"/>
                      <w:sz w:val="21"/>
                      <w:szCs w:val="21"/>
                      <w:highlight w:val="none"/>
                      <w:lang w:val="zh-CN" w:eastAsia="zh-CN" w:bidi="ar-SA"/>
                    </w:rPr>
                  </w:pPr>
                  <w:r>
                    <w:rPr>
                      <w:rFonts w:ascii="Times New Roman" w:hAnsi="Times New Roman" w:eastAsia="宋体" w:cs="Times New Roman"/>
                      <w:b/>
                      <w:bCs/>
                      <w:color w:val="auto"/>
                      <w:sz w:val="21"/>
                      <w:szCs w:val="21"/>
                      <w:highlight w:val="none"/>
                    </w:rPr>
                    <w:t>声功率级/dB(A)</w:t>
                  </w:r>
                </w:p>
              </w:tc>
              <w:tc>
                <w:tcPr>
                  <w:tcW w:w="683" w:type="pct"/>
                  <w:tcBorders>
                    <w:tl2br w:val="nil"/>
                    <w:tr2bl w:val="nil"/>
                  </w:tcBorders>
                  <w:noWrap w:val="0"/>
                  <w:vAlign w:val="center"/>
                </w:tcPr>
                <w:p>
                  <w:pPr>
                    <w:pStyle w:val="61"/>
                    <w:bidi w:val="0"/>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646" w:type="pct"/>
                  <w:tcBorders>
                    <w:tl2br w:val="nil"/>
                    <w:tr2bl w:val="nil"/>
                  </w:tcBorders>
                  <w:noWrap w:val="0"/>
                  <w:vAlign w:val="center"/>
                </w:tcPr>
                <w:p>
                  <w:pPr>
                    <w:pStyle w:val="61"/>
                    <w:bidi w:val="0"/>
                    <w:ind w:firstLine="0" w:firstLineChars="0"/>
                    <w:rPr>
                      <w:rFonts w:hint="eastAsia" w:ascii="Times New Roman" w:hAnsi="Times New Roman" w:eastAsia="宋体" w:cs="Times New Roman"/>
                      <w:b/>
                      <w:bCs/>
                      <w:color w:val="auto"/>
                      <w:sz w:val="21"/>
                      <w:szCs w:val="21"/>
                      <w:highlight w:val="none"/>
                      <w:lang w:val="en-US" w:eastAsia="zh-CN"/>
                    </w:rPr>
                  </w:pPr>
                  <w:r>
                    <w:rPr>
                      <w:rFonts w:ascii="Times New Roman" w:hAnsi="Times New Roman" w:eastAsia="宋体" w:cs="Times New Roman"/>
                      <w:b/>
                      <w:bCs/>
                      <w:color w:val="auto"/>
                      <w:sz w:val="21"/>
                      <w:szCs w:val="21"/>
                      <w:highlight w:val="none"/>
                    </w:rPr>
                    <w:t>声功率级/dB(A)</w:t>
                  </w:r>
                </w:p>
              </w:tc>
              <w:tc>
                <w:tcPr>
                  <w:tcW w:w="727" w:type="pct"/>
                  <w:tcBorders>
                    <w:tl2br w:val="nil"/>
                    <w:tr2bl w:val="nil"/>
                  </w:tcBorders>
                  <w:noWrap w:val="0"/>
                  <w:vAlign w:val="center"/>
                </w:tcPr>
                <w:p>
                  <w:pPr>
                    <w:pStyle w:val="61"/>
                    <w:bidi w:val="0"/>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283" w:type="pct"/>
                  <w:tcBorders>
                    <w:tl2br w:val="nil"/>
                    <w:tr2bl w:val="nil"/>
                  </w:tcBorders>
                  <w:shd w:val="clear" w:color="auto" w:fill="auto"/>
                  <w:noWrap w:val="0"/>
                  <w:vAlign w:val="center"/>
                </w:tcPr>
                <w:p>
                  <w:pPr>
                    <w:pStyle w:val="61"/>
                    <w:bidi w:val="0"/>
                    <w:rPr>
                      <w:color w:val="auto"/>
                      <w:sz w:val="21"/>
                      <w:szCs w:val="21"/>
                      <w:highlight w:val="none"/>
                    </w:rPr>
                  </w:pPr>
                  <w:bookmarkStart w:id="13" w:name="OLE_LINK12" w:colFirst="8" w:colLast="8"/>
                  <w:r>
                    <w:rPr>
                      <w:color w:val="auto"/>
                      <w:sz w:val="21"/>
                      <w:szCs w:val="21"/>
                      <w:highlight w:val="none"/>
                    </w:rPr>
                    <w:t>1</w:t>
                  </w:r>
                </w:p>
              </w:tc>
              <w:tc>
                <w:tcPr>
                  <w:tcW w:w="405" w:type="pct"/>
                  <w:tcBorders>
                    <w:tl2br w:val="nil"/>
                    <w:tr2bl w:val="nil"/>
                  </w:tcBorders>
                  <w:shd w:val="clear" w:color="auto" w:fill="auto"/>
                  <w:noWrap w:val="0"/>
                  <w:vAlign w:val="center"/>
                </w:tcPr>
                <w:p>
                  <w:pPr>
                    <w:pStyle w:val="61"/>
                    <w:bidi w:val="0"/>
                    <w:jc w:val="both"/>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除尘器风机</w:t>
                  </w:r>
                </w:p>
              </w:tc>
              <w:tc>
                <w:tcPr>
                  <w:tcW w:w="313" w:type="pct"/>
                  <w:tcBorders>
                    <w:tl2br w:val="nil"/>
                    <w:tr2bl w:val="nil"/>
                  </w:tcBorders>
                  <w:shd w:val="clear" w:color="auto" w:fill="auto"/>
                  <w:noWrap w:val="0"/>
                  <w:vAlign w:val="center"/>
                </w:tcPr>
                <w:p>
                  <w:pPr>
                    <w:pStyle w:val="61"/>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83"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42.36</w:t>
                  </w:r>
                </w:p>
              </w:tc>
              <w:tc>
                <w:tcPr>
                  <w:tcW w:w="476"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72.21</w:t>
                  </w:r>
                </w:p>
              </w:tc>
              <w:tc>
                <w:tcPr>
                  <w:tcW w:w="311"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w:t>
                  </w:r>
                </w:p>
              </w:tc>
              <w:tc>
                <w:tcPr>
                  <w:tcW w:w="666"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80</w:t>
                  </w:r>
                </w:p>
              </w:tc>
              <w:tc>
                <w:tcPr>
                  <w:tcW w:w="683" w:type="pct"/>
                  <w:tcBorders>
                    <w:tl2br w:val="nil"/>
                    <w:tr2bl w:val="nil"/>
                  </w:tcBorders>
                  <w:shd w:val="clear" w:color="auto" w:fill="auto"/>
                  <w:noWrap w:val="0"/>
                  <w:vAlign w:val="center"/>
                </w:tcPr>
                <w:p>
                  <w:pPr>
                    <w:pStyle w:val="61"/>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基础减振</w:t>
                  </w:r>
                </w:p>
              </w:tc>
              <w:tc>
                <w:tcPr>
                  <w:tcW w:w="646"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727"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bookmarkStart w:id="14" w:name="OLE_LINK11"/>
                  <w:r>
                    <w:rPr>
                      <w:rFonts w:hint="eastAsia" w:ascii="Times New Roman" w:hAnsi="Times New Roman" w:eastAsia="宋体" w:cs="Times New Roman"/>
                      <w:color w:val="auto"/>
                      <w:sz w:val="21"/>
                      <w:szCs w:val="21"/>
                      <w:highlight w:val="none"/>
                      <w:lang w:val="en-US" w:eastAsia="zh-CN"/>
                    </w:rPr>
                    <w:t>连续运行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17</w:t>
                  </w:r>
                  <w:r>
                    <w:rPr>
                      <w:rFonts w:hint="default" w:ascii="Times New Roman" w:hAnsi="Times New Roman" w:eastAsia="宋体" w:cs="Times New Roman"/>
                      <w:color w:val="auto"/>
                      <w:sz w:val="21"/>
                      <w:szCs w:val="21"/>
                      <w:lang w:val="en-US" w:eastAsia="zh-CN"/>
                    </w:rPr>
                    <w:t>点</w:t>
                  </w:r>
                  <w:bookmarkEnd w:id="1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283" w:type="pct"/>
                  <w:tcBorders>
                    <w:tl2br w:val="nil"/>
                    <w:tr2bl w:val="nil"/>
                  </w:tcBorders>
                  <w:shd w:val="clear" w:color="auto" w:fill="auto"/>
                  <w:noWrap w:val="0"/>
                  <w:vAlign w:val="center"/>
                </w:tcPr>
                <w:p>
                  <w:pPr>
                    <w:pStyle w:val="61"/>
                    <w:bidi w:val="0"/>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405" w:type="pct"/>
                  <w:tcBorders>
                    <w:tl2br w:val="nil"/>
                    <w:tr2bl w:val="nil"/>
                  </w:tcBorders>
                  <w:shd w:val="clear" w:color="auto" w:fill="auto"/>
                  <w:noWrap w:val="0"/>
                  <w:vAlign w:val="center"/>
                </w:tcPr>
                <w:p>
                  <w:pPr>
                    <w:pStyle w:val="61"/>
                    <w:bidi w:val="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废气治理设备风机</w:t>
                  </w:r>
                </w:p>
              </w:tc>
              <w:tc>
                <w:tcPr>
                  <w:tcW w:w="313"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83"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7.14</w:t>
                  </w:r>
                </w:p>
              </w:tc>
              <w:tc>
                <w:tcPr>
                  <w:tcW w:w="476"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72.24</w:t>
                  </w:r>
                </w:p>
              </w:tc>
              <w:tc>
                <w:tcPr>
                  <w:tcW w:w="311"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w:t>
                  </w:r>
                </w:p>
              </w:tc>
              <w:tc>
                <w:tcPr>
                  <w:tcW w:w="666"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85</w:t>
                  </w:r>
                </w:p>
              </w:tc>
              <w:tc>
                <w:tcPr>
                  <w:tcW w:w="683" w:type="pct"/>
                  <w:tcBorders>
                    <w:tl2br w:val="nil"/>
                    <w:tr2bl w:val="nil"/>
                  </w:tcBorders>
                  <w:shd w:val="clear" w:color="auto" w:fill="auto"/>
                  <w:noWrap w:val="0"/>
                  <w:vAlign w:val="center"/>
                </w:tcPr>
                <w:p>
                  <w:pPr>
                    <w:pStyle w:val="61"/>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基础减振</w:t>
                  </w:r>
                </w:p>
              </w:tc>
              <w:tc>
                <w:tcPr>
                  <w:tcW w:w="646"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p>
              </w:tc>
              <w:tc>
                <w:tcPr>
                  <w:tcW w:w="727" w:type="pct"/>
                  <w:tcBorders>
                    <w:tl2br w:val="nil"/>
                    <w:tr2bl w:val="nil"/>
                  </w:tcBorders>
                  <w:shd w:val="clear" w:color="auto" w:fill="auto"/>
                  <w:noWrap w:val="0"/>
                  <w:vAlign w:val="center"/>
                </w:tcPr>
                <w:p>
                  <w:pPr>
                    <w:pStyle w:val="61"/>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连续运行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17</w:t>
                  </w:r>
                  <w:r>
                    <w:rPr>
                      <w:rFonts w:hint="default" w:ascii="Times New Roman" w:hAnsi="Times New Roman" w:eastAsia="宋体" w:cs="Times New Roman"/>
                      <w:color w:val="auto"/>
                      <w:sz w:val="21"/>
                      <w:szCs w:val="21"/>
                      <w:lang w:val="en-US" w:eastAsia="zh-CN"/>
                    </w:rPr>
                    <w:t>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0" w:hRule="atLeast"/>
                <w:jc w:val="center"/>
              </w:trPr>
              <w:tc>
                <w:tcPr>
                  <w:tcW w:w="283" w:type="pct"/>
                  <w:tcBorders>
                    <w:tl2br w:val="nil"/>
                    <w:tr2bl w:val="nil"/>
                  </w:tcBorders>
                  <w:shd w:val="clear" w:color="auto" w:fill="auto"/>
                  <w:noWrap w:val="0"/>
                  <w:vAlign w:val="center"/>
                </w:tcPr>
                <w:p>
                  <w:pPr>
                    <w:pStyle w:val="61"/>
                    <w:bidi w:val="0"/>
                    <w:rPr>
                      <w:rFonts w:hint="default"/>
                      <w:color w:val="auto"/>
                      <w:sz w:val="21"/>
                      <w:szCs w:val="21"/>
                      <w:highlight w:val="none"/>
                      <w:lang w:val="en-US" w:eastAsia="zh-CN"/>
                    </w:rPr>
                  </w:pPr>
                  <w:r>
                    <w:rPr>
                      <w:rFonts w:hint="eastAsia"/>
                      <w:color w:val="auto"/>
                      <w:sz w:val="21"/>
                      <w:szCs w:val="21"/>
                      <w:highlight w:val="none"/>
                      <w:lang w:val="en-US" w:eastAsia="zh-CN"/>
                    </w:rPr>
                    <w:t>3</w:t>
                  </w:r>
                </w:p>
              </w:tc>
              <w:tc>
                <w:tcPr>
                  <w:tcW w:w="405" w:type="pct"/>
                  <w:tcBorders>
                    <w:tl2br w:val="nil"/>
                    <w:tr2bl w:val="nil"/>
                  </w:tcBorders>
                  <w:shd w:val="clear" w:color="auto" w:fill="auto"/>
                  <w:noWrap w:val="0"/>
                  <w:vAlign w:val="center"/>
                </w:tcPr>
                <w:p>
                  <w:pPr>
                    <w:pStyle w:val="61"/>
                    <w:bidi w:val="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循环水泵</w:t>
                  </w:r>
                </w:p>
              </w:tc>
              <w:tc>
                <w:tcPr>
                  <w:tcW w:w="313"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83" w:type="pct"/>
                  <w:tcBorders>
                    <w:tl2br w:val="nil"/>
                    <w:tr2bl w:val="nil"/>
                  </w:tcBorders>
                  <w:shd w:val="clear" w:color="auto" w:fill="auto"/>
                  <w:noWrap w:val="0"/>
                  <w:vAlign w:val="center"/>
                </w:tcPr>
                <w:p>
                  <w:pPr>
                    <w:pStyle w:val="61"/>
                    <w:bidi w:val="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476" w:type="pct"/>
                  <w:tcBorders>
                    <w:tl2br w:val="nil"/>
                    <w:tr2bl w:val="nil"/>
                  </w:tcBorders>
                  <w:shd w:val="clear" w:color="auto" w:fill="auto"/>
                  <w:noWrap w:val="0"/>
                  <w:vAlign w:val="center"/>
                </w:tcPr>
                <w:p>
                  <w:pPr>
                    <w:pStyle w:val="61"/>
                    <w:bidi w:val="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72</w:t>
                  </w:r>
                </w:p>
              </w:tc>
              <w:tc>
                <w:tcPr>
                  <w:tcW w:w="311"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w:t>
                  </w:r>
                </w:p>
              </w:tc>
              <w:tc>
                <w:tcPr>
                  <w:tcW w:w="666" w:type="pct"/>
                  <w:tcBorders>
                    <w:tl2br w:val="nil"/>
                    <w:tr2bl w:val="nil"/>
                  </w:tcBorders>
                  <w:shd w:val="clear" w:color="auto" w:fill="auto"/>
                  <w:noWrap w:val="0"/>
                  <w:vAlign w:val="center"/>
                </w:tcPr>
                <w:p>
                  <w:pPr>
                    <w:pStyle w:val="61"/>
                    <w:bidi w:val="0"/>
                    <w:ind w:firstLine="0" w:firstLine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683" w:type="pct"/>
                  <w:tcBorders>
                    <w:tl2br w:val="nil"/>
                    <w:tr2bl w:val="nil"/>
                  </w:tcBorders>
                  <w:shd w:val="clear" w:color="auto" w:fill="auto"/>
                  <w:noWrap w:val="0"/>
                  <w:vAlign w:val="center"/>
                </w:tcPr>
                <w:p>
                  <w:pPr>
                    <w:pStyle w:val="61"/>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基础减振</w:t>
                  </w:r>
                </w:p>
              </w:tc>
              <w:tc>
                <w:tcPr>
                  <w:tcW w:w="646" w:type="pct"/>
                  <w:tcBorders>
                    <w:tl2br w:val="nil"/>
                    <w:tr2bl w:val="nil"/>
                  </w:tcBorders>
                  <w:shd w:val="clear" w:color="auto" w:fill="auto"/>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727" w:type="pct"/>
                  <w:tcBorders>
                    <w:tl2br w:val="nil"/>
                    <w:tr2bl w:val="nil"/>
                  </w:tcBorders>
                  <w:shd w:val="clear" w:color="auto" w:fill="auto"/>
                  <w:noWrap w:val="0"/>
                  <w:vAlign w:val="center"/>
                </w:tcPr>
                <w:p>
                  <w:pPr>
                    <w:pStyle w:val="61"/>
                    <w:bidi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连续运行</w:t>
                  </w:r>
                  <w:r>
                    <w:rPr>
                      <w:rFonts w:hint="default" w:ascii="Times New Roman" w:hAnsi="Times New Roman" w:eastAsia="宋体" w:cs="Times New Roman"/>
                      <w:color w:val="auto"/>
                      <w:sz w:val="21"/>
                      <w:szCs w:val="21"/>
                      <w:lang w:val="en-US" w:eastAsia="zh-CN"/>
                    </w:rPr>
                    <w:t>昼间</w:t>
                  </w:r>
                  <w:r>
                    <w:rPr>
                      <w:rFonts w:hint="eastAsia"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17</w:t>
                  </w:r>
                  <w:r>
                    <w:rPr>
                      <w:rFonts w:hint="default" w:ascii="Times New Roman" w:hAnsi="Times New Roman" w:eastAsia="宋体" w:cs="Times New Roman"/>
                      <w:color w:val="auto"/>
                      <w:sz w:val="21"/>
                      <w:szCs w:val="21"/>
                      <w:lang w:val="en-US" w:eastAsia="zh-CN"/>
                    </w:rPr>
                    <w:t>点</w:t>
                  </w:r>
                </w:p>
              </w:tc>
            </w:tr>
            <w:bookmarkEnd w:id="13"/>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eastAsia="宋体"/>
                <w:sz w:val="24"/>
                <w:szCs w:val="24"/>
                <w:lang w:val="en-US" w:eastAsia="zh-CN"/>
              </w:rPr>
            </w:pPr>
            <w:r>
              <w:rPr>
                <w:rFonts w:hint="eastAsia"/>
                <w:sz w:val="24"/>
                <w:szCs w:val="24"/>
                <w:lang w:val="en-US" w:eastAsia="zh-CN"/>
              </w:rPr>
              <w:t>2、厂界达标情况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szCs w:val="24"/>
              </w:rPr>
              <w:t>根据本项目主要高噪声设备的分布状况和房间外源强，</w:t>
            </w:r>
            <w:r>
              <w:rPr>
                <w:rFonts w:hint="eastAsia"/>
                <w:sz w:val="24"/>
                <w:szCs w:val="24"/>
              </w:rPr>
              <w:t>根据导则中</w:t>
            </w:r>
            <w:r>
              <w:rPr>
                <w:sz w:val="24"/>
                <w:szCs w:val="24"/>
              </w:rPr>
              <w:t>噪声预测模型</w:t>
            </w:r>
            <w:r>
              <w:rPr>
                <w:rFonts w:hint="eastAsia"/>
                <w:sz w:val="24"/>
                <w:szCs w:val="24"/>
              </w:rPr>
              <w:t>，</w:t>
            </w:r>
            <w:r>
              <w:rPr>
                <w:sz w:val="24"/>
                <w:szCs w:val="24"/>
              </w:rPr>
              <w:t>计算出各声源对</w:t>
            </w:r>
            <w:r>
              <w:rPr>
                <w:rFonts w:hint="eastAsia"/>
                <w:sz w:val="24"/>
                <w:szCs w:val="24"/>
              </w:rPr>
              <w:t>厂界的噪声</w:t>
            </w:r>
            <w:r>
              <w:rPr>
                <w:sz w:val="24"/>
                <w:szCs w:val="24"/>
              </w:rPr>
              <w:t>贡献值</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szCs w:val="24"/>
              </w:rPr>
              <w:t>点声源</w:t>
            </w:r>
            <w:r>
              <w:rPr>
                <w:sz w:val="24"/>
                <w:szCs w:val="24"/>
              </w:rPr>
              <w:t>的</w:t>
            </w:r>
            <w:r>
              <w:rPr>
                <w:rFonts w:hint="eastAsia"/>
                <w:sz w:val="24"/>
                <w:szCs w:val="24"/>
              </w:rPr>
              <w:t>几何</w:t>
            </w:r>
            <w:r>
              <w:rPr>
                <w:sz w:val="24"/>
                <w:szCs w:val="24"/>
              </w:rPr>
              <w:t>发散衰减的</w:t>
            </w:r>
            <w:r>
              <w:rPr>
                <w:rFonts w:hint="eastAsia"/>
                <w:sz w:val="24"/>
                <w:szCs w:val="24"/>
              </w:rPr>
              <w:t>基本公式</w:t>
            </w:r>
            <w:r>
              <w:rPr>
                <w:sz w:val="24"/>
                <w:szCs w:val="24"/>
              </w:rPr>
              <w:t>如下：</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4"/>
                <w:szCs w:val="24"/>
              </w:rPr>
            </w:pPr>
            <w:r>
              <w:rPr>
                <w:sz w:val="24"/>
                <w:szCs w:val="24"/>
              </w:rPr>
              <w:t>Lp（</w:t>
            </w:r>
            <w:r>
              <w:rPr>
                <w:rFonts w:hint="eastAsia"/>
                <w:sz w:val="24"/>
                <w:szCs w:val="24"/>
              </w:rPr>
              <w:t>r</w:t>
            </w:r>
            <w:r>
              <w:rPr>
                <w:sz w:val="24"/>
                <w:szCs w:val="24"/>
              </w:rPr>
              <w:t>）</w:t>
            </w:r>
            <w:r>
              <w:rPr>
                <w:rFonts w:hint="eastAsia"/>
                <w:sz w:val="24"/>
                <w:szCs w:val="24"/>
              </w:rPr>
              <w:t>=</w:t>
            </w:r>
            <w:r>
              <w:rPr>
                <w:sz w:val="24"/>
                <w:szCs w:val="24"/>
              </w:rPr>
              <w:t>L</w:t>
            </w:r>
            <w:r>
              <w:rPr>
                <w:rFonts w:hint="eastAsia"/>
                <w:sz w:val="24"/>
                <w:szCs w:val="24"/>
              </w:rPr>
              <w:t>w-20</w:t>
            </w:r>
            <w:r>
              <w:rPr>
                <w:sz w:val="24"/>
                <w:szCs w:val="24"/>
              </w:rPr>
              <w:t>lg</w:t>
            </w:r>
            <w:r>
              <w:rPr>
                <w:rFonts w:hint="eastAsia"/>
                <w:sz w:val="24"/>
                <w:szCs w:val="24"/>
              </w:rPr>
              <w:t>r-8</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sz w:val="24"/>
                <w:szCs w:val="24"/>
              </w:rPr>
            </w:pPr>
            <w:r>
              <w:rPr>
                <w:rFonts w:hint="eastAsia"/>
                <w:sz w:val="24"/>
                <w:szCs w:val="24"/>
              </w:rPr>
              <w:t>式中</w:t>
            </w:r>
            <w:r>
              <w:rPr>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szCs w:val="24"/>
              </w:rPr>
              <w:t>Lp（</w:t>
            </w:r>
            <w:r>
              <w:rPr>
                <w:rFonts w:hint="eastAsia"/>
                <w:sz w:val="24"/>
                <w:szCs w:val="24"/>
              </w:rPr>
              <w:t>r</w:t>
            </w:r>
            <w:r>
              <w:rPr>
                <w:sz w:val="24"/>
                <w:szCs w:val="24"/>
              </w:rPr>
              <w:t>）</w:t>
            </w:r>
            <w:r>
              <w:rPr>
                <w:rFonts w:hint="default" w:ascii="Times New Roman" w:hAnsi="Times New Roman" w:cs="Times New Roman"/>
                <w:sz w:val="24"/>
                <w:szCs w:val="24"/>
              </w:rPr>
              <w:t>——</w:t>
            </w:r>
            <w:r>
              <w:rPr>
                <w:rFonts w:hint="eastAsia"/>
                <w:sz w:val="24"/>
                <w:szCs w:val="24"/>
              </w:rPr>
              <w:t>预测点处声压级，dB；</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szCs w:val="24"/>
              </w:rPr>
              <w:t>L</w:t>
            </w:r>
            <w:r>
              <w:rPr>
                <w:rFonts w:hint="eastAsia"/>
                <w:sz w:val="24"/>
                <w:szCs w:val="24"/>
              </w:rPr>
              <w:t>w</w:t>
            </w:r>
            <w:r>
              <w:rPr>
                <w:sz w:val="24"/>
                <w:szCs w:val="24"/>
              </w:rPr>
              <w:t>——</w:t>
            </w:r>
            <w:r>
              <w:rPr>
                <w:rFonts w:hint="eastAsia"/>
                <w:sz w:val="24"/>
                <w:szCs w:val="24"/>
              </w:rPr>
              <w:t>由点声源产生的倍频带声功率级，dB；</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sz w:val="24"/>
                <w:szCs w:val="24"/>
              </w:rPr>
              <w:t>r——</w:t>
            </w:r>
            <w:r>
              <w:rPr>
                <w:rFonts w:hint="eastAsia"/>
                <w:sz w:val="24"/>
                <w:szCs w:val="24"/>
              </w:rPr>
              <w:t>预测点距声源的距离，</w:t>
            </w:r>
            <w:r>
              <w:rPr>
                <w:sz w:val="24"/>
                <w:szCs w:val="24"/>
              </w:rPr>
              <w:t>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szCs w:val="24"/>
              </w:rPr>
              <w:t>r</w:t>
            </w:r>
            <w:r>
              <w:rPr>
                <w:sz w:val="24"/>
                <w:szCs w:val="24"/>
              </w:rPr>
              <w:t>0</w:t>
            </w:r>
            <w:r>
              <w:rPr>
                <w:rFonts w:hint="default" w:ascii="Times New Roman" w:hAnsi="Times New Roman" w:cs="Times New Roman"/>
                <w:sz w:val="24"/>
                <w:szCs w:val="24"/>
              </w:rPr>
              <w:t>——</w:t>
            </w:r>
            <w:r>
              <w:rPr>
                <w:rFonts w:hint="eastAsia"/>
                <w:sz w:val="24"/>
                <w:szCs w:val="24"/>
              </w:rPr>
              <w:t>参考位置距声源的距离，</w:t>
            </w:r>
            <w:r>
              <w:rPr>
                <w:sz w:val="24"/>
                <w:szCs w:val="24"/>
              </w:rPr>
              <w:t>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sz w:val="24"/>
                <w:szCs w:val="24"/>
              </w:rPr>
              <w:t>本项目</w:t>
            </w:r>
            <w:r>
              <w:rPr>
                <w:sz w:val="24"/>
                <w:szCs w:val="24"/>
              </w:rPr>
              <w:t>声源在预测点产生的贡献值（Leqg）计算公式：</w:t>
            </w:r>
          </w:p>
          <w:p>
            <w:pPr>
              <w:keepNext w:val="0"/>
              <w:keepLines w:val="0"/>
              <w:pageBreakBefore w:val="0"/>
              <w:widowControl w:val="0"/>
              <w:kinsoku/>
              <w:wordWrap/>
              <w:overflowPunct/>
              <w:topLinePunct w:val="0"/>
              <w:autoSpaceDE/>
              <w:autoSpaceDN/>
              <w:bidi w:val="0"/>
              <w:adjustRightInd/>
              <w:snapToGrid/>
              <w:spacing w:line="360" w:lineRule="auto"/>
              <w:textAlignment w:val="auto"/>
              <w:rPr>
                <w:sz w:val="24"/>
                <w:szCs w:val="24"/>
              </w:rPr>
            </w:pPr>
            <w:r>
              <w:rPr>
                <w:sz w:val="24"/>
                <w:szCs w:val="24"/>
              </w:rPr>
              <w:drawing>
                <wp:anchor distT="0" distB="0" distL="114300" distR="114300" simplePos="0" relativeHeight="251662336" behindDoc="0" locked="0" layoutInCell="1" allowOverlap="1">
                  <wp:simplePos x="0" y="0"/>
                  <wp:positionH relativeFrom="column">
                    <wp:posOffset>857885</wp:posOffset>
                  </wp:positionH>
                  <wp:positionV relativeFrom="paragraph">
                    <wp:posOffset>38735</wp:posOffset>
                  </wp:positionV>
                  <wp:extent cx="3188335" cy="609600"/>
                  <wp:effectExtent l="0" t="0" r="12065" b="0"/>
                  <wp:wrapTopAndBottom/>
                  <wp:docPr id="1" name="图片 29473" descr="C:\Users\ADMINI~1\AppData\Local\Temp\ksohtml11864\w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9473" descr="C:\Users\ADMINI~1\AppData\Local\Temp\ksohtml11864\wps2.wmf"/>
                          <pic:cNvPicPr>
                            <a:picLocks noChangeAspect="1"/>
                          </pic:cNvPicPr>
                        </pic:nvPicPr>
                        <pic:blipFill>
                          <a:blip r:embed="rId23"/>
                          <a:stretch>
                            <a:fillRect/>
                          </a:stretch>
                        </pic:blipFill>
                        <pic:spPr>
                          <a:xfrm>
                            <a:off x="0" y="0"/>
                            <a:ext cx="3188335" cy="609600"/>
                          </a:xfrm>
                          <a:prstGeom prst="rect">
                            <a:avLst/>
                          </a:prstGeom>
                          <a:noFill/>
                          <a:ln>
                            <a:noFill/>
                          </a:ln>
                        </pic:spPr>
                      </pic:pic>
                    </a:graphicData>
                  </a:graphic>
                </wp:anchor>
              </w:drawing>
            </w:r>
            <w:r>
              <w:rPr>
                <w:sz w:val="24"/>
                <w:szCs w:val="24"/>
              </w:rPr>
              <w:t>式中：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Leqg——建设项目声源在预测的产生的噪声贡献值，dB；</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T——用于计算等效声级的时间，s；</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N——室外声源个数；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t</w:t>
            </w:r>
            <w:r>
              <w:rPr>
                <w:sz w:val="24"/>
                <w:szCs w:val="24"/>
                <w:vertAlign w:val="subscript"/>
              </w:rPr>
              <w:t>i</w:t>
            </w:r>
            <w:r>
              <w:rPr>
                <w:sz w:val="24"/>
                <w:szCs w:val="24"/>
              </w:rPr>
              <w:t>——在T时间内i声源内工作时间</w:t>
            </w:r>
            <w:r>
              <w:rPr>
                <w:rFonts w:hint="eastAsia"/>
                <w:sz w:val="24"/>
                <w:szCs w:val="24"/>
                <w:lang w:eastAsia="zh-CN"/>
              </w:rPr>
              <w:t>，</w:t>
            </w:r>
            <w:r>
              <w:rPr>
                <w:rFonts w:hint="eastAsia"/>
                <w:sz w:val="24"/>
                <w:szCs w:val="24"/>
                <w:lang w:val="en-US" w:eastAsia="zh-CN"/>
              </w:rPr>
              <w:t>s</w:t>
            </w:r>
            <w:r>
              <w:rPr>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M——等效室外声源个数；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rPr>
            </w:pPr>
            <w:r>
              <w:rPr>
                <w:sz w:val="24"/>
                <w:szCs w:val="24"/>
              </w:rPr>
              <w:t>t</w:t>
            </w:r>
            <w:r>
              <w:rPr>
                <w:rFonts w:hint="eastAsia"/>
                <w:sz w:val="24"/>
                <w:szCs w:val="24"/>
                <w:vertAlign w:val="subscript"/>
                <w:lang w:val="en-US" w:eastAsia="zh-CN"/>
              </w:rPr>
              <w:t>j</w:t>
            </w:r>
            <w:r>
              <w:rPr>
                <w:sz w:val="24"/>
                <w:szCs w:val="24"/>
              </w:rPr>
              <w:t>——在T时间内j声源内工作时间，s；</w:t>
            </w:r>
          </w:p>
          <w:p>
            <w:pPr>
              <w:keepNext w:val="0"/>
              <w:keepLines w:val="0"/>
              <w:pageBreakBefore w:val="0"/>
              <w:widowControl w:val="0"/>
              <w:tabs>
                <w:tab w:val="left" w:pos="8370"/>
                <w:tab w:val="left" w:pos="8600"/>
              </w:tabs>
              <w:kinsoku/>
              <w:wordWrap/>
              <w:overflowPunct/>
              <w:topLinePunct w:val="0"/>
              <w:autoSpaceDE/>
              <w:autoSpaceDN/>
              <w:bidi w:val="0"/>
              <w:spacing w:line="360" w:lineRule="auto"/>
              <w:ind w:firstLine="480" w:firstLineChars="200"/>
              <w:jc w:val="both"/>
              <w:textAlignment w:val="auto"/>
              <w:rPr>
                <w:color w:val="000000"/>
                <w:sz w:val="24"/>
              </w:rPr>
            </w:pPr>
            <w:r>
              <w:rPr>
                <w:sz w:val="24"/>
                <w:szCs w:val="24"/>
              </w:rPr>
              <w:t>根据本</w:t>
            </w:r>
            <w:r>
              <w:rPr>
                <w:rFonts w:hint="eastAsia"/>
                <w:sz w:val="24"/>
                <w:szCs w:val="24"/>
              </w:rPr>
              <w:t>项目</w:t>
            </w:r>
            <w:r>
              <w:rPr>
                <w:sz w:val="24"/>
                <w:szCs w:val="24"/>
              </w:rPr>
              <w:t>噪声源的分布，对项目四周厂界噪声</w:t>
            </w:r>
            <w:r>
              <w:rPr>
                <w:rFonts w:hint="eastAsia"/>
                <w:sz w:val="24"/>
                <w:szCs w:val="24"/>
              </w:rPr>
              <w:t>贡献值</w:t>
            </w:r>
            <w:r>
              <w:rPr>
                <w:sz w:val="24"/>
                <w:szCs w:val="24"/>
              </w:rPr>
              <w:t>进行计算，</w:t>
            </w:r>
            <w:r>
              <w:rPr>
                <w:rFonts w:hint="eastAsia"/>
                <w:sz w:val="24"/>
                <w:szCs w:val="24"/>
              </w:rPr>
              <w:t>本次评价</w:t>
            </w:r>
            <w:r>
              <w:rPr>
                <w:sz w:val="24"/>
                <w:szCs w:val="24"/>
              </w:rPr>
              <w:t>厂界噪声的预测结果见</w:t>
            </w:r>
            <w:r>
              <w:rPr>
                <w:rFonts w:hint="eastAsia"/>
                <w:sz w:val="24"/>
                <w:szCs w:val="24"/>
              </w:rPr>
              <w:t>下</w:t>
            </w:r>
            <w:r>
              <w:rPr>
                <w:sz w:val="24"/>
                <w:szCs w:val="24"/>
              </w:rPr>
              <w:t>表。</w:t>
            </w:r>
          </w:p>
          <w:p>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baseline"/>
              <w:rPr>
                <w:rFonts w:hint="default"/>
                <w:b w:val="0"/>
                <w:bCs w:val="0"/>
                <w:sz w:val="21"/>
                <w:szCs w:val="21"/>
                <w:lang w:val="en-US" w:eastAsia="zh-CN"/>
              </w:rPr>
            </w:pPr>
            <w:bookmarkStart w:id="15" w:name="_Ref13131"/>
            <w:bookmarkStart w:id="16" w:name="_Ref13053"/>
            <w:r>
              <w:rPr>
                <w:rFonts w:hint="default" w:ascii="Times New Roman" w:hAnsi="Times New Roman" w:eastAsia="宋体" w:cs="Times New Roman"/>
                <w:b w:val="0"/>
                <w:bCs w:val="0"/>
                <w:sz w:val="21"/>
                <w:szCs w:val="21"/>
              </w:rPr>
              <w:t>表</w:t>
            </w:r>
            <w:bookmarkEnd w:id="15"/>
            <w:r>
              <w:rPr>
                <w:rFonts w:hint="eastAsia" w:eastAsia="宋体" w:cs="Times New Roman"/>
                <w:b w:val="0"/>
                <w:bCs w:val="0"/>
                <w:sz w:val="21"/>
                <w:szCs w:val="21"/>
                <w:lang w:val="en-US" w:eastAsia="zh-CN"/>
              </w:rPr>
              <w:t>30</w:t>
            </w:r>
            <w:r>
              <w:rPr>
                <w:rFonts w:hint="default" w:ascii="Times New Roman" w:hAnsi="Times New Roman" w:eastAsia="宋体" w:cs="Times New Roman"/>
                <w:b w:val="0"/>
                <w:bCs w:val="0"/>
                <w:sz w:val="21"/>
                <w:szCs w:val="21"/>
                <w:lang w:val="en-US" w:eastAsia="zh-CN"/>
              </w:rPr>
              <w:t xml:space="preserve">  </w:t>
            </w:r>
            <w:r>
              <w:rPr>
                <w:rFonts w:hint="default" w:ascii="Times New Roman" w:hAnsi="Times New Roman" w:eastAsia="宋体" w:cs="Times New Roman"/>
                <w:b w:val="0"/>
                <w:bCs w:val="0"/>
                <w:sz w:val="21"/>
                <w:szCs w:val="21"/>
                <w:lang w:eastAsia="zh-CN"/>
              </w:rPr>
              <w:t xml:space="preserve"> 厂界噪声预测值一览表</w:t>
            </w:r>
            <w:bookmarkEnd w:id="16"/>
          </w:p>
          <w:tbl>
            <w:tblPr>
              <w:tblStyle w:val="2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353"/>
              <w:gridCol w:w="828"/>
              <w:gridCol w:w="935"/>
              <w:gridCol w:w="1169"/>
              <w:gridCol w:w="1086"/>
              <w:gridCol w:w="17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tcBorders>
                    <w:tl2br w:val="nil"/>
                    <w:tr2bl w:val="nil"/>
                  </w:tcBorders>
                  <w:noWrap w:val="0"/>
                  <w:vAlign w:val="center"/>
                </w:tcPr>
                <w:p>
                  <w:pPr>
                    <w:pStyle w:val="51"/>
                    <w:rPr>
                      <w:b w:val="0"/>
                      <w:bCs/>
                      <w:sz w:val="21"/>
                      <w:szCs w:val="21"/>
                    </w:rPr>
                  </w:pPr>
                  <w:r>
                    <w:rPr>
                      <w:rFonts w:hint="eastAsia"/>
                      <w:b w:val="0"/>
                      <w:bCs/>
                      <w:sz w:val="21"/>
                      <w:szCs w:val="21"/>
                    </w:rPr>
                    <w:t>预测点</w:t>
                  </w:r>
                </w:p>
              </w:tc>
              <w:tc>
                <w:tcPr>
                  <w:tcW w:w="852" w:type="pct"/>
                  <w:tcBorders>
                    <w:tl2br w:val="nil"/>
                    <w:tr2bl w:val="nil"/>
                  </w:tcBorders>
                  <w:noWrap w:val="0"/>
                  <w:vAlign w:val="center"/>
                </w:tcPr>
                <w:p>
                  <w:pPr>
                    <w:pStyle w:val="51"/>
                    <w:rPr>
                      <w:b w:val="0"/>
                      <w:bCs/>
                      <w:sz w:val="21"/>
                      <w:szCs w:val="21"/>
                    </w:rPr>
                  </w:pPr>
                  <w:r>
                    <w:rPr>
                      <w:rFonts w:hint="eastAsia"/>
                      <w:b w:val="0"/>
                      <w:bCs/>
                      <w:sz w:val="21"/>
                      <w:szCs w:val="21"/>
                    </w:rPr>
                    <w:t>主要噪声源</w:t>
                  </w:r>
                </w:p>
              </w:tc>
              <w:tc>
                <w:tcPr>
                  <w:tcW w:w="521" w:type="pct"/>
                  <w:tcBorders>
                    <w:tl2br w:val="nil"/>
                    <w:tr2bl w:val="nil"/>
                  </w:tcBorders>
                  <w:noWrap w:val="0"/>
                  <w:vAlign w:val="center"/>
                </w:tcPr>
                <w:p>
                  <w:pPr>
                    <w:pStyle w:val="51"/>
                    <w:rPr>
                      <w:b w:val="0"/>
                      <w:bCs/>
                      <w:sz w:val="21"/>
                      <w:szCs w:val="21"/>
                    </w:rPr>
                  </w:pPr>
                  <w:r>
                    <w:rPr>
                      <w:b w:val="0"/>
                      <w:bCs/>
                      <w:sz w:val="21"/>
                      <w:szCs w:val="21"/>
                    </w:rPr>
                    <w:t>治理后噪声值dB(A)</w:t>
                  </w:r>
                </w:p>
              </w:tc>
              <w:tc>
                <w:tcPr>
                  <w:tcW w:w="589" w:type="pct"/>
                  <w:tcBorders>
                    <w:tl2br w:val="nil"/>
                    <w:tr2bl w:val="nil"/>
                  </w:tcBorders>
                  <w:noWrap w:val="0"/>
                  <w:vAlign w:val="center"/>
                </w:tcPr>
                <w:p>
                  <w:pPr>
                    <w:pStyle w:val="51"/>
                    <w:rPr>
                      <w:b w:val="0"/>
                      <w:bCs/>
                      <w:sz w:val="21"/>
                      <w:szCs w:val="21"/>
                    </w:rPr>
                  </w:pPr>
                  <w:r>
                    <w:rPr>
                      <w:rFonts w:hint="eastAsia"/>
                      <w:b w:val="0"/>
                      <w:bCs/>
                      <w:sz w:val="21"/>
                      <w:szCs w:val="21"/>
                    </w:rPr>
                    <w:t>距</w:t>
                  </w:r>
                  <w:r>
                    <w:rPr>
                      <w:b w:val="0"/>
                      <w:bCs/>
                      <w:sz w:val="21"/>
                      <w:szCs w:val="21"/>
                    </w:rPr>
                    <w:t>厂界的距离m</w:t>
                  </w:r>
                </w:p>
              </w:tc>
              <w:tc>
                <w:tcPr>
                  <w:tcW w:w="736" w:type="pct"/>
                  <w:tcBorders>
                    <w:tl2br w:val="nil"/>
                    <w:tr2bl w:val="nil"/>
                  </w:tcBorders>
                  <w:noWrap w:val="0"/>
                  <w:vAlign w:val="center"/>
                </w:tcPr>
                <w:p>
                  <w:pPr>
                    <w:pStyle w:val="51"/>
                    <w:rPr>
                      <w:b w:val="0"/>
                      <w:bCs/>
                      <w:sz w:val="21"/>
                      <w:szCs w:val="21"/>
                    </w:rPr>
                  </w:pPr>
                  <w:r>
                    <w:rPr>
                      <w:rFonts w:hint="eastAsia"/>
                      <w:b w:val="0"/>
                      <w:bCs/>
                      <w:sz w:val="21"/>
                      <w:szCs w:val="21"/>
                    </w:rPr>
                    <w:t>贡献值</w:t>
                  </w:r>
                  <w:r>
                    <w:rPr>
                      <w:b w:val="0"/>
                      <w:bCs/>
                      <w:sz w:val="21"/>
                      <w:szCs w:val="21"/>
                    </w:rPr>
                    <w:t>dB(A)</w:t>
                  </w:r>
                </w:p>
              </w:tc>
              <w:tc>
                <w:tcPr>
                  <w:tcW w:w="684" w:type="pct"/>
                  <w:tcBorders>
                    <w:tl2br w:val="nil"/>
                    <w:tr2bl w:val="nil"/>
                  </w:tcBorders>
                  <w:noWrap w:val="0"/>
                  <w:vAlign w:val="center"/>
                </w:tcPr>
                <w:p>
                  <w:pPr>
                    <w:pStyle w:val="51"/>
                    <w:rPr>
                      <w:rFonts w:hint="eastAsia"/>
                      <w:b w:val="0"/>
                      <w:bCs/>
                      <w:sz w:val="21"/>
                      <w:szCs w:val="21"/>
                    </w:rPr>
                  </w:pPr>
                  <w:bookmarkStart w:id="17" w:name="OLE_LINK55"/>
                  <w:r>
                    <w:rPr>
                      <w:rFonts w:hint="eastAsia"/>
                      <w:b w:val="0"/>
                      <w:bCs/>
                      <w:sz w:val="21"/>
                      <w:szCs w:val="21"/>
                      <w:lang w:val="en-US" w:eastAsia="zh-CN"/>
                    </w:rPr>
                    <w:t>贡献值叠加值</w:t>
                  </w:r>
                  <w:r>
                    <w:rPr>
                      <w:b w:val="0"/>
                      <w:bCs/>
                      <w:sz w:val="21"/>
                      <w:szCs w:val="21"/>
                    </w:rPr>
                    <w:t>dB(A)</w:t>
                  </w:r>
                  <w:bookmarkEnd w:id="17"/>
                </w:p>
              </w:tc>
              <w:tc>
                <w:tcPr>
                  <w:tcW w:w="1113" w:type="pct"/>
                  <w:tcBorders>
                    <w:tl2br w:val="nil"/>
                    <w:tr2bl w:val="nil"/>
                  </w:tcBorders>
                  <w:noWrap w:val="0"/>
                  <w:vAlign w:val="center"/>
                </w:tcPr>
                <w:p>
                  <w:pPr>
                    <w:pStyle w:val="51"/>
                    <w:rPr>
                      <w:b w:val="0"/>
                      <w:bCs/>
                      <w:sz w:val="21"/>
                      <w:szCs w:val="21"/>
                    </w:rPr>
                  </w:pPr>
                  <w:r>
                    <w:rPr>
                      <w:rFonts w:hint="eastAsia"/>
                      <w:b w:val="0"/>
                      <w:bCs/>
                      <w:sz w:val="21"/>
                      <w:szCs w:val="21"/>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restar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东厂界</w:t>
                  </w:r>
                </w:p>
              </w:tc>
              <w:tc>
                <w:tcPr>
                  <w:tcW w:w="852" w:type="pc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生产车间</w:t>
                  </w:r>
                </w:p>
              </w:tc>
              <w:tc>
                <w:tcPr>
                  <w:tcW w:w="521"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72.0</w:t>
                  </w:r>
                </w:p>
              </w:tc>
              <w:tc>
                <w:tcPr>
                  <w:tcW w:w="589"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9</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44.9</w:t>
                  </w:r>
                </w:p>
              </w:tc>
              <w:tc>
                <w:tcPr>
                  <w:tcW w:w="684" w:type="pct"/>
                  <w:vMerge w:val="restar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45.0</w:t>
                  </w:r>
                </w:p>
              </w:tc>
              <w:tc>
                <w:tcPr>
                  <w:tcW w:w="1113" w:type="pct"/>
                  <w:vMerge w:val="restart"/>
                  <w:tcBorders>
                    <w:tl2br w:val="nil"/>
                    <w:tr2bl w:val="nil"/>
                  </w:tcBorders>
                  <w:noWrap w:val="0"/>
                  <w:vAlign w:val="center"/>
                </w:tcPr>
                <w:p>
                  <w:pPr>
                    <w:pStyle w:val="52"/>
                    <w:rPr>
                      <w:b w:val="0"/>
                      <w:bCs/>
                      <w:color w:val="000000"/>
                      <w:sz w:val="21"/>
                      <w:szCs w:val="21"/>
                    </w:rPr>
                  </w:pPr>
                  <w:r>
                    <w:rPr>
                      <w:b w:val="0"/>
                      <w:bCs/>
                      <w:color w:val="000000"/>
                      <w:sz w:val="21"/>
                      <w:szCs w:val="21"/>
                    </w:rPr>
                    <w:t>《工业企业厂界环境噪声排放标准》（GB12348-2008）</w:t>
                  </w:r>
                  <w:r>
                    <w:rPr>
                      <w:rFonts w:hint="eastAsia"/>
                      <w:b w:val="0"/>
                      <w:bCs/>
                      <w:color w:val="000000"/>
                      <w:sz w:val="21"/>
                      <w:szCs w:val="21"/>
                      <w:lang w:val="en-US" w:eastAsia="zh-CN"/>
                    </w:rPr>
                    <w:t>2</w:t>
                  </w:r>
                  <w:r>
                    <w:rPr>
                      <w:b w:val="0"/>
                      <w:bCs/>
                      <w:color w:val="000000"/>
                      <w:sz w:val="21"/>
                      <w:szCs w:val="21"/>
                    </w:rPr>
                    <w:t>类标准：昼间6</w:t>
                  </w:r>
                  <w:r>
                    <w:rPr>
                      <w:rFonts w:hint="eastAsia"/>
                      <w:b w:val="0"/>
                      <w:bCs/>
                      <w:color w:val="000000"/>
                      <w:sz w:val="21"/>
                      <w:szCs w:val="21"/>
                      <w:lang w:val="en-US" w:eastAsia="zh-CN"/>
                    </w:rPr>
                    <w:t>0</w:t>
                  </w:r>
                  <w:r>
                    <w:rPr>
                      <w:b w:val="0"/>
                      <w:bCs/>
                      <w:color w:val="000000"/>
                      <w:sz w:val="21"/>
                      <w:szCs w:val="21"/>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bookmarkStart w:id="18" w:name="OLE_LINK13" w:colFirst="1" w:colLast="1"/>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除尘器风机</w:t>
                  </w:r>
                </w:p>
              </w:tc>
              <w:tc>
                <w:tcPr>
                  <w:tcW w:w="521" w:type="pct"/>
                  <w:tcBorders>
                    <w:tl2br w:val="nil"/>
                    <w:tr2bl w:val="nil"/>
                  </w:tcBorders>
                  <w:noWrap w:val="0"/>
                  <w:vAlign w:val="center"/>
                </w:tcPr>
                <w:p>
                  <w:pPr>
                    <w:pStyle w:val="61"/>
                    <w:bidi w:val="0"/>
                    <w:ind w:firstLine="0" w:firstLineChars="0"/>
                    <w:rPr>
                      <w:rFonts w:hint="default"/>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0</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20</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26.0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default"/>
                      <w:b w:val="0"/>
                      <w:bCs/>
                      <w:color w:val="000000"/>
                      <w:sz w:val="21"/>
                      <w:szCs w:val="21"/>
                      <w:lang w:val="en-US"/>
                    </w:rPr>
                  </w:pPr>
                  <w:r>
                    <w:rPr>
                      <w:rFonts w:hint="eastAsia" w:cs="Times New Roman"/>
                      <w:color w:val="auto"/>
                      <w:sz w:val="21"/>
                      <w:szCs w:val="21"/>
                      <w:highlight w:val="none"/>
                      <w:lang w:val="en-US" w:eastAsia="zh-CN"/>
                    </w:rPr>
                    <w:t>废气治理设备风机</w:t>
                  </w:r>
                </w:p>
              </w:tc>
              <w:tc>
                <w:tcPr>
                  <w:tcW w:w="521" w:type="pct"/>
                  <w:tcBorders>
                    <w:tl2br w:val="nil"/>
                    <w:tr2bl w:val="nil"/>
                  </w:tcBorders>
                  <w:noWrap w:val="0"/>
                  <w:vAlign w:val="center"/>
                </w:tcPr>
                <w:p>
                  <w:pPr>
                    <w:pStyle w:val="61"/>
                    <w:bidi w:val="0"/>
                    <w:ind w:firstLine="0" w:firstLineChars="0"/>
                    <w:rPr>
                      <w:rFonts w:hint="default"/>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55</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17.2</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循环水泵</w:t>
                  </w:r>
                </w:p>
              </w:tc>
              <w:tc>
                <w:tcPr>
                  <w:tcW w:w="521" w:type="pct"/>
                  <w:tcBorders>
                    <w:tl2br w:val="nil"/>
                    <w:tr2bl w:val="nil"/>
                  </w:tcBorders>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46.5</w:t>
                  </w:r>
                </w:p>
              </w:tc>
              <w:tc>
                <w:tcPr>
                  <w:tcW w:w="736" w:type="pct"/>
                  <w:tcBorders>
                    <w:tl2br w:val="nil"/>
                    <w:tr2bl w:val="nil"/>
                  </w:tcBorders>
                  <w:noWrap w:val="0"/>
                  <w:vAlign w:val="center"/>
                </w:tcPr>
                <w:p>
                  <w:pPr>
                    <w:pStyle w:val="52"/>
                    <w:rPr>
                      <w:rFonts w:hint="default" w:cs="Times New Roman"/>
                      <w:b w:val="0"/>
                      <w:bCs/>
                      <w:color w:val="000000"/>
                      <w:sz w:val="21"/>
                      <w:szCs w:val="21"/>
                      <w:lang w:val="en-US" w:eastAsia="zh-CN"/>
                    </w:rPr>
                  </w:pPr>
                  <w:r>
                    <w:rPr>
                      <w:rFonts w:hint="eastAsia" w:cs="Times New Roman"/>
                      <w:b w:val="0"/>
                      <w:bCs/>
                      <w:color w:val="000000"/>
                      <w:sz w:val="21"/>
                      <w:szCs w:val="21"/>
                      <w:lang w:val="en-US" w:eastAsia="zh-CN"/>
                    </w:rPr>
                    <w:t>18.7</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bookmarkEnd w:id="18"/>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restar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南厂界</w:t>
                  </w:r>
                </w:p>
              </w:tc>
              <w:tc>
                <w:tcPr>
                  <w:tcW w:w="852" w:type="pc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生产车间</w:t>
                  </w:r>
                </w:p>
              </w:tc>
              <w:tc>
                <w:tcPr>
                  <w:tcW w:w="521"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72.0</w:t>
                  </w:r>
                </w:p>
              </w:tc>
              <w:tc>
                <w:tcPr>
                  <w:tcW w:w="589"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82</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25.7</w:t>
                  </w:r>
                </w:p>
              </w:tc>
              <w:tc>
                <w:tcPr>
                  <w:tcW w:w="684" w:type="pct"/>
                  <w:vMerge w:val="restar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27.1</w:t>
                  </w: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除尘器风机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0</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78</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14.2</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废气治理设备风机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74</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19.6</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循环水泵</w:t>
                  </w:r>
                </w:p>
              </w:tc>
              <w:tc>
                <w:tcPr>
                  <w:tcW w:w="521" w:type="pct"/>
                  <w:tcBorders>
                    <w:tl2br w:val="nil"/>
                    <w:tr2bl w:val="nil"/>
                  </w:tcBorders>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73</w:t>
                  </w:r>
                </w:p>
              </w:tc>
              <w:tc>
                <w:tcPr>
                  <w:tcW w:w="736" w:type="pct"/>
                  <w:tcBorders>
                    <w:tl2br w:val="nil"/>
                    <w:tr2bl w:val="nil"/>
                  </w:tcBorders>
                  <w:noWrap w:val="0"/>
                  <w:vAlign w:val="center"/>
                </w:tcPr>
                <w:p>
                  <w:pPr>
                    <w:pStyle w:val="52"/>
                    <w:rPr>
                      <w:rFonts w:hint="default" w:cs="Times New Roman"/>
                      <w:b w:val="0"/>
                      <w:bCs/>
                      <w:color w:val="000000"/>
                      <w:sz w:val="21"/>
                      <w:szCs w:val="21"/>
                      <w:lang w:val="en-US" w:eastAsia="zh-CN"/>
                    </w:rPr>
                  </w:pPr>
                  <w:r>
                    <w:rPr>
                      <w:rFonts w:hint="eastAsia" w:cs="Times New Roman"/>
                      <w:b w:val="0"/>
                      <w:bCs/>
                      <w:color w:val="000000"/>
                      <w:sz w:val="21"/>
                      <w:szCs w:val="21"/>
                      <w:lang w:val="en-US" w:eastAsia="zh-CN"/>
                    </w:rPr>
                    <w:t>14.7</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restar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西厂界</w:t>
                  </w:r>
                </w:p>
              </w:tc>
              <w:tc>
                <w:tcPr>
                  <w:tcW w:w="852" w:type="pc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生产车间</w:t>
                  </w:r>
                </w:p>
              </w:tc>
              <w:tc>
                <w:tcPr>
                  <w:tcW w:w="521"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72.0</w:t>
                  </w:r>
                </w:p>
              </w:tc>
              <w:tc>
                <w:tcPr>
                  <w:tcW w:w="589"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63</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28.0</w:t>
                  </w:r>
                </w:p>
              </w:tc>
              <w:tc>
                <w:tcPr>
                  <w:tcW w:w="684" w:type="pct"/>
                  <w:vMerge w:val="restar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38.5</w:t>
                  </w: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除尘器风机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0</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51</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17.8</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废气治理设备风机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71</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20.0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循环水泵</w:t>
                  </w:r>
                </w:p>
              </w:tc>
              <w:tc>
                <w:tcPr>
                  <w:tcW w:w="521" w:type="pct"/>
                  <w:tcBorders>
                    <w:tl2br w:val="nil"/>
                    <w:tr2bl w:val="nil"/>
                  </w:tcBorders>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589" w:type="pct"/>
                  <w:tcBorders>
                    <w:tl2br w:val="nil"/>
                    <w:tr2bl w:val="nil"/>
                  </w:tcBorders>
                  <w:noWrap w:val="0"/>
                  <w:vAlign w:val="center"/>
                </w:tcPr>
                <w:p>
                  <w:pPr>
                    <w:pStyle w:val="52"/>
                    <w:rPr>
                      <w:rFonts w:hint="default"/>
                      <w:b w:val="0"/>
                      <w:bCs/>
                      <w:sz w:val="21"/>
                      <w:szCs w:val="21"/>
                      <w:lang w:val="en-US" w:eastAsia="zh-CN"/>
                    </w:rPr>
                  </w:pPr>
                  <w:r>
                    <w:rPr>
                      <w:rFonts w:hint="eastAsia"/>
                      <w:b w:val="0"/>
                      <w:bCs/>
                      <w:sz w:val="21"/>
                      <w:szCs w:val="21"/>
                      <w:lang w:val="en-US" w:eastAsia="zh-CN"/>
                    </w:rPr>
                    <w:t>5</w:t>
                  </w:r>
                </w:p>
              </w:tc>
              <w:tc>
                <w:tcPr>
                  <w:tcW w:w="736" w:type="pct"/>
                  <w:tcBorders>
                    <w:tl2br w:val="nil"/>
                    <w:tr2bl w:val="nil"/>
                  </w:tcBorders>
                  <w:noWrap w:val="0"/>
                  <w:vAlign w:val="center"/>
                </w:tcPr>
                <w:p>
                  <w:pPr>
                    <w:pStyle w:val="52"/>
                    <w:rPr>
                      <w:rFonts w:hint="default" w:cs="Times New Roman"/>
                      <w:b w:val="0"/>
                      <w:bCs/>
                      <w:color w:val="000000"/>
                      <w:sz w:val="21"/>
                      <w:szCs w:val="21"/>
                      <w:lang w:val="en-US" w:eastAsia="zh-CN"/>
                    </w:rPr>
                  </w:pPr>
                  <w:r>
                    <w:rPr>
                      <w:rFonts w:hint="eastAsia" w:cs="Times New Roman"/>
                      <w:b w:val="0"/>
                      <w:bCs/>
                      <w:color w:val="000000"/>
                      <w:sz w:val="21"/>
                      <w:szCs w:val="21"/>
                      <w:lang w:val="en-US" w:eastAsia="zh-CN"/>
                    </w:rPr>
                    <w:t>38.0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restar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北厂界</w:t>
                  </w:r>
                </w:p>
              </w:tc>
              <w:tc>
                <w:tcPr>
                  <w:tcW w:w="852" w:type="pct"/>
                  <w:tcBorders>
                    <w:tl2br w:val="nil"/>
                    <w:tr2bl w:val="nil"/>
                  </w:tcBorders>
                  <w:noWrap w:val="0"/>
                  <w:vAlign w:val="center"/>
                </w:tcPr>
                <w:p>
                  <w:pPr>
                    <w:pStyle w:val="52"/>
                    <w:rPr>
                      <w:b w:val="0"/>
                      <w:bCs/>
                      <w:color w:val="000000"/>
                      <w:sz w:val="21"/>
                      <w:szCs w:val="21"/>
                    </w:rPr>
                  </w:pPr>
                  <w:r>
                    <w:rPr>
                      <w:rFonts w:hint="eastAsia"/>
                      <w:b w:val="0"/>
                      <w:bCs/>
                      <w:color w:val="000000"/>
                      <w:sz w:val="21"/>
                      <w:szCs w:val="21"/>
                    </w:rPr>
                    <w:t>生产车间</w:t>
                  </w:r>
                </w:p>
              </w:tc>
              <w:tc>
                <w:tcPr>
                  <w:tcW w:w="521"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72.0</w:t>
                  </w:r>
                </w:p>
              </w:tc>
              <w:tc>
                <w:tcPr>
                  <w:tcW w:w="589" w:type="pc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7</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47.1</w:t>
                  </w:r>
                </w:p>
              </w:tc>
              <w:tc>
                <w:tcPr>
                  <w:tcW w:w="684" w:type="pct"/>
                  <w:vMerge w:val="restart"/>
                  <w:tcBorders>
                    <w:tl2br w:val="nil"/>
                    <w:tr2bl w:val="nil"/>
                  </w:tcBorders>
                  <w:noWrap w:val="0"/>
                  <w:vAlign w:val="center"/>
                </w:tcPr>
                <w:p>
                  <w:pPr>
                    <w:pStyle w:val="52"/>
                    <w:rPr>
                      <w:rFonts w:hint="default" w:eastAsia="宋体"/>
                      <w:b w:val="0"/>
                      <w:bCs/>
                      <w:color w:val="000000"/>
                      <w:sz w:val="21"/>
                      <w:szCs w:val="21"/>
                      <w:lang w:val="en-US" w:eastAsia="zh-CN"/>
                    </w:rPr>
                  </w:pPr>
                  <w:r>
                    <w:rPr>
                      <w:rFonts w:hint="eastAsia"/>
                      <w:b w:val="0"/>
                      <w:bCs/>
                      <w:color w:val="000000"/>
                      <w:sz w:val="21"/>
                      <w:szCs w:val="21"/>
                      <w:lang w:val="en-US" w:eastAsia="zh-CN"/>
                    </w:rPr>
                    <w:t>47.7</w:t>
                  </w: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除尘器风机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0</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10</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32.0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eastAsia"/>
                      <w:b w:val="0"/>
                      <w:bCs/>
                      <w:color w:val="000000"/>
                      <w:sz w:val="21"/>
                      <w:szCs w:val="21"/>
                    </w:rPr>
                  </w:pPr>
                  <w:r>
                    <w:rPr>
                      <w:rFonts w:hint="eastAsia" w:cs="Times New Roman"/>
                      <w:color w:val="auto"/>
                      <w:sz w:val="21"/>
                      <w:szCs w:val="21"/>
                      <w:highlight w:val="none"/>
                      <w:lang w:val="en-US" w:eastAsia="zh-CN"/>
                    </w:rPr>
                    <w:t>废气治理设备风机</w:t>
                  </w:r>
                </w:p>
              </w:tc>
              <w:tc>
                <w:tcPr>
                  <w:tcW w:w="521" w:type="pct"/>
                  <w:tcBorders>
                    <w:tl2br w:val="nil"/>
                    <w:tr2bl w:val="nil"/>
                  </w:tcBorders>
                  <w:noWrap w:val="0"/>
                  <w:vAlign w:val="center"/>
                </w:tcPr>
                <w:p>
                  <w:pPr>
                    <w:pStyle w:val="61"/>
                    <w:bidi w:val="0"/>
                    <w:ind w:firstLine="0" w:firstLineChars="0"/>
                    <w:rPr>
                      <w:rFonts w:hint="eastAsia"/>
                      <w:b w:val="0"/>
                      <w:bCs/>
                      <w:color w:val="000000"/>
                      <w:sz w:val="21"/>
                      <w:szCs w:val="21"/>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cs="Times New Roman"/>
                      <w:color w:val="auto"/>
                      <w:sz w:val="21"/>
                      <w:szCs w:val="21"/>
                      <w:highlight w:val="none"/>
                      <w:lang w:val="en-US" w:eastAsia="zh-CN"/>
                    </w:rPr>
                    <w:t>5</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10</w:t>
                  </w:r>
                </w:p>
              </w:tc>
              <w:tc>
                <w:tcPr>
                  <w:tcW w:w="736" w:type="pct"/>
                  <w:tcBorders>
                    <w:tl2br w:val="nil"/>
                    <w:tr2bl w:val="nil"/>
                  </w:tcBorders>
                  <w:noWrap w:val="0"/>
                  <w:vAlign w:val="center"/>
                </w:tcPr>
                <w:p>
                  <w:pPr>
                    <w:pStyle w:val="52"/>
                    <w:rPr>
                      <w:rFonts w:hint="default" w:ascii="Times New Roman" w:hAnsi="Times New Roman" w:eastAsia="宋体" w:cs="Times New Roman"/>
                      <w:b w:val="0"/>
                      <w:bCs/>
                      <w:color w:val="000000"/>
                      <w:sz w:val="21"/>
                      <w:szCs w:val="21"/>
                      <w:lang w:val="en-US" w:eastAsia="zh-CN"/>
                    </w:rPr>
                  </w:pPr>
                  <w:r>
                    <w:rPr>
                      <w:rFonts w:hint="eastAsia" w:cs="Times New Roman"/>
                      <w:b w:val="0"/>
                      <w:bCs/>
                      <w:color w:val="000000"/>
                      <w:sz w:val="21"/>
                      <w:szCs w:val="21"/>
                      <w:lang w:val="en-US" w:eastAsia="zh-CN"/>
                    </w:rPr>
                    <w:t>37.0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1" w:type="pct"/>
                  <w:vMerge w:val="continue"/>
                  <w:tcBorders>
                    <w:tl2br w:val="nil"/>
                    <w:tr2bl w:val="nil"/>
                  </w:tcBorders>
                  <w:noWrap w:val="0"/>
                  <w:vAlign w:val="center"/>
                </w:tcPr>
                <w:p>
                  <w:pPr>
                    <w:pStyle w:val="52"/>
                    <w:rPr>
                      <w:rFonts w:hint="eastAsia"/>
                      <w:b w:val="0"/>
                      <w:bCs/>
                      <w:color w:val="000000"/>
                      <w:sz w:val="21"/>
                      <w:szCs w:val="21"/>
                    </w:rPr>
                  </w:pPr>
                </w:p>
              </w:tc>
              <w:tc>
                <w:tcPr>
                  <w:tcW w:w="852" w:type="pct"/>
                  <w:tcBorders>
                    <w:tl2br w:val="nil"/>
                    <w:tr2bl w:val="nil"/>
                  </w:tcBorders>
                  <w:noWrap w:val="0"/>
                  <w:vAlign w:val="center"/>
                </w:tcPr>
                <w:p>
                  <w:pPr>
                    <w:pStyle w:val="61"/>
                    <w:bidi w:val="0"/>
                    <w:ind w:firstLine="0" w:firstLine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循环水泵</w:t>
                  </w:r>
                </w:p>
              </w:tc>
              <w:tc>
                <w:tcPr>
                  <w:tcW w:w="521" w:type="pct"/>
                  <w:tcBorders>
                    <w:tl2br w:val="nil"/>
                    <w:tr2bl w:val="nil"/>
                  </w:tcBorders>
                  <w:noWrap w:val="0"/>
                  <w:vAlign w:val="center"/>
                </w:tcPr>
                <w:p>
                  <w:pPr>
                    <w:pStyle w:val="61"/>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589" w:type="pct"/>
                  <w:tcBorders>
                    <w:tl2br w:val="nil"/>
                    <w:tr2bl w:val="nil"/>
                  </w:tcBorders>
                  <w:noWrap w:val="0"/>
                  <w:vAlign w:val="center"/>
                </w:tcPr>
                <w:p>
                  <w:pPr>
                    <w:pStyle w:val="52"/>
                    <w:rPr>
                      <w:rFonts w:hint="default"/>
                      <w:b w:val="0"/>
                      <w:bCs/>
                      <w:color w:val="000000"/>
                      <w:sz w:val="21"/>
                      <w:szCs w:val="21"/>
                      <w:lang w:val="en-US" w:eastAsia="zh-CN"/>
                    </w:rPr>
                  </w:pPr>
                  <w:r>
                    <w:rPr>
                      <w:rFonts w:hint="eastAsia"/>
                      <w:b w:val="0"/>
                      <w:bCs/>
                      <w:color w:val="000000"/>
                      <w:sz w:val="21"/>
                      <w:szCs w:val="21"/>
                      <w:lang w:val="en-US" w:eastAsia="zh-CN"/>
                    </w:rPr>
                    <w:t>10</w:t>
                  </w:r>
                </w:p>
              </w:tc>
              <w:tc>
                <w:tcPr>
                  <w:tcW w:w="736" w:type="pct"/>
                  <w:tcBorders>
                    <w:tl2br w:val="nil"/>
                    <w:tr2bl w:val="nil"/>
                  </w:tcBorders>
                  <w:noWrap w:val="0"/>
                  <w:vAlign w:val="center"/>
                </w:tcPr>
                <w:p>
                  <w:pPr>
                    <w:pStyle w:val="52"/>
                    <w:rPr>
                      <w:rFonts w:hint="default" w:cs="Times New Roman"/>
                      <w:b w:val="0"/>
                      <w:bCs/>
                      <w:color w:val="000000"/>
                      <w:sz w:val="21"/>
                      <w:szCs w:val="21"/>
                      <w:lang w:val="en-US" w:eastAsia="zh-CN"/>
                    </w:rPr>
                  </w:pPr>
                  <w:r>
                    <w:rPr>
                      <w:rFonts w:hint="eastAsia" w:cs="Times New Roman"/>
                      <w:b w:val="0"/>
                      <w:bCs/>
                      <w:color w:val="000000"/>
                      <w:sz w:val="21"/>
                      <w:szCs w:val="21"/>
                      <w:lang w:val="en-US" w:eastAsia="zh-CN"/>
                    </w:rPr>
                    <w:t>32.0</w:t>
                  </w:r>
                </w:p>
              </w:tc>
              <w:tc>
                <w:tcPr>
                  <w:tcW w:w="684" w:type="pct"/>
                  <w:vMerge w:val="continue"/>
                  <w:tcBorders>
                    <w:tl2br w:val="nil"/>
                    <w:tr2bl w:val="nil"/>
                  </w:tcBorders>
                  <w:noWrap w:val="0"/>
                  <w:vAlign w:val="center"/>
                </w:tcPr>
                <w:p>
                  <w:pPr>
                    <w:pStyle w:val="52"/>
                    <w:rPr>
                      <w:b w:val="0"/>
                      <w:bCs/>
                      <w:color w:val="000000"/>
                      <w:sz w:val="21"/>
                      <w:szCs w:val="21"/>
                    </w:rPr>
                  </w:pPr>
                </w:p>
              </w:tc>
              <w:tc>
                <w:tcPr>
                  <w:tcW w:w="1113" w:type="pct"/>
                  <w:vMerge w:val="continue"/>
                  <w:tcBorders>
                    <w:tl2br w:val="nil"/>
                    <w:tr2bl w:val="nil"/>
                  </w:tcBorders>
                  <w:noWrap w:val="0"/>
                  <w:vAlign w:val="center"/>
                </w:tcPr>
                <w:p>
                  <w:pPr>
                    <w:pStyle w:val="52"/>
                    <w:rPr>
                      <w:b w:val="0"/>
                      <w:bCs/>
                      <w:color w:val="000000"/>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eastAsia="宋体"/>
                <w:color w:val="auto"/>
                <w:sz w:val="24"/>
                <w:szCs w:val="24"/>
                <w:lang w:val="en-US" w:eastAsia="zh-CN"/>
              </w:rPr>
            </w:pPr>
            <w:r>
              <w:rPr>
                <w:rFonts w:hint="default"/>
                <w:color w:val="auto"/>
                <w:sz w:val="24"/>
                <w:szCs w:val="24"/>
              </w:rPr>
              <w:t>由上表预测结果可知，项目生产噪声对厂界噪声贡献值可以满足《工业企业厂界环境噪声排放标准》（GB12348-2008）2类区昼间60dB（A）标准要求，项目对区域声环境影响较小</w:t>
            </w:r>
            <w:r>
              <w:rPr>
                <w:rFonts w:hint="eastAsia"/>
                <w:color w:val="auto"/>
                <w:sz w:val="24"/>
                <w:szCs w:val="24"/>
                <w:lang w:eastAsia="zh-CN"/>
              </w:rPr>
              <w:t>。</w:t>
            </w:r>
            <w:r>
              <w:rPr>
                <w:rFonts w:hint="eastAsia"/>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color w:val="auto"/>
                <w:sz w:val="24"/>
                <w:highlight w:val="none"/>
              </w:rPr>
              <w:t>根据《排污单位自行监测技术指南  总则》（HJ 1084-2020）的规定，评价提出项目在生产运行阶段的污染源监测计划，具体监测计划见下表。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表</w:t>
            </w:r>
            <w:r>
              <w:rPr>
                <w:rFonts w:hint="eastAsia" w:cs="Times New Roman"/>
                <w:b w:val="0"/>
                <w:bCs w:val="0"/>
                <w:color w:val="auto"/>
                <w:sz w:val="21"/>
                <w:szCs w:val="21"/>
                <w:highlight w:val="none"/>
                <w:lang w:val="en-US" w:eastAsia="zh-CN"/>
              </w:rPr>
              <w:t xml:space="preserve">31 </w:t>
            </w:r>
            <w:r>
              <w:rPr>
                <w:rFonts w:hint="default" w:ascii="Times New Roman" w:hAnsi="Times New Roman" w:eastAsia="宋体" w:cs="Times New Roman"/>
                <w:b w:val="0"/>
                <w:bCs w:val="0"/>
                <w:color w:val="auto"/>
                <w:sz w:val="21"/>
                <w:szCs w:val="21"/>
                <w:highlight w:val="none"/>
                <w:lang w:val="en-US" w:eastAsia="zh-CN"/>
              </w:rPr>
              <w:t xml:space="preserve">     项目噪声监测方案</w:t>
            </w:r>
          </w:p>
          <w:tbl>
            <w:tblPr>
              <w:tblStyle w:val="23"/>
              <w:tblW w:w="4998"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587"/>
              <w:gridCol w:w="1205"/>
              <w:gridCol w:w="1223"/>
              <w:gridCol w:w="1167"/>
              <w:gridCol w:w="275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trPr>
              <w:tc>
                <w:tcPr>
                  <w:tcW w:w="1000"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监测点</w:t>
                  </w:r>
                </w:p>
              </w:tc>
              <w:tc>
                <w:tcPr>
                  <w:tcW w:w="75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监测指标</w:t>
                  </w:r>
                </w:p>
              </w:tc>
              <w:tc>
                <w:tcPr>
                  <w:tcW w:w="770"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监测项目</w:t>
                  </w:r>
                </w:p>
              </w:tc>
              <w:tc>
                <w:tcPr>
                  <w:tcW w:w="735"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监测频次</w:t>
                  </w:r>
                </w:p>
              </w:tc>
              <w:tc>
                <w:tcPr>
                  <w:tcW w:w="1733"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trPr>
              <w:tc>
                <w:tcPr>
                  <w:tcW w:w="1000"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北各布设 1 个监测点</w:t>
                  </w:r>
                </w:p>
              </w:tc>
              <w:tc>
                <w:tcPr>
                  <w:tcW w:w="759"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昼间噪声</w:t>
                  </w:r>
                </w:p>
              </w:tc>
              <w:tc>
                <w:tcPr>
                  <w:tcW w:w="770"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等效A声级</w:t>
                  </w:r>
                </w:p>
              </w:tc>
              <w:tc>
                <w:tcPr>
                  <w:tcW w:w="735"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每个季度一次</w:t>
                  </w:r>
                </w:p>
              </w:tc>
              <w:tc>
                <w:tcPr>
                  <w:tcW w:w="1733" w:type="pc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《工业企业厂界环境噪声排放标准》(GB12348-2008)2类标准</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kern w:val="0"/>
                <w:sz w:val="24"/>
                <w:highlight w:val="none"/>
              </w:rPr>
            </w:pPr>
            <w:r>
              <w:rPr>
                <w:rFonts w:hint="default" w:ascii="Times New Roman" w:hAnsi="Times New Roman" w:eastAsia="宋体" w:cs="Times New Roman"/>
                <w:b/>
                <w:kern w:val="0"/>
                <w:sz w:val="24"/>
                <w:highlight w:val="none"/>
              </w:rPr>
              <w:t>（四）固体废物环境影响分析</w:t>
            </w:r>
          </w:p>
          <w:p>
            <w:pPr>
              <w:pageBreakBefore w:val="0"/>
              <w:kinsoku/>
              <w:overflowPunct/>
              <w:topLinePunct w:val="0"/>
              <w:bidi w:val="0"/>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eastAsia" w:ascii="Times New Roman" w:hAnsi="Times New Roman" w:eastAsia="宋体" w:cs="Times New Roman"/>
                <w:color w:val="000000"/>
                <w:sz w:val="24"/>
                <w:highlight w:val="none"/>
                <w:lang w:val="en-US" w:eastAsia="zh-CN"/>
              </w:rPr>
              <w:t>本</w:t>
            </w:r>
            <w:r>
              <w:rPr>
                <w:rFonts w:hint="default" w:ascii="Times New Roman" w:hAnsi="Times New Roman" w:eastAsia="宋体" w:cs="Times New Roman"/>
                <w:color w:val="000000"/>
                <w:sz w:val="24"/>
                <w:highlight w:val="none"/>
              </w:rPr>
              <w:t>项目生产过程中产生的</w:t>
            </w:r>
            <w:r>
              <w:rPr>
                <w:rFonts w:hint="default" w:ascii="Times New Roman" w:hAnsi="Times New Roman" w:eastAsia="宋体" w:cs="Times New Roman"/>
                <w:color w:val="000000"/>
                <w:sz w:val="24"/>
                <w:highlight w:val="none"/>
                <w:lang w:val="en-US" w:eastAsia="zh-CN"/>
              </w:rPr>
              <w:t>固废包括一般固体废物和危险废物，</w:t>
            </w:r>
            <w:r>
              <w:rPr>
                <w:rFonts w:hint="default" w:ascii="Times New Roman" w:hAnsi="Times New Roman" w:eastAsia="宋体" w:cs="Times New Roman"/>
                <w:color w:val="000000"/>
                <w:sz w:val="24"/>
                <w:highlight w:val="none"/>
              </w:rPr>
              <w:t>一般固体废物主要是</w:t>
            </w:r>
            <w:r>
              <w:rPr>
                <w:rFonts w:hint="default" w:ascii="Times New Roman" w:hAnsi="Times New Roman" w:eastAsia="宋体" w:cs="Times New Roman"/>
                <w:color w:val="000000"/>
                <w:sz w:val="24"/>
                <w:highlight w:val="none"/>
                <w:lang w:eastAsia="zh-CN"/>
              </w:rPr>
              <w:t>生产过程中</w:t>
            </w:r>
            <w:r>
              <w:rPr>
                <w:rFonts w:hint="default" w:ascii="Times New Roman" w:hAnsi="Times New Roman" w:eastAsia="宋体" w:cs="Times New Roman"/>
                <w:color w:val="000000"/>
                <w:sz w:val="24"/>
                <w:highlight w:val="none"/>
              </w:rPr>
              <w:t>产生的</w:t>
            </w:r>
            <w:r>
              <w:rPr>
                <w:rFonts w:hint="eastAsia"/>
                <w:sz w:val="24"/>
                <w:szCs w:val="24"/>
                <w:lang w:val="en-US" w:eastAsia="zh-CN"/>
              </w:rPr>
              <w:t>废边角料、</w:t>
            </w:r>
            <w:r>
              <w:rPr>
                <w:rFonts w:hint="default" w:ascii="Times New Roman" w:hAnsi="Times New Roman" w:eastAsia="宋体" w:cs="Times New Roman"/>
                <w:color w:val="000000"/>
                <w:sz w:val="24"/>
                <w:highlight w:val="none"/>
                <w:lang w:val="en-US" w:eastAsia="zh-CN"/>
              </w:rPr>
              <w:t>不合格产品、</w:t>
            </w:r>
            <w:r>
              <w:rPr>
                <w:rFonts w:hint="eastAsia" w:cs="Times New Roman"/>
                <w:color w:val="000000"/>
                <w:sz w:val="24"/>
                <w:highlight w:val="none"/>
                <w:lang w:val="en-US" w:eastAsia="zh-CN"/>
              </w:rPr>
              <w:t>袋式除尘器</w:t>
            </w:r>
            <w:r>
              <w:rPr>
                <w:rFonts w:hint="default" w:ascii="Times New Roman" w:hAnsi="Times New Roman" w:eastAsia="宋体" w:cs="Times New Roman"/>
                <w:color w:val="000000"/>
                <w:sz w:val="24"/>
                <w:highlight w:val="none"/>
                <w:lang w:val="en-US" w:eastAsia="zh-CN"/>
              </w:rPr>
              <w:t>收集粉尘、废包装袋</w:t>
            </w:r>
            <w:r>
              <w:rPr>
                <w:rFonts w:hint="eastAsia" w:ascii="Times New Roman" w:hAnsi="Times New Roman" w:eastAsia="宋体" w:cs="Times New Roman"/>
                <w:color w:val="000000"/>
                <w:sz w:val="24"/>
                <w:highlight w:val="none"/>
                <w:lang w:val="en-US" w:eastAsia="zh-CN"/>
              </w:rPr>
              <w:t>、废催化剂</w:t>
            </w:r>
            <w:r>
              <w:rPr>
                <w:rFonts w:hint="default" w:ascii="Times New Roman" w:hAnsi="Times New Roman" w:eastAsia="宋体" w:cs="Times New Roman"/>
                <w:color w:val="000000"/>
                <w:sz w:val="24"/>
                <w:highlight w:val="none"/>
                <w:lang w:val="en-US" w:eastAsia="zh-CN"/>
              </w:rPr>
              <w:t>；危险废物主要为废气处理过程产生的废活性炭</w:t>
            </w:r>
            <w:r>
              <w:rPr>
                <w:rFonts w:hint="eastAsia" w:ascii="Times New Roman" w:hAnsi="Times New Roman" w:eastAsia="宋体" w:cs="Times New Roman"/>
                <w:color w:val="000000"/>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b/>
                <w:bCs/>
                <w:sz w:val="24"/>
                <w:szCs w:val="24"/>
              </w:rPr>
            </w:pPr>
            <w:r>
              <w:rPr>
                <w:rFonts w:hint="eastAsia" w:cs="Times New Roman"/>
                <w:b/>
                <w:bCs/>
                <w:color w:val="000000"/>
                <w:sz w:val="24"/>
                <w:szCs w:val="24"/>
                <w:highlight w:val="none"/>
                <w:lang w:val="en-US" w:eastAsia="zh-CN"/>
              </w:rPr>
              <w:t>1、</w:t>
            </w:r>
            <w:r>
              <w:rPr>
                <w:rFonts w:hint="default" w:ascii="Times New Roman" w:hAnsi="Times New Roman" w:eastAsia="宋体" w:cs="Times New Roman"/>
                <w:b/>
                <w:bCs/>
                <w:color w:val="000000"/>
                <w:sz w:val="24"/>
                <w:szCs w:val="24"/>
                <w:highlight w:val="none"/>
              </w:rPr>
              <w:t>一般固体废物</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eastAsia"/>
                <w:lang w:eastAsia="zh-CN"/>
              </w:rPr>
              <w:t>本项目需设置防渗漏防扬散防流失</w:t>
            </w:r>
            <w:r>
              <w:rPr>
                <w:rFonts w:hint="eastAsia"/>
                <w:lang w:val="en-US" w:eastAsia="zh-CN"/>
              </w:rPr>
              <w:t>的一般固废暂存处10m</w:t>
            </w:r>
            <w:r>
              <w:rPr>
                <w:rFonts w:hint="eastAsia"/>
                <w:vertAlign w:val="superscript"/>
                <w:lang w:val="en-US" w:eastAsia="zh-CN"/>
              </w:rPr>
              <w:t>2</w:t>
            </w:r>
            <w:r>
              <w:rPr>
                <w:rFonts w:hint="eastAsia"/>
                <w:lang w:val="en-US" w:eastAsia="zh-CN"/>
              </w:rPr>
              <w:t>。</w:t>
            </w:r>
          </w:p>
          <w:p>
            <w:pPr>
              <w:pageBreakBefore w:val="0"/>
              <w:kinsoku/>
              <w:overflowPunct/>
              <w:topLinePunct w:val="0"/>
              <w:bidi w:val="0"/>
              <w:spacing w:line="360" w:lineRule="auto"/>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①</w:t>
            </w:r>
            <w:r>
              <w:rPr>
                <w:rFonts w:hint="eastAsia" w:cs="Times New Roman"/>
                <w:sz w:val="24"/>
                <w:highlight w:val="none"/>
                <w:lang w:val="en-US" w:eastAsia="zh-CN"/>
              </w:rPr>
              <w:t>废边角料、</w:t>
            </w:r>
            <w:r>
              <w:rPr>
                <w:rFonts w:hint="default" w:ascii="Times New Roman" w:hAnsi="Times New Roman" w:eastAsia="宋体" w:cs="Times New Roman"/>
                <w:sz w:val="24"/>
                <w:highlight w:val="none"/>
              </w:rPr>
              <w:t>不合格产品</w:t>
            </w:r>
          </w:p>
          <w:p>
            <w:pPr>
              <w:pageBreakBefore w:val="0"/>
              <w:kinsoku/>
              <w:overflowPunct/>
              <w:topLinePunct w:val="0"/>
              <w:bidi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本项目在</w:t>
            </w:r>
            <w:r>
              <w:rPr>
                <w:rFonts w:hint="default" w:ascii="Times New Roman" w:hAnsi="Times New Roman" w:eastAsia="宋体" w:cs="Times New Roman"/>
                <w:sz w:val="24"/>
                <w:szCs w:val="24"/>
                <w:highlight w:val="none"/>
                <w:lang w:val="en-US" w:eastAsia="zh-CN"/>
              </w:rPr>
              <w:t>生产过程中，会出现不合格产品，在修边工序中会产生废边角料，根据《一般固体废物分类与代码》（GB/T39198-2020），废物代码为：292-001-06</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根据企业提供资料</w:t>
            </w:r>
            <w:r>
              <w:rPr>
                <w:rFonts w:hint="default" w:ascii="Times New Roman" w:hAnsi="Times New Roman" w:eastAsia="宋体" w:cs="Times New Roman"/>
                <w:bCs/>
                <w:sz w:val="24"/>
                <w:szCs w:val="24"/>
                <w:highlight w:val="none"/>
              </w:rPr>
              <w:t>，</w:t>
            </w:r>
            <w:r>
              <w:rPr>
                <w:rFonts w:hint="default" w:ascii="Times New Roman" w:hAnsi="Times New Roman" w:eastAsia="宋体" w:cs="Times New Roman"/>
                <w:bCs/>
                <w:sz w:val="24"/>
                <w:szCs w:val="24"/>
                <w:highlight w:val="none"/>
                <w:lang w:val="en-US" w:eastAsia="zh-CN"/>
              </w:rPr>
              <w:t>本项目</w:t>
            </w:r>
            <w:r>
              <w:rPr>
                <w:rFonts w:hint="default" w:ascii="Times New Roman" w:hAnsi="Times New Roman" w:eastAsia="宋体" w:cs="Times New Roman"/>
                <w:sz w:val="24"/>
                <w:szCs w:val="24"/>
                <w:lang w:val="en-US" w:eastAsia="zh-CN"/>
              </w:rPr>
              <w:t>废边角料和</w:t>
            </w:r>
            <w:r>
              <w:rPr>
                <w:rFonts w:hint="default" w:ascii="Times New Roman" w:hAnsi="Times New Roman" w:eastAsia="宋体" w:cs="Times New Roman"/>
                <w:sz w:val="24"/>
                <w:szCs w:val="24"/>
                <w:highlight w:val="none"/>
                <w:lang w:val="en-US" w:eastAsia="zh-CN"/>
              </w:rPr>
              <w:t>不合格产量为</w:t>
            </w:r>
            <w:r>
              <w:rPr>
                <w:rFonts w:hint="eastAsia" w:cs="Times New Roman"/>
                <w:sz w:val="24"/>
                <w:szCs w:val="24"/>
                <w:highlight w:val="none"/>
                <w:lang w:val="en-US" w:eastAsia="zh-CN"/>
              </w:rPr>
              <w:t>75</w:t>
            </w:r>
            <w:r>
              <w:rPr>
                <w:rFonts w:hint="default" w:ascii="Times New Roman" w:hAnsi="Times New Roman" w:eastAsia="宋体" w:cs="Times New Roman"/>
                <w:sz w:val="24"/>
                <w:szCs w:val="24"/>
                <w:highlight w:val="none"/>
                <w:lang w:val="en-US" w:eastAsia="zh-CN"/>
              </w:rPr>
              <w:t>t/a</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利用破碎机破碎后，回用于生产</w:t>
            </w:r>
            <w:r>
              <w:rPr>
                <w:rFonts w:hint="default" w:ascii="Times New Roman" w:hAnsi="Times New Roman" w:eastAsia="宋体" w:cs="Times New Roman"/>
                <w:color w:val="auto"/>
                <w:sz w:val="24"/>
                <w:szCs w:val="24"/>
                <w:highlight w:val="none"/>
                <w:lang w:val="en-US" w:eastAsia="zh-CN"/>
              </w:rPr>
              <w:t>。</w:t>
            </w:r>
          </w:p>
          <w:p>
            <w:pPr>
              <w:pageBreakBefore w:val="0"/>
              <w:kinsoku/>
              <w:overflowPunct/>
              <w:topLinePunct w:val="0"/>
              <w:bidi w:val="0"/>
              <w:spacing w:line="360" w:lineRule="auto"/>
              <w:ind w:firstLine="480" w:firstLineChars="200"/>
              <w:rPr>
                <w:rFonts w:hint="default" w:ascii="Times New Roman" w:hAnsi="Times New Roman" w:eastAsia="宋体" w:cs="Times New Roman"/>
                <w:bCs/>
                <w:sz w:val="24"/>
                <w:szCs w:val="24"/>
                <w:highlight w:val="none"/>
              </w:rPr>
            </w:pPr>
            <w:r>
              <w:rPr>
                <w:rFonts w:hint="default" w:ascii="Times New Roman" w:hAnsi="Times New Roman" w:eastAsia="宋体" w:cs="Times New Roman"/>
                <w:sz w:val="24"/>
                <w:szCs w:val="24"/>
                <w:highlight w:val="none"/>
              </w:rPr>
              <w:t>②</w:t>
            </w:r>
            <w:r>
              <w:rPr>
                <w:rFonts w:hint="default" w:ascii="Times New Roman" w:hAnsi="Times New Roman" w:eastAsia="宋体" w:cs="Times New Roman"/>
                <w:color w:val="000000"/>
                <w:sz w:val="24"/>
                <w:szCs w:val="24"/>
                <w:highlight w:val="none"/>
                <w:lang w:val="en-US" w:eastAsia="zh-CN"/>
              </w:rPr>
              <w:t>废包装袋</w:t>
            </w:r>
          </w:p>
          <w:p>
            <w:pPr>
              <w:pageBreakBefore w:val="0"/>
              <w:kinsoku/>
              <w:overflowPunct/>
              <w:topLinePunct w:val="0"/>
              <w:bidi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sz w:val="24"/>
                <w:szCs w:val="24"/>
                <w:highlight w:val="none"/>
                <w:lang w:val="en-US" w:eastAsia="zh-CN"/>
              </w:rPr>
              <w:t>本项目原材料利用过程会产生废包装袋，</w:t>
            </w:r>
            <w:r>
              <w:rPr>
                <w:rFonts w:hint="default" w:ascii="Times New Roman" w:hAnsi="Times New Roman" w:eastAsia="宋体" w:cs="Times New Roman"/>
                <w:sz w:val="24"/>
                <w:szCs w:val="24"/>
                <w:highlight w:val="none"/>
                <w:lang w:val="en-US" w:eastAsia="zh-CN"/>
              </w:rPr>
              <w:t>根据《一般固体废物分类与代码》（GB/T39198-2020），废物代码为：</w:t>
            </w:r>
            <w:r>
              <w:rPr>
                <w:rFonts w:hint="default" w:ascii="Times New Roman" w:hAnsi="Times New Roman" w:eastAsia="宋体" w:cs="Times New Roman"/>
                <w:bCs/>
                <w:sz w:val="24"/>
                <w:szCs w:val="24"/>
                <w:highlight w:val="none"/>
                <w:lang w:val="en-US" w:eastAsia="zh-CN"/>
              </w:rPr>
              <w:t>223-001-07</w:t>
            </w:r>
            <w:r>
              <w:rPr>
                <w:rFonts w:hint="default"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根据企业提供资料，本项目使用高密度聚乙烯用量为</w:t>
            </w:r>
            <w:r>
              <w:rPr>
                <w:rFonts w:hint="eastAsia" w:cs="Times New Roman"/>
                <w:bCs/>
                <w:sz w:val="24"/>
                <w:szCs w:val="24"/>
                <w:highlight w:val="none"/>
                <w:lang w:val="en-US" w:eastAsia="zh-CN"/>
              </w:rPr>
              <w:t>1500</w:t>
            </w:r>
            <w:r>
              <w:rPr>
                <w:rFonts w:hint="default" w:ascii="Times New Roman" w:hAnsi="Times New Roman" w:eastAsia="宋体" w:cs="Times New Roman"/>
                <w:bCs/>
                <w:sz w:val="24"/>
                <w:szCs w:val="24"/>
                <w:highlight w:val="none"/>
                <w:lang w:val="en-US" w:eastAsia="zh-CN"/>
              </w:rPr>
              <w:t>t/a（25千克/袋），袋装个数约为</w:t>
            </w:r>
            <w:r>
              <w:rPr>
                <w:rFonts w:hint="eastAsia" w:cs="Times New Roman"/>
                <w:bCs/>
                <w:sz w:val="24"/>
                <w:szCs w:val="24"/>
                <w:highlight w:val="none"/>
                <w:lang w:val="en-US" w:eastAsia="zh-CN"/>
              </w:rPr>
              <w:t>6000</w:t>
            </w:r>
            <w:r>
              <w:rPr>
                <w:rFonts w:hint="default" w:ascii="Times New Roman" w:hAnsi="Times New Roman" w:eastAsia="宋体" w:cs="Times New Roman"/>
                <w:bCs/>
                <w:sz w:val="24"/>
                <w:szCs w:val="24"/>
                <w:highlight w:val="none"/>
                <w:lang w:val="en-US" w:eastAsia="zh-CN"/>
              </w:rPr>
              <w:t>0个，单个废包装袋重量50g，为本项目</w:t>
            </w:r>
            <w:r>
              <w:rPr>
                <w:rFonts w:hint="default" w:ascii="Times New Roman" w:hAnsi="Times New Roman" w:eastAsia="宋体" w:cs="Times New Roman"/>
                <w:color w:val="000000"/>
                <w:sz w:val="24"/>
                <w:szCs w:val="24"/>
                <w:highlight w:val="none"/>
                <w:lang w:val="en-US" w:eastAsia="zh-CN"/>
              </w:rPr>
              <w:t>废包装袋</w:t>
            </w:r>
            <w:r>
              <w:rPr>
                <w:rFonts w:hint="default" w:ascii="Times New Roman" w:hAnsi="Times New Roman" w:eastAsia="宋体" w:cs="Times New Roman"/>
                <w:bCs/>
                <w:sz w:val="24"/>
                <w:szCs w:val="24"/>
                <w:highlight w:val="none"/>
                <w:vertAlign w:val="baseline"/>
                <w:lang w:val="en-US" w:eastAsia="zh-CN"/>
              </w:rPr>
              <w:t>的产生量为</w:t>
            </w:r>
            <w:r>
              <w:rPr>
                <w:rFonts w:hint="eastAsia" w:cs="Times New Roman"/>
                <w:bCs/>
                <w:sz w:val="24"/>
                <w:szCs w:val="24"/>
                <w:highlight w:val="none"/>
                <w:vertAlign w:val="baseline"/>
                <w:lang w:val="en-US" w:eastAsia="zh-CN"/>
              </w:rPr>
              <w:t>3</w:t>
            </w:r>
            <w:r>
              <w:rPr>
                <w:rFonts w:hint="default" w:ascii="Times New Roman" w:hAnsi="Times New Roman" w:eastAsia="宋体" w:cs="Times New Roman"/>
                <w:bCs/>
                <w:sz w:val="24"/>
                <w:szCs w:val="24"/>
                <w:highlight w:val="none"/>
                <w:vertAlign w:val="baseline"/>
                <w:lang w:val="en-US" w:eastAsia="zh-CN"/>
              </w:rPr>
              <w:t>t/a。</w:t>
            </w:r>
            <w:r>
              <w:rPr>
                <w:rFonts w:hint="default" w:ascii="Times New Roman" w:hAnsi="Times New Roman" w:eastAsia="宋体" w:cs="Times New Roman"/>
                <w:color w:val="auto"/>
                <w:sz w:val="24"/>
                <w:szCs w:val="24"/>
                <w:highlight w:val="none"/>
                <w:lang w:val="en-US" w:eastAsia="zh-CN"/>
              </w:rPr>
              <w:t>厂区一般固废暂存间暂存后，统一外售处理。</w:t>
            </w:r>
          </w:p>
          <w:p>
            <w:pPr>
              <w:pageBreakBefore w:val="0"/>
              <w:kinsoku/>
              <w:overflowPunct/>
              <w:topLinePunct w:val="0"/>
              <w:bidi w:val="0"/>
              <w:spacing w:line="360" w:lineRule="auto"/>
              <w:ind w:firstLine="480" w:firstLineChars="200"/>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③</w:t>
            </w:r>
            <w:r>
              <w:rPr>
                <w:rFonts w:hint="eastAsia" w:cs="Times New Roman"/>
                <w:bCs/>
                <w:sz w:val="24"/>
                <w:szCs w:val="24"/>
                <w:highlight w:val="none"/>
                <w:lang w:val="en-US" w:eastAsia="zh-CN"/>
              </w:rPr>
              <w:t>袋式除尘器</w:t>
            </w:r>
            <w:r>
              <w:rPr>
                <w:rFonts w:hint="default" w:ascii="Times New Roman" w:hAnsi="Times New Roman" w:eastAsia="宋体" w:cs="Times New Roman"/>
                <w:bCs/>
                <w:sz w:val="24"/>
                <w:szCs w:val="24"/>
                <w:highlight w:val="none"/>
                <w:lang w:val="en-US" w:eastAsia="zh-CN"/>
              </w:rPr>
              <w:t>收集粉尘</w:t>
            </w:r>
          </w:p>
          <w:p>
            <w:pPr>
              <w:pageBreakBefore w:val="0"/>
              <w:kinsoku/>
              <w:overflowPunct/>
              <w:topLinePunct w:val="0"/>
              <w:bidi w:val="0"/>
              <w:spacing w:line="360" w:lineRule="auto"/>
              <w:ind w:firstLine="480" w:firstLineChars="200"/>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bCs/>
                <w:sz w:val="24"/>
                <w:highlight w:val="none"/>
                <w:lang w:val="en-US" w:eastAsia="zh-CN"/>
              </w:rPr>
              <w:t>本项目</w:t>
            </w:r>
            <w:r>
              <w:rPr>
                <w:rFonts w:hint="eastAsia" w:cs="Times New Roman"/>
                <w:bCs/>
                <w:sz w:val="24"/>
                <w:highlight w:val="none"/>
                <w:lang w:val="en-US" w:eastAsia="zh-CN"/>
              </w:rPr>
              <w:t>破</w:t>
            </w:r>
            <w:r>
              <w:rPr>
                <w:rFonts w:hint="default" w:ascii="Times New Roman" w:hAnsi="Times New Roman" w:eastAsia="宋体" w:cs="Times New Roman"/>
                <w:bCs/>
                <w:sz w:val="24"/>
                <w:highlight w:val="none"/>
                <w:lang w:val="en-US" w:eastAsia="zh-CN"/>
              </w:rPr>
              <w:t>碎过程中会产生粉尘颗粒物，经</w:t>
            </w:r>
            <w:r>
              <w:rPr>
                <w:rFonts w:hint="eastAsia" w:cs="Times New Roman"/>
                <w:bCs/>
                <w:sz w:val="24"/>
                <w:highlight w:val="none"/>
                <w:lang w:val="en-US" w:eastAsia="zh-CN"/>
              </w:rPr>
              <w:t>袋式除尘器</w:t>
            </w:r>
            <w:r>
              <w:rPr>
                <w:rFonts w:hint="default" w:ascii="Times New Roman" w:hAnsi="Times New Roman" w:eastAsia="宋体" w:cs="Times New Roman"/>
                <w:bCs/>
                <w:sz w:val="24"/>
                <w:highlight w:val="none"/>
                <w:lang w:val="en-US" w:eastAsia="zh-CN"/>
              </w:rPr>
              <w:t>收集后会有</w:t>
            </w:r>
            <w:r>
              <w:rPr>
                <w:rFonts w:hint="eastAsia" w:cs="Times New Roman"/>
                <w:bCs/>
                <w:sz w:val="24"/>
                <w:highlight w:val="none"/>
                <w:lang w:val="en-US" w:eastAsia="zh-CN"/>
              </w:rPr>
              <w:t>袋式除尘器</w:t>
            </w:r>
            <w:r>
              <w:rPr>
                <w:rFonts w:hint="default" w:ascii="Times New Roman" w:hAnsi="Times New Roman" w:eastAsia="宋体" w:cs="Times New Roman"/>
                <w:bCs/>
                <w:sz w:val="24"/>
                <w:highlight w:val="none"/>
                <w:lang w:val="en-US" w:eastAsia="zh-CN"/>
              </w:rPr>
              <w:t>收集粉尘</w:t>
            </w:r>
            <w:r>
              <w:rPr>
                <w:rFonts w:hint="eastAsia" w:ascii="Times New Roman" w:hAnsi="Times New Roman" w:eastAsia="宋体" w:cs="Times New Roman"/>
                <w:bCs/>
                <w:sz w:val="24"/>
                <w:highlight w:val="none"/>
                <w:lang w:val="en-US" w:eastAsia="zh-CN"/>
              </w:rPr>
              <w:t>，</w:t>
            </w:r>
            <w:r>
              <w:rPr>
                <w:rFonts w:hint="eastAsia" w:ascii="Times New Roman" w:hAnsi="Times New Roman" w:eastAsia="宋体" w:cs="Times New Roman"/>
                <w:sz w:val="24"/>
                <w:highlight w:val="none"/>
                <w:lang w:val="en-US" w:eastAsia="zh-CN"/>
              </w:rPr>
              <w:t>根据《一般固体废物分类与代码》（GB/T39198-2020），废物代码为：</w:t>
            </w:r>
            <w:r>
              <w:rPr>
                <w:rFonts w:hint="eastAsia" w:ascii="Times New Roman" w:hAnsi="Times New Roman" w:eastAsia="宋体" w:cs="Times New Roman"/>
                <w:bCs/>
                <w:sz w:val="24"/>
                <w:highlight w:val="none"/>
                <w:lang w:val="en-US" w:eastAsia="zh-CN"/>
              </w:rPr>
              <w:t>292-00</w:t>
            </w:r>
            <w:r>
              <w:rPr>
                <w:rFonts w:hint="eastAsia" w:cs="Times New Roman"/>
                <w:bCs/>
                <w:sz w:val="24"/>
                <w:highlight w:val="none"/>
                <w:lang w:val="en-US" w:eastAsia="zh-CN"/>
              </w:rPr>
              <w:t>1</w:t>
            </w:r>
            <w:r>
              <w:rPr>
                <w:rFonts w:hint="eastAsia" w:ascii="Times New Roman" w:hAnsi="Times New Roman" w:eastAsia="宋体" w:cs="Times New Roman"/>
                <w:bCs/>
                <w:sz w:val="24"/>
                <w:highlight w:val="none"/>
                <w:lang w:val="en-US" w:eastAsia="zh-CN"/>
              </w:rPr>
              <w:t>-66</w:t>
            </w:r>
            <w:r>
              <w:rPr>
                <w:rFonts w:hint="default" w:ascii="Times New Roman" w:hAnsi="Times New Roman" w:eastAsia="宋体" w:cs="Times New Roman"/>
                <w:bCs/>
                <w:sz w:val="24"/>
                <w:highlight w:val="none"/>
                <w:lang w:val="en-US" w:eastAsia="zh-CN"/>
              </w:rPr>
              <w:t>，本项目</w:t>
            </w:r>
            <w:r>
              <w:rPr>
                <w:rFonts w:hint="eastAsia" w:cs="Times New Roman"/>
                <w:bCs/>
                <w:sz w:val="24"/>
                <w:highlight w:val="none"/>
                <w:lang w:val="en-US" w:eastAsia="zh-CN"/>
              </w:rPr>
              <w:t>袋式除尘器</w:t>
            </w:r>
            <w:r>
              <w:rPr>
                <w:rFonts w:hint="default" w:ascii="Times New Roman" w:hAnsi="Times New Roman" w:eastAsia="宋体" w:cs="Times New Roman"/>
                <w:bCs/>
                <w:sz w:val="24"/>
                <w:highlight w:val="none"/>
                <w:lang w:val="en-US" w:eastAsia="zh-CN"/>
              </w:rPr>
              <w:t>收集粉尘的产生量为</w:t>
            </w:r>
            <w:r>
              <w:rPr>
                <w:rFonts w:hint="eastAsia" w:cs="Times New Roman"/>
                <w:bCs/>
                <w:sz w:val="24"/>
                <w:highlight w:val="none"/>
                <w:lang w:val="en-US" w:eastAsia="zh-CN"/>
              </w:rPr>
              <w:t>0.0281</w:t>
            </w:r>
            <w:r>
              <w:rPr>
                <w:rFonts w:hint="default" w:ascii="Times New Roman" w:hAnsi="Times New Roman" w:eastAsia="宋体" w:cs="Times New Roman"/>
                <w:bCs/>
                <w:sz w:val="24"/>
                <w:highlight w:val="none"/>
                <w:lang w:val="en-US" w:eastAsia="zh-CN"/>
              </w:rPr>
              <w:t>t/a。厂区一般固废暂存间暂存后，统一外售处理。</w:t>
            </w:r>
          </w:p>
          <w:p>
            <w:pPr>
              <w:pStyle w:val="21"/>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lang w:val="en-US" w:eastAsia="zh-CN"/>
              </w:rPr>
            </w:pPr>
            <w:r>
              <w:rPr>
                <w:rFonts w:hint="eastAsia"/>
                <w:lang w:val="en-US" w:eastAsia="zh-CN"/>
              </w:rPr>
              <w:t>④废催化剂</w:t>
            </w:r>
          </w:p>
          <w:p>
            <w:pPr>
              <w:spacing w:line="360" w:lineRule="auto"/>
              <w:ind w:firstLine="480" w:firstLineChars="200"/>
              <w:rPr>
                <w:rFonts w:hint="eastAsia" w:ascii="Times New Roman" w:hAnsi="Times New Roman" w:eastAsia="宋体" w:cs="Times New Roman"/>
                <w:sz w:val="24"/>
                <w:lang w:val="en-US" w:eastAsia="zh-CN"/>
              </w:rPr>
            </w:pPr>
            <w:r>
              <w:rPr>
                <w:rFonts w:hint="default"/>
                <w:sz w:val="24"/>
                <w:szCs w:val="24"/>
                <w:lang w:val="en-US" w:eastAsia="zh-CN"/>
              </w:rPr>
              <w:t>项目用活性炭吸附-脱附+催化燃烧法处理有机废气，根据《活性炭吸附-脱附+催化燃烧法工业有机废气治理工程技术规范》</w:t>
            </w:r>
            <w:r>
              <w:rPr>
                <w:rFonts w:hint="eastAsia"/>
                <w:sz w:val="24"/>
                <w:szCs w:val="24"/>
                <w:lang w:val="en-US" w:eastAsia="zh-CN"/>
              </w:rPr>
              <w:t>“</w:t>
            </w:r>
            <w:r>
              <w:rPr>
                <w:rFonts w:hint="default"/>
                <w:sz w:val="24"/>
                <w:szCs w:val="24"/>
                <w:lang w:val="en-US" w:eastAsia="zh-CN"/>
              </w:rPr>
              <w:t>设计工况下催化剂使用寿命应大于8500h</w:t>
            </w:r>
            <w:r>
              <w:rPr>
                <w:rFonts w:hint="eastAsia"/>
                <w:sz w:val="24"/>
                <w:szCs w:val="24"/>
                <w:lang w:val="en-US" w:eastAsia="zh-CN"/>
              </w:rPr>
              <w:t>”</w:t>
            </w:r>
            <w:r>
              <w:rPr>
                <w:rFonts w:hint="default"/>
                <w:sz w:val="24"/>
                <w:szCs w:val="24"/>
                <w:lang w:val="en-US" w:eastAsia="zh-CN"/>
              </w:rPr>
              <w:t>的要求，本项目每年工作时间为2080h，则最低要求更换期为5年。</w:t>
            </w:r>
            <w:r>
              <w:rPr>
                <w:rFonts w:hint="default" w:ascii="Times New Roman" w:hAnsi="Times New Roman" w:eastAsia="宋体" w:cs="Times New Roman"/>
                <w:sz w:val="24"/>
              </w:rPr>
              <w:t>催化剂是以氧化铝蜂窝状为载体的铂催化剂，</w:t>
            </w:r>
            <w:r>
              <w:rPr>
                <w:rFonts w:hint="eastAsia" w:ascii="Times New Roman" w:hAnsi="Times New Roman" w:eastAsia="宋体" w:cs="Times New Roman"/>
                <w:sz w:val="24"/>
                <w:lang w:eastAsia="zh-CN"/>
              </w:rPr>
              <w:t>经查阅《国家危险废物名录》</w:t>
            </w:r>
            <w:r>
              <w:rPr>
                <w:rFonts w:hint="eastAsia" w:cs="Times New Roman"/>
                <w:sz w:val="24"/>
                <w:lang w:eastAsia="zh-CN"/>
              </w:rPr>
              <w:t>（</w:t>
            </w:r>
            <w:r>
              <w:rPr>
                <w:rFonts w:hint="eastAsia" w:ascii="Times New Roman" w:hAnsi="Times New Roman" w:eastAsia="宋体" w:cs="Times New Roman"/>
                <w:sz w:val="24"/>
                <w:lang w:eastAsia="zh-CN"/>
              </w:rPr>
              <w:t>20</w:t>
            </w:r>
            <w:r>
              <w:rPr>
                <w:rFonts w:hint="eastAsia" w:ascii="Times New Roman" w:hAnsi="Times New Roman" w:eastAsia="宋体" w:cs="Times New Roman"/>
                <w:sz w:val="24"/>
                <w:lang w:val="en-US" w:eastAsia="zh-CN"/>
              </w:rPr>
              <w:t>21</w:t>
            </w:r>
            <w:r>
              <w:rPr>
                <w:rFonts w:hint="eastAsia" w:ascii="Times New Roman" w:hAnsi="Times New Roman" w:eastAsia="宋体" w:cs="Times New Roman"/>
                <w:sz w:val="24"/>
                <w:lang w:eastAsia="zh-CN"/>
              </w:rPr>
              <w:t>），HW50废催化剂“非特定行业”中“废液体催化剂”及“机动车和非道路移动机械尾气净化废催化剂 ”</w:t>
            </w:r>
            <w:r>
              <w:rPr>
                <w:rFonts w:hint="eastAsia" w:eastAsia="宋体" w:cs="Times New Roman"/>
                <w:sz w:val="24"/>
                <w:lang w:eastAsia="zh-CN"/>
              </w:rPr>
              <w:t>及“环境治理业”中“烟气脱硝过程中产生的废钒钛系催化剂 ”</w:t>
            </w:r>
            <w:r>
              <w:rPr>
                <w:rFonts w:hint="eastAsia" w:ascii="Times New Roman" w:hAnsi="Times New Roman" w:eastAsia="宋体" w:cs="Times New Roman"/>
                <w:sz w:val="24"/>
                <w:lang w:eastAsia="zh-CN"/>
              </w:rPr>
              <w:t>属于危险废物，项目所用催化剂为固态的铂系催化剂，</w:t>
            </w:r>
            <w:r>
              <w:rPr>
                <w:rFonts w:hint="eastAsia" w:eastAsia="宋体" w:cs="Times New Roman"/>
                <w:sz w:val="24"/>
                <w:lang w:eastAsia="zh-CN"/>
              </w:rPr>
              <w:t>应</w:t>
            </w:r>
            <w:r>
              <w:rPr>
                <w:rFonts w:hint="default" w:ascii="Times New Roman" w:hAnsi="Times New Roman" w:eastAsia="宋体" w:cs="Times New Roman"/>
                <w:sz w:val="24"/>
              </w:rPr>
              <w:t>属于一般固废</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废催化剂产生量约为0.</w:t>
            </w:r>
            <w:r>
              <w:rPr>
                <w:rFonts w:hint="eastAsia" w:ascii="Times New Roman" w:hAnsi="Times New Roman" w:eastAsia="宋体" w:cs="Times New Roman"/>
                <w:sz w:val="24"/>
                <w:lang w:val="en-US" w:eastAsia="zh-CN"/>
              </w:rPr>
              <w:t>5t</w:t>
            </w: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根据《一般固体废物分类与代码》（GB/T39198-2020）固体类别为“非特定行业生产过程中产生的一般固体废物中的其他废物”，代码为</w:t>
            </w:r>
            <w:r>
              <w:rPr>
                <w:rFonts w:hint="eastAsia" w:eastAsia="宋体" w:cs="Times New Roman"/>
                <w:sz w:val="24"/>
                <w:lang w:val="en-US" w:eastAsia="zh-CN"/>
              </w:rPr>
              <w:t>900</w:t>
            </w:r>
            <w:r>
              <w:rPr>
                <w:rFonts w:hint="eastAsia" w:ascii="Times New Roman" w:hAnsi="Times New Roman" w:eastAsia="宋体" w:cs="Times New Roman"/>
                <w:sz w:val="24"/>
                <w:lang w:val="en-US" w:eastAsia="zh-CN"/>
              </w:rPr>
              <w:t>-</w:t>
            </w:r>
            <w:r>
              <w:rPr>
                <w:rFonts w:hint="eastAsia" w:eastAsia="宋体" w:cs="Times New Roman"/>
                <w:sz w:val="24"/>
                <w:lang w:val="en-US" w:eastAsia="zh-CN"/>
              </w:rPr>
              <w:t>999</w:t>
            </w:r>
            <w:r>
              <w:rPr>
                <w:rFonts w:hint="eastAsia" w:ascii="Times New Roman" w:hAnsi="Times New Roman" w:eastAsia="宋体" w:cs="Times New Roman"/>
                <w:sz w:val="24"/>
                <w:lang w:val="en-US" w:eastAsia="zh-CN"/>
              </w:rPr>
              <w:t>-99。</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sz w:val="24"/>
                <w:szCs w:val="24"/>
                <w:lang w:val="en-US"/>
              </w:rPr>
            </w:pPr>
            <w:r>
              <w:rPr>
                <w:rFonts w:hint="default" w:ascii="Times New Roman" w:hAnsi="Times New Roman" w:eastAsia="宋体" w:cs="Times New Roman"/>
                <w:bCs/>
                <w:iCs/>
                <w:color w:val="000000"/>
                <w:sz w:val="24"/>
                <w:szCs w:val="24"/>
              </w:rPr>
              <w:t>本项目</w:t>
            </w:r>
            <w:r>
              <w:rPr>
                <w:rFonts w:hint="eastAsia" w:ascii="Times New Roman" w:hAnsi="Times New Roman" w:eastAsia="宋体" w:cs="Times New Roman"/>
                <w:bCs/>
                <w:iCs/>
                <w:color w:val="000000"/>
                <w:sz w:val="24"/>
                <w:szCs w:val="24"/>
                <w:lang w:eastAsia="zh-CN"/>
              </w:rPr>
              <w:t>一般固废</w:t>
            </w:r>
            <w:r>
              <w:rPr>
                <w:rFonts w:hint="default" w:ascii="Times New Roman" w:hAnsi="Times New Roman" w:eastAsia="宋体" w:cs="Times New Roman"/>
                <w:bCs/>
                <w:iCs/>
                <w:color w:val="000000"/>
                <w:sz w:val="24"/>
                <w:szCs w:val="24"/>
              </w:rPr>
              <w:t>情况汇总见</w:t>
            </w:r>
            <w:r>
              <w:rPr>
                <w:rFonts w:hint="eastAsia" w:cs="Times New Roman"/>
                <w:bCs/>
                <w:iCs/>
                <w:color w:val="000000"/>
                <w:sz w:val="24"/>
                <w:szCs w:val="24"/>
                <w:lang w:val="en-US" w:eastAsia="zh-CN"/>
              </w:rPr>
              <w:t>下</w:t>
            </w:r>
            <w:r>
              <w:rPr>
                <w:rFonts w:hint="default" w:ascii="Times New Roman" w:hAnsi="Times New Roman" w:eastAsia="宋体" w:cs="Times New Roman"/>
                <w:bCs/>
                <w:iCs/>
                <w:color w:val="000000"/>
                <w:sz w:val="24"/>
                <w:szCs w:val="24"/>
              </w:rPr>
              <w:t>表</w:t>
            </w:r>
            <w:r>
              <w:rPr>
                <w:rFonts w:hint="eastAsia" w:cs="Times New Roman"/>
                <w:bCs/>
                <w:iCs/>
                <w:color w:val="000000"/>
                <w:sz w:val="24"/>
                <w:szCs w:val="24"/>
                <w:lang w:val="en-US" w:eastAsia="zh-CN"/>
              </w:rPr>
              <w:t>。</w:t>
            </w:r>
          </w:p>
          <w:p>
            <w:pPr>
              <w:pStyle w:val="21"/>
              <w:keepNext w:val="0"/>
              <w:keepLines w:val="0"/>
              <w:pageBreakBefore w:val="0"/>
              <w:widowControl w:val="0"/>
              <w:numPr>
                <w:ilvl w:val="0"/>
                <w:numId w:val="0"/>
              </w:numPr>
              <w:kinsoku/>
              <w:wordWrap/>
              <w:overflowPunct/>
              <w:topLinePunct w:val="0"/>
              <w:autoSpaceDE/>
              <w:autoSpaceDN/>
              <w:bidi w:val="0"/>
              <w:adjustRightInd/>
              <w:snapToGrid/>
              <w:spacing w:before="157" w:beforeLines="50"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lang w:val="en-US" w:eastAsia="zh-CN"/>
              </w:rPr>
              <w:t>表32             一般固体废物排放信息表</w:t>
            </w:r>
          </w:p>
          <w:tbl>
            <w:tblPr>
              <w:tblStyle w:val="23"/>
              <w:tblW w:w="78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315"/>
              <w:gridCol w:w="1246"/>
              <w:gridCol w:w="792"/>
              <w:gridCol w:w="1117"/>
              <w:gridCol w:w="1117"/>
              <w:gridCol w:w="11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1111"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产生环节</w:t>
                  </w:r>
                </w:p>
              </w:tc>
              <w:tc>
                <w:tcPr>
                  <w:tcW w:w="1315"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名称</w:t>
                  </w:r>
                </w:p>
              </w:tc>
              <w:tc>
                <w:tcPr>
                  <w:tcW w:w="1246"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eastAsia"/>
                      <w:color w:val="000000"/>
                      <w:sz w:val="21"/>
                      <w:szCs w:val="21"/>
                      <w:vertAlign w:val="baseline"/>
                      <w:lang w:val="en-US" w:eastAsia="zh-CN"/>
                    </w:rPr>
                  </w:pPr>
                  <w:r>
                    <w:rPr>
                      <w:rFonts w:hint="eastAsia"/>
                      <w:color w:val="000000"/>
                      <w:sz w:val="21"/>
                      <w:szCs w:val="21"/>
                      <w:vertAlign w:val="baseline"/>
                      <w:lang w:val="en-US" w:eastAsia="zh-CN"/>
                    </w:rPr>
                    <w:t>一般固废代码</w:t>
                  </w:r>
                </w:p>
              </w:tc>
              <w:tc>
                <w:tcPr>
                  <w:tcW w:w="792"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物理性状</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产生量</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处理方式和去向</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利用或处置量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111" w:type="dxa"/>
                  <w:vMerge w:val="restart"/>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生产过程</w:t>
                  </w:r>
                </w:p>
              </w:tc>
              <w:tc>
                <w:tcPr>
                  <w:tcW w:w="1315"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jc w:val="center"/>
                    <w:textAlignment w:val="auto"/>
                    <w:rPr>
                      <w:rFonts w:hint="default" w:eastAsia="宋体"/>
                      <w:color w:val="000000"/>
                      <w:sz w:val="21"/>
                      <w:szCs w:val="21"/>
                      <w:vertAlign w:val="baseline"/>
                      <w:lang w:val="en-US" w:eastAsia="zh-CN"/>
                    </w:rPr>
                  </w:pPr>
                  <w:r>
                    <w:rPr>
                      <w:rFonts w:hint="eastAsia"/>
                      <w:color w:val="000000"/>
                      <w:sz w:val="21"/>
                      <w:szCs w:val="21"/>
                      <w:shd w:val="clear" w:color="auto" w:fill="auto"/>
                      <w:lang w:val="en-US" w:eastAsia="zh-CN"/>
                    </w:rPr>
                    <w:t>不合格产品、废边角料</w:t>
                  </w:r>
                </w:p>
              </w:tc>
              <w:tc>
                <w:tcPr>
                  <w:tcW w:w="1246"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jc w:val="center"/>
                    <w:textAlignment w:val="auto"/>
                    <w:rPr>
                      <w:rFonts w:hint="eastAsia"/>
                      <w:color w:val="000000"/>
                      <w:sz w:val="21"/>
                      <w:szCs w:val="21"/>
                      <w:shd w:val="clear" w:color="auto" w:fill="auto"/>
                      <w:lang w:eastAsia="zh-CN"/>
                    </w:rPr>
                  </w:pPr>
                  <w:r>
                    <w:rPr>
                      <w:rFonts w:hint="eastAsia" w:ascii="Times New Roman" w:hAnsi="Times New Roman" w:cs="Times New Roman"/>
                      <w:color w:val="000000"/>
                      <w:sz w:val="21"/>
                      <w:szCs w:val="21"/>
                      <w:shd w:val="clear" w:color="auto" w:fill="auto"/>
                      <w:lang w:val="en-US" w:eastAsia="zh-CN"/>
                    </w:rPr>
                    <w:t>292-001-06</w:t>
                  </w:r>
                </w:p>
              </w:tc>
              <w:tc>
                <w:tcPr>
                  <w:tcW w:w="792"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固态</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75t/a</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回用于生产</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eastAsia="宋体"/>
                      <w:color w:val="000000"/>
                      <w:sz w:val="21"/>
                      <w:szCs w:val="21"/>
                      <w:vertAlign w:val="baseline"/>
                      <w:lang w:val="en-US" w:eastAsia="zh-CN"/>
                    </w:rPr>
                  </w:pPr>
                  <w:r>
                    <w:rPr>
                      <w:rFonts w:hint="eastAsia"/>
                      <w:color w:val="000000"/>
                      <w:sz w:val="21"/>
                      <w:szCs w:val="21"/>
                      <w:vertAlign w:val="baseline"/>
                      <w:lang w:val="en-US" w:eastAsia="zh-CN"/>
                    </w:rPr>
                    <w:t>75t/a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111" w:type="dxa"/>
                  <w:vMerge w:val="continue"/>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eastAsia"/>
                      <w:color w:val="000000"/>
                      <w:sz w:val="21"/>
                      <w:szCs w:val="21"/>
                      <w:vertAlign w:val="baseline"/>
                      <w:lang w:val="en-US" w:eastAsia="zh-CN"/>
                    </w:rPr>
                  </w:pPr>
                </w:p>
              </w:tc>
              <w:tc>
                <w:tcPr>
                  <w:tcW w:w="1315"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废包装袋</w:t>
                  </w:r>
                </w:p>
              </w:tc>
              <w:tc>
                <w:tcPr>
                  <w:tcW w:w="1246"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223</w:t>
                  </w:r>
                  <w:r>
                    <w:rPr>
                      <w:rFonts w:hint="default" w:ascii="Times New Roman" w:hAnsi="Times New Roman" w:cs="Times New Roman"/>
                      <w:color w:val="000000"/>
                      <w:sz w:val="21"/>
                      <w:szCs w:val="21"/>
                      <w:lang w:val="en-US" w:eastAsia="zh-CN"/>
                    </w:rPr>
                    <w:t>-00</w:t>
                  </w:r>
                  <w:r>
                    <w:rPr>
                      <w:rFonts w:hint="eastAsia"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lang w:val="en-US" w:eastAsia="zh-CN"/>
                    </w:rPr>
                    <w:t>-07</w:t>
                  </w:r>
                </w:p>
              </w:tc>
              <w:tc>
                <w:tcPr>
                  <w:tcW w:w="792"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color w:val="000000"/>
                      <w:sz w:val="21"/>
                      <w:szCs w:val="21"/>
                      <w:vertAlign w:val="baseline"/>
                      <w:lang w:val="en-US" w:eastAsia="zh-CN"/>
                    </w:rPr>
                  </w:pPr>
                  <w:r>
                    <w:rPr>
                      <w:rFonts w:hint="eastAsia"/>
                      <w:color w:val="000000"/>
                      <w:sz w:val="21"/>
                      <w:szCs w:val="21"/>
                      <w:vertAlign w:val="baseline"/>
                      <w:lang w:val="en-US" w:eastAsia="zh-CN"/>
                    </w:rPr>
                    <w:t>固态</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jc w:val="center"/>
                    <w:textAlignment w:val="auto"/>
                    <w:rPr>
                      <w:rFonts w:hint="default"/>
                      <w:color w:val="000000"/>
                      <w:sz w:val="21"/>
                      <w:szCs w:val="21"/>
                      <w:lang w:val="en-US" w:eastAsia="zh-CN"/>
                    </w:rPr>
                  </w:pPr>
                  <w:r>
                    <w:rPr>
                      <w:rFonts w:hint="eastAsia"/>
                      <w:color w:val="000000"/>
                      <w:sz w:val="21"/>
                      <w:szCs w:val="21"/>
                      <w:lang w:val="en-US" w:eastAsia="zh-CN"/>
                    </w:rPr>
                    <w:t>3t/a</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000000"/>
                      <w:sz w:val="21"/>
                      <w:szCs w:val="21"/>
                    </w:rPr>
                  </w:pPr>
                  <w:r>
                    <w:rPr>
                      <w:rFonts w:hint="eastAsia"/>
                      <w:color w:val="000000"/>
                      <w:sz w:val="21"/>
                      <w:szCs w:val="21"/>
                      <w:vertAlign w:val="baseline"/>
                      <w:lang w:val="en-US" w:eastAsia="zh-CN"/>
                    </w:rPr>
                    <w:t>收集后出售</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000000"/>
                      <w:sz w:val="21"/>
                      <w:szCs w:val="21"/>
                      <w:lang w:val="en-US" w:eastAsia="zh-CN"/>
                    </w:rPr>
                  </w:pPr>
                  <w:r>
                    <w:rPr>
                      <w:rFonts w:hint="eastAsia"/>
                      <w:color w:val="000000"/>
                      <w:sz w:val="21"/>
                      <w:szCs w:val="21"/>
                      <w:lang w:val="en-US" w:eastAsia="zh-CN"/>
                    </w:rPr>
                    <w:t>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111"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vertAlign w:val="baseline"/>
                      <w:lang w:val="en-US" w:eastAsia="zh-CN" w:bidi="ar-SA"/>
                    </w:rPr>
                  </w:pPr>
                  <w:r>
                    <w:rPr>
                      <w:rFonts w:hint="eastAsia"/>
                      <w:color w:val="000000"/>
                      <w:sz w:val="21"/>
                      <w:szCs w:val="21"/>
                      <w:vertAlign w:val="baseline"/>
                      <w:lang w:val="en-US" w:eastAsia="zh-CN"/>
                    </w:rPr>
                    <w:t>废气处理</w:t>
                  </w:r>
                </w:p>
              </w:tc>
              <w:tc>
                <w:tcPr>
                  <w:tcW w:w="1315"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cs="Times New Roman"/>
                      <w:color w:val="000000"/>
                      <w:sz w:val="21"/>
                      <w:szCs w:val="21"/>
                      <w:lang w:eastAsia="zh-CN"/>
                    </w:rPr>
                    <w:t>除尘器收集粉尘</w:t>
                  </w:r>
                </w:p>
              </w:tc>
              <w:tc>
                <w:tcPr>
                  <w:tcW w:w="1246"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292-00</w:t>
                  </w:r>
                  <w:r>
                    <w:rPr>
                      <w:rFonts w:hint="eastAsia" w:cs="Times New Roman"/>
                      <w:color w:val="000000"/>
                      <w:kern w:val="0"/>
                      <w:sz w:val="21"/>
                      <w:szCs w:val="21"/>
                      <w:lang w:val="en-US" w:eastAsia="zh-CN" w:bidi="ar-SA"/>
                    </w:rPr>
                    <w:t>1</w:t>
                  </w:r>
                  <w:r>
                    <w:rPr>
                      <w:rFonts w:hint="eastAsia" w:ascii="Times New Roman" w:hAnsi="Times New Roman" w:eastAsia="宋体" w:cs="Times New Roman"/>
                      <w:color w:val="000000"/>
                      <w:kern w:val="0"/>
                      <w:sz w:val="21"/>
                      <w:szCs w:val="21"/>
                      <w:lang w:val="en-US" w:eastAsia="zh-CN" w:bidi="ar-SA"/>
                    </w:rPr>
                    <w:t>-66</w:t>
                  </w:r>
                </w:p>
              </w:tc>
              <w:tc>
                <w:tcPr>
                  <w:tcW w:w="792"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vertAlign w:val="baseline"/>
                      <w:lang w:val="en-US" w:eastAsia="zh-CN" w:bidi="ar-SA"/>
                    </w:rPr>
                  </w:pPr>
                  <w:r>
                    <w:rPr>
                      <w:rFonts w:hint="eastAsia"/>
                      <w:color w:val="000000"/>
                      <w:sz w:val="21"/>
                      <w:szCs w:val="21"/>
                      <w:vertAlign w:val="baseline"/>
                      <w:lang w:val="en-US" w:eastAsia="zh-CN"/>
                    </w:rPr>
                    <w:t>固态</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color w:val="000000"/>
                      <w:sz w:val="21"/>
                      <w:szCs w:val="21"/>
                      <w:lang w:val="en-US" w:eastAsia="zh-CN"/>
                    </w:rPr>
                    <w:t>0.0281t/a</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color w:val="000000"/>
                      <w:sz w:val="21"/>
                      <w:szCs w:val="21"/>
                      <w:vertAlign w:val="baseline"/>
                      <w:lang w:val="en-US" w:eastAsia="zh-CN"/>
                    </w:rPr>
                    <w:t>收集后出售</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color w:val="000000"/>
                      <w:sz w:val="21"/>
                      <w:szCs w:val="21"/>
                      <w:lang w:val="en-US" w:eastAsia="zh-CN"/>
                    </w:rPr>
                    <w:t>0.0281t/a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1111"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vertAlign w:val="baseline"/>
                      <w:lang w:val="en-US" w:eastAsia="zh-CN" w:bidi="ar-SA"/>
                    </w:rPr>
                  </w:pPr>
                  <w:r>
                    <w:rPr>
                      <w:rFonts w:hint="eastAsia"/>
                      <w:color w:val="000000"/>
                      <w:sz w:val="21"/>
                      <w:szCs w:val="21"/>
                      <w:vertAlign w:val="baseline"/>
                      <w:lang w:val="en-US" w:eastAsia="zh-CN"/>
                    </w:rPr>
                    <w:t>催化燃烧</w:t>
                  </w:r>
                </w:p>
              </w:tc>
              <w:tc>
                <w:tcPr>
                  <w:tcW w:w="1315"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cs="Times New Roman"/>
                      <w:color w:val="000000"/>
                      <w:sz w:val="21"/>
                      <w:szCs w:val="21"/>
                      <w:lang w:eastAsia="zh-CN"/>
                    </w:rPr>
                    <w:t>废催化剂</w:t>
                  </w:r>
                </w:p>
              </w:tc>
              <w:tc>
                <w:tcPr>
                  <w:tcW w:w="1246"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shd w:val="clear" w:color="auto" w:fill="auto"/>
                      <w:lang w:val="en-US" w:eastAsia="zh-CN" w:bidi="ar-SA"/>
                    </w:rPr>
                  </w:pPr>
                  <w:r>
                    <w:rPr>
                      <w:rFonts w:hint="eastAsia" w:eastAsia="宋体" w:cs="Times New Roman"/>
                      <w:sz w:val="21"/>
                      <w:szCs w:val="21"/>
                      <w:lang w:val="en-US" w:eastAsia="zh-CN"/>
                    </w:rPr>
                    <w:t>900</w:t>
                  </w:r>
                  <w:r>
                    <w:rPr>
                      <w:rFonts w:hint="eastAsia" w:ascii="Times New Roman" w:hAnsi="Times New Roman" w:eastAsia="宋体" w:cs="Times New Roman"/>
                      <w:sz w:val="21"/>
                      <w:szCs w:val="21"/>
                      <w:lang w:val="en-US" w:eastAsia="zh-CN"/>
                    </w:rPr>
                    <w:t>-</w:t>
                  </w:r>
                  <w:r>
                    <w:rPr>
                      <w:rFonts w:hint="eastAsia" w:eastAsia="宋体" w:cs="Times New Roman"/>
                      <w:sz w:val="21"/>
                      <w:szCs w:val="21"/>
                      <w:lang w:val="en-US" w:eastAsia="zh-CN"/>
                    </w:rPr>
                    <w:t>999</w:t>
                  </w:r>
                  <w:r>
                    <w:rPr>
                      <w:rFonts w:hint="eastAsia" w:ascii="Times New Roman" w:hAnsi="Times New Roman" w:eastAsia="宋体" w:cs="Times New Roman"/>
                      <w:sz w:val="21"/>
                      <w:szCs w:val="21"/>
                      <w:lang w:val="en-US" w:eastAsia="zh-CN"/>
                    </w:rPr>
                    <w:t>-99</w:t>
                  </w:r>
                </w:p>
              </w:tc>
              <w:tc>
                <w:tcPr>
                  <w:tcW w:w="792"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vertAlign w:val="baseline"/>
                      <w:lang w:val="en-US" w:eastAsia="zh-CN" w:bidi="ar-SA"/>
                    </w:rPr>
                  </w:pPr>
                  <w:r>
                    <w:rPr>
                      <w:rFonts w:hint="eastAsia"/>
                      <w:color w:val="000000"/>
                      <w:sz w:val="21"/>
                      <w:szCs w:val="21"/>
                      <w:vertAlign w:val="baseline"/>
                      <w:lang w:val="en-US" w:eastAsia="zh-CN"/>
                    </w:rPr>
                    <w:t>固态</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eastAsia"/>
                      <w:color w:val="000000"/>
                      <w:sz w:val="21"/>
                      <w:szCs w:val="21"/>
                      <w:lang w:val="en-US" w:eastAsia="zh-CN"/>
                    </w:rPr>
                    <w:t>0.5t</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vertAlign w:val="baseline"/>
                      <w:lang w:val="en-US" w:eastAsia="zh-CN" w:bidi="ar-SA"/>
                    </w:rPr>
                  </w:pPr>
                  <w:r>
                    <w:rPr>
                      <w:rFonts w:hint="eastAsia"/>
                      <w:color w:val="000000"/>
                      <w:sz w:val="21"/>
                      <w:szCs w:val="21"/>
                      <w:vertAlign w:val="baseline"/>
                      <w:lang w:val="en-US" w:eastAsia="zh-CN"/>
                    </w:rPr>
                    <w:t>厂家回收</w:t>
                  </w:r>
                </w:p>
              </w:tc>
              <w:tc>
                <w:tcPr>
                  <w:tcW w:w="1117" w:type="dxa"/>
                  <w:tcBorders>
                    <w:tl2br w:val="nil"/>
                    <w:tr2bl w:val="nil"/>
                  </w:tcBorders>
                  <w:noWrap w:val="0"/>
                  <w:vAlign w:val="center"/>
                </w:tcPr>
                <w:p>
                  <w:pPr>
                    <w:pStyle w:val="21"/>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color w:val="000000"/>
                      <w:sz w:val="21"/>
                      <w:szCs w:val="21"/>
                      <w:lang w:val="en-US" w:eastAsia="zh-CN"/>
                    </w:rPr>
                    <w:t>0.5t</w:t>
                  </w:r>
                  <w:r>
                    <w:rPr>
                      <w:rFonts w:hint="eastAsia"/>
                      <w:color w:val="000000"/>
                      <w:sz w:val="21"/>
                      <w:szCs w:val="21"/>
                      <w:vertAlign w:val="baseline"/>
                      <w:lang w:val="en-US" w:eastAsia="zh-CN"/>
                    </w:rPr>
                    <w:t>/5a</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val="0"/>
                <w:sz w:val="24"/>
                <w:highlight w:val="none"/>
                <w:lang w:val="en-US" w:eastAsia="zh-CN"/>
              </w:rPr>
            </w:pPr>
            <w:r>
              <w:rPr>
                <w:rFonts w:hint="eastAsia" w:cs="Times New Roman"/>
                <w:b/>
                <w:bCs w:val="0"/>
                <w:sz w:val="24"/>
                <w:highlight w:val="none"/>
                <w:lang w:val="en-US" w:eastAsia="zh-CN"/>
              </w:rPr>
              <w:t>2、</w:t>
            </w:r>
            <w:r>
              <w:rPr>
                <w:rFonts w:hint="default" w:ascii="Times New Roman" w:hAnsi="Times New Roman" w:eastAsia="宋体" w:cs="Times New Roman"/>
                <w:b/>
                <w:bCs w:val="0"/>
                <w:sz w:val="24"/>
                <w:highlight w:val="none"/>
                <w:lang w:val="en-US" w:eastAsia="zh-CN"/>
              </w:rPr>
              <w:t>危险废物</w:t>
            </w:r>
          </w:p>
          <w:p>
            <w:pPr>
              <w:pageBreakBefore w:val="0"/>
              <w:kinsoku/>
              <w:overflowPunct/>
              <w:topLinePunct w:val="0"/>
              <w:bidi w:val="0"/>
              <w:spacing w:line="360" w:lineRule="auto"/>
              <w:ind w:firstLine="480" w:firstLineChars="200"/>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bCs/>
                <w:sz w:val="24"/>
                <w:highlight w:val="none"/>
                <w:lang w:val="en-US" w:eastAsia="zh-CN"/>
              </w:rPr>
              <w:t>本项目危险废物</w:t>
            </w:r>
            <w:r>
              <w:rPr>
                <w:rFonts w:hint="eastAsia" w:cs="Times New Roman"/>
                <w:bCs/>
                <w:sz w:val="24"/>
                <w:highlight w:val="none"/>
                <w:lang w:val="en-US" w:eastAsia="zh-CN"/>
              </w:rPr>
              <w:t>为</w:t>
            </w:r>
            <w:r>
              <w:rPr>
                <w:rFonts w:hint="default" w:ascii="Times New Roman" w:hAnsi="Times New Roman" w:eastAsia="宋体" w:cs="Times New Roman"/>
                <w:bCs/>
                <w:sz w:val="24"/>
                <w:highlight w:val="none"/>
                <w:lang w:val="en-US" w:eastAsia="zh-CN"/>
              </w:rPr>
              <w:t>废活性炭。</w:t>
            </w:r>
          </w:p>
          <w:p>
            <w:pPr>
              <w:pageBreakBefore w:val="0"/>
              <w:kinsoku/>
              <w:overflowPunct/>
              <w:topLinePunct w:val="0"/>
              <w:bidi w:val="0"/>
              <w:spacing w:line="360" w:lineRule="auto"/>
              <w:ind w:firstLine="480" w:firstLineChars="200"/>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bCs/>
                <w:sz w:val="24"/>
                <w:highlight w:val="none"/>
                <w:lang w:val="en-US" w:eastAsia="zh-CN"/>
              </w:rPr>
              <w:t>①废活性炭</w:t>
            </w:r>
          </w:p>
          <w:p>
            <w:pPr>
              <w:adjustRightInd w:val="0"/>
              <w:snapToGrid w:val="0"/>
              <w:spacing w:line="360" w:lineRule="auto"/>
              <w:ind w:firstLine="480" w:firstLineChars="200"/>
              <w:rPr>
                <w:rFonts w:hint="default" w:ascii="Times New Roman" w:hAnsi="Times New Roman" w:cs="Times New Roman"/>
                <w:bCs/>
                <w:color w:val="auto"/>
                <w:sz w:val="24"/>
                <w:highlight w:val="none"/>
                <w:u w:val="none"/>
                <w:lang w:val="en-US" w:eastAsia="zh-CN"/>
              </w:rPr>
            </w:pPr>
            <w:r>
              <w:rPr>
                <w:rFonts w:hint="default" w:ascii="Times New Roman" w:hAnsi="Times New Roman" w:cs="Times New Roman"/>
                <w:bCs/>
                <w:color w:val="auto"/>
                <w:sz w:val="24"/>
                <w:highlight w:val="none"/>
                <w:u w:val="none"/>
                <w:lang w:val="en-US" w:eastAsia="zh-CN"/>
              </w:rPr>
              <w:t>根据企业设计资料，活性炭吸附装置中活性炭床为5m</w:t>
            </w:r>
            <w:r>
              <w:rPr>
                <w:rFonts w:hint="default" w:ascii="Times New Roman" w:hAnsi="Times New Roman" w:cs="Times New Roman"/>
                <w:bCs/>
                <w:color w:val="auto"/>
                <w:sz w:val="24"/>
                <w:highlight w:val="none"/>
                <w:u w:val="none"/>
                <w:vertAlign w:val="superscript"/>
                <w:lang w:val="en-US" w:eastAsia="zh-CN"/>
              </w:rPr>
              <w:t>3</w:t>
            </w:r>
            <w:r>
              <w:rPr>
                <w:rFonts w:hint="default" w:ascii="Times New Roman" w:hAnsi="Times New Roman" w:cs="Times New Roman"/>
                <w:bCs/>
                <w:color w:val="auto"/>
                <w:sz w:val="24"/>
                <w:highlight w:val="none"/>
                <w:u w:val="none"/>
                <w:lang w:val="en-US" w:eastAsia="zh-CN"/>
              </w:rPr>
              <w:t>，一般活性炭密度为0.55g/cm</w:t>
            </w:r>
            <w:r>
              <w:rPr>
                <w:rFonts w:hint="default" w:ascii="Times New Roman" w:hAnsi="Times New Roman" w:cs="Times New Roman"/>
                <w:bCs/>
                <w:color w:val="auto"/>
                <w:sz w:val="24"/>
                <w:highlight w:val="none"/>
                <w:u w:val="none"/>
                <w:vertAlign w:val="superscript"/>
                <w:lang w:val="en-US" w:eastAsia="zh-CN"/>
              </w:rPr>
              <w:t>3</w:t>
            </w:r>
            <w:r>
              <w:rPr>
                <w:rFonts w:hint="default" w:ascii="Times New Roman" w:hAnsi="Times New Roman" w:cs="Times New Roman"/>
                <w:bCs/>
                <w:color w:val="auto"/>
                <w:sz w:val="24"/>
                <w:highlight w:val="none"/>
                <w:u w:val="none"/>
                <w:lang w:val="en-US" w:eastAsia="zh-CN"/>
              </w:rPr>
              <w:t>，活性炭吸附-脱附-催化燃烧装置的活性炭每两年更换一次，则活性炭的产生量为</w:t>
            </w:r>
            <w:r>
              <w:rPr>
                <w:rFonts w:hint="default" w:ascii="Times New Roman" w:hAnsi="Times New Roman" w:cs="Times New Roman"/>
                <w:bCs/>
                <w:color w:val="auto"/>
                <w:sz w:val="24"/>
                <w:szCs w:val="24"/>
                <w:highlight w:val="none"/>
                <w:u w:val="none"/>
                <w:lang w:val="en-US" w:eastAsia="zh-CN"/>
              </w:rPr>
              <w:t>2.75t/2a</w:t>
            </w:r>
            <w:r>
              <w:rPr>
                <w:rFonts w:hint="default" w:ascii="Times New Roman" w:hAnsi="Times New Roman" w:cs="Times New Roman"/>
                <w:bCs/>
                <w:color w:val="auto"/>
                <w:sz w:val="24"/>
                <w:highlight w:val="none"/>
                <w:u w:val="none"/>
                <w:lang w:val="en-US" w:eastAsia="zh-CN"/>
              </w:rPr>
              <w:t>。依据《国家危险废物名录》（</w:t>
            </w:r>
            <w:r>
              <w:rPr>
                <w:rFonts w:hint="eastAsia" w:ascii="Times New Roman" w:hAnsi="Times New Roman" w:cs="Times New Roman"/>
                <w:bCs/>
                <w:color w:val="auto"/>
                <w:sz w:val="24"/>
                <w:highlight w:val="none"/>
                <w:u w:val="none"/>
                <w:lang w:val="en-US" w:eastAsia="zh-CN"/>
              </w:rPr>
              <w:t>2021版</w:t>
            </w:r>
            <w:r>
              <w:rPr>
                <w:rFonts w:hint="default" w:ascii="Times New Roman" w:hAnsi="Times New Roman" w:cs="Times New Roman"/>
                <w:bCs/>
                <w:color w:val="auto"/>
                <w:sz w:val="24"/>
                <w:highlight w:val="none"/>
                <w:u w:val="none"/>
                <w:lang w:val="en-US" w:eastAsia="zh-CN"/>
              </w:rPr>
              <w:t>），活性炭</w:t>
            </w:r>
            <w:r>
              <w:rPr>
                <w:sz w:val="24"/>
              </w:rPr>
              <w:t>属于HW49其他废物</w:t>
            </w:r>
            <w:r>
              <w:rPr>
                <w:rFonts w:hint="eastAsia"/>
                <w:sz w:val="24"/>
              </w:rPr>
              <w:t>中的“</w:t>
            </w:r>
            <w:r>
              <w:rPr>
                <w:bCs/>
                <w:color w:val="000000"/>
                <w:sz w:val="24"/>
              </w:rPr>
              <w:t>900-039-49</w:t>
            </w:r>
            <w:r>
              <w:rPr>
                <w:rFonts w:hint="eastAsia"/>
                <w:sz w:val="24"/>
              </w:rPr>
              <w:t>”</w:t>
            </w:r>
            <w:r>
              <w:rPr>
                <w:bCs/>
                <w:color w:val="000000"/>
                <w:sz w:val="24"/>
              </w:rPr>
              <w:t>烟气、VOC</w:t>
            </w:r>
            <w:r>
              <w:rPr>
                <w:rFonts w:hint="eastAsia"/>
                <w:bCs/>
                <w:color w:val="000000"/>
                <w:sz w:val="24"/>
                <w:vertAlign w:val="subscript"/>
              </w:rPr>
              <w:t>S</w:t>
            </w:r>
            <w:r>
              <w:rPr>
                <w:bCs/>
                <w:color w:val="000000"/>
                <w:sz w:val="24"/>
              </w:rPr>
              <w:t>治理过程（不包括餐饮行业油烟治理过程）产生的废活性炭</w:t>
            </w:r>
            <w:r>
              <w:rPr>
                <w:sz w:val="24"/>
              </w:rPr>
              <w:t>。</w:t>
            </w:r>
            <w:r>
              <w:rPr>
                <w:rFonts w:hint="eastAsia"/>
                <w:sz w:val="24"/>
                <w:highlight w:val="none"/>
              </w:rPr>
              <w:t>评价要求密闭容器收集、危废暂存间暂存，定期委托有资质的危废处理单位进行安全处置</w:t>
            </w:r>
            <w:r>
              <w:rPr>
                <w:rFonts w:hint="default" w:ascii="Times New Roman" w:hAnsi="Times New Roman" w:cs="Times New Roman"/>
                <w:bCs/>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sz w:val="24"/>
                <w:szCs w:val="24"/>
                <w:highlight w:val="none"/>
                <w:u w:val="none"/>
                <w:lang w:eastAsia="zh-CN"/>
              </w:rPr>
            </w:pPr>
            <w:r>
              <w:rPr>
                <w:rFonts w:hint="default" w:ascii="Times New Roman" w:hAnsi="Times New Roman" w:cs="Times New Roman"/>
                <w:bCs/>
                <w:color w:val="000000"/>
                <w:sz w:val="24"/>
                <w:szCs w:val="24"/>
                <w:highlight w:val="none"/>
                <w:u w:val="none"/>
                <w:lang w:val="en-US" w:eastAsia="zh-CN"/>
              </w:rPr>
              <w:t>根据《建设项目危险废物环境影响评价指南》要求，危险废物汇总信息如下表：</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表</w:t>
            </w:r>
            <w:r>
              <w:rPr>
                <w:rFonts w:hint="eastAsia" w:cs="Times New Roman"/>
                <w:bCs/>
                <w:color w:val="000000"/>
                <w:sz w:val="21"/>
                <w:szCs w:val="21"/>
                <w:highlight w:val="none"/>
                <w:u w:val="none"/>
                <w:lang w:val="en-US" w:eastAsia="zh-CN"/>
              </w:rPr>
              <w:t>33</w:t>
            </w:r>
            <w:r>
              <w:rPr>
                <w:rFonts w:hint="default" w:ascii="Times New Roman" w:hAnsi="Times New Roman" w:cs="Times New Roman"/>
                <w:bCs/>
                <w:color w:val="000000"/>
                <w:sz w:val="21"/>
                <w:szCs w:val="21"/>
                <w:highlight w:val="none"/>
                <w:u w:val="none"/>
                <w:lang w:eastAsia="zh-CN"/>
              </w:rPr>
              <w:t xml:space="preserve">   项目危险废物产排情况一览表</w:t>
            </w:r>
          </w:p>
          <w:tbl>
            <w:tblPr>
              <w:tblStyle w:val="22"/>
              <w:tblW w:w="498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78"/>
              <w:gridCol w:w="796"/>
              <w:gridCol w:w="727"/>
              <w:gridCol w:w="667"/>
              <w:gridCol w:w="801"/>
              <w:gridCol w:w="482"/>
              <w:gridCol w:w="582"/>
              <w:gridCol w:w="537"/>
              <w:gridCol w:w="565"/>
              <w:gridCol w:w="511"/>
              <w:gridCol w:w="157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94"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危险废物名称</w:t>
                  </w:r>
                </w:p>
              </w:tc>
              <w:tc>
                <w:tcPr>
                  <w:tcW w:w="50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危险废物类别</w:t>
                  </w:r>
                </w:p>
              </w:tc>
              <w:tc>
                <w:tcPr>
                  <w:tcW w:w="4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危险废物代码</w:t>
                  </w:r>
                </w:p>
              </w:tc>
              <w:tc>
                <w:tcPr>
                  <w:tcW w:w="4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产生量</w:t>
                  </w:r>
                </w:p>
              </w:tc>
              <w:tc>
                <w:tcPr>
                  <w:tcW w:w="5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产生工序及装置</w:t>
                  </w:r>
                </w:p>
              </w:tc>
              <w:tc>
                <w:tcPr>
                  <w:tcW w:w="3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形态</w:t>
                  </w:r>
                </w:p>
              </w:tc>
              <w:tc>
                <w:tcPr>
                  <w:tcW w:w="3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主要成分</w:t>
                  </w:r>
                </w:p>
              </w:tc>
              <w:tc>
                <w:tcPr>
                  <w:tcW w:w="3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有害成分</w:t>
                  </w:r>
                </w:p>
              </w:tc>
              <w:tc>
                <w:tcPr>
                  <w:tcW w:w="3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产废周期</w:t>
                  </w:r>
                </w:p>
              </w:tc>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危险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特性</w:t>
                  </w:r>
                </w:p>
              </w:tc>
              <w:tc>
                <w:tcPr>
                  <w:tcW w:w="9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污染防治措施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废活性炭</w:t>
                  </w:r>
                </w:p>
              </w:tc>
              <w:tc>
                <w:tcPr>
                  <w:tcW w:w="50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lang w:val="en-US" w:eastAsia="zh-CN"/>
                    </w:rPr>
                    <w:t>HW49其他废物</w:t>
                  </w:r>
                </w:p>
              </w:tc>
              <w:tc>
                <w:tcPr>
                  <w:tcW w:w="45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val="en-US" w:eastAsia="zh-CN"/>
                    </w:rPr>
                    <w:t xml:space="preserve">900-039-49 </w:t>
                  </w:r>
                </w:p>
              </w:tc>
              <w:tc>
                <w:tcPr>
                  <w:tcW w:w="42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val="en-US" w:eastAsia="zh-CN"/>
                    </w:rPr>
                  </w:pPr>
                  <w:r>
                    <w:rPr>
                      <w:rFonts w:hint="eastAsia" w:ascii="Times New Roman" w:hAnsi="Times New Roman" w:cs="Times New Roman"/>
                      <w:bCs/>
                      <w:color w:val="000000"/>
                      <w:sz w:val="21"/>
                      <w:szCs w:val="21"/>
                      <w:highlight w:val="none"/>
                      <w:u w:val="none"/>
                      <w:lang w:val="en-US" w:eastAsia="zh-CN"/>
                    </w:rPr>
                    <w:t>2.75t/2a</w:t>
                  </w:r>
                </w:p>
              </w:tc>
              <w:tc>
                <w:tcPr>
                  <w:tcW w:w="5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val="en-US" w:eastAsia="zh-CN"/>
                    </w:rPr>
                  </w:pPr>
                  <w:r>
                    <w:rPr>
                      <w:rFonts w:cs="Times New Roman"/>
                      <w:color w:val="auto"/>
                      <w:highlight w:val="none"/>
                    </w:rPr>
                    <w:t>催化燃烧装置</w:t>
                  </w:r>
                </w:p>
              </w:tc>
              <w:tc>
                <w:tcPr>
                  <w:tcW w:w="3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eastAsia" w:ascii="Times New Roman" w:hAnsi="Times New Roman" w:cs="Times New Roman"/>
                      <w:bCs/>
                      <w:color w:val="000000"/>
                      <w:sz w:val="21"/>
                      <w:szCs w:val="21"/>
                      <w:highlight w:val="none"/>
                      <w:u w:val="none"/>
                      <w:lang w:val="en-US" w:eastAsia="zh-CN"/>
                    </w:rPr>
                    <w:t>固态</w:t>
                  </w:r>
                </w:p>
              </w:tc>
              <w:tc>
                <w:tcPr>
                  <w:tcW w:w="3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eastAsia" w:ascii="Times New Roman" w:hAnsi="Times New Roman" w:cs="Times New Roman"/>
                      <w:bCs/>
                      <w:color w:val="000000"/>
                      <w:sz w:val="21"/>
                      <w:szCs w:val="21"/>
                      <w:highlight w:val="none"/>
                      <w:u w:val="none"/>
                      <w:lang w:val="en-US" w:eastAsia="zh-CN"/>
                    </w:rPr>
                    <w:t>有机物</w:t>
                  </w:r>
                </w:p>
              </w:tc>
              <w:tc>
                <w:tcPr>
                  <w:tcW w:w="3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val="en-US" w:eastAsia="zh-CN"/>
                    </w:rPr>
                    <w:t>/</w:t>
                  </w:r>
                </w:p>
              </w:tc>
              <w:tc>
                <w:tcPr>
                  <w:tcW w:w="3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val="en-US" w:eastAsia="zh-CN"/>
                    </w:rPr>
                  </w:pPr>
                  <w:r>
                    <w:rPr>
                      <w:rFonts w:hint="eastAsia" w:ascii="Times New Roman" w:hAnsi="Times New Roman" w:cs="Times New Roman"/>
                      <w:bCs/>
                      <w:color w:val="000000"/>
                      <w:sz w:val="21"/>
                      <w:szCs w:val="21"/>
                      <w:highlight w:val="none"/>
                      <w:u w:val="none"/>
                      <w:lang w:val="en-US" w:eastAsia="zh-CN"/>
                    </w:rPr>
                    <w:t>2年</w:t>
                  </w:r>
                </w:p>
              </w:tc>
              <w:tc>
                <w:tcPr>
                  <w:tcW w:w="3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val="en-US" w:eastAsia="zh-CN"/>
                    </w:rPr>
                  </w:pPr>
                  <w:r>
                    <w:rPr>
                      <w:rFonts w:hint="default" w:ascii="Times New Roman" w:hAnsi="Times New Roman" w:cs="Times New Roman"/>
                      <w:bCs/>
                      <w:color w:val="000000"/>
                      <w:sz w:val="21"/>
                      <w:szCs w:val="21"/>
                      <w:highlight w:val="none"/>
                      <w:u w:val="none"/>
                      <w:lang w:eastAsia="zh-CN"/>
                    </w:rPr>
                    <w:t xml:space="preserve">T </w:t>
                  </w:r>
                </w:p>
              </w:tc>
              <w:tc>
                <w:tcPr>
                  <w:tcW w:w="99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000000"/>
                      <w:sz w:val="21"/>
                      <w:szCs w:val="21"/>
                      <w:highlight w:val="none"/>
                      <w:u w:val="none"/>
                      <w:lang w:eastAsia="zh-CN"/>
                    </w:rPr>
                  </w:pPr>
                  <w:r>
                    <w:rPr>
                      <w:rFonts w:hint="default" w:ascii="Times New Roman" w:hAnsi="Times New Roman" w:cs="Times New Roman"/>
                      <w:bCs/>
                      <w:color w:val="000000"/>
                      <w:sz w:val="21"/>
                      <w:szCs w:val="21"/>
                      <w:highlight w:val="none"/>
                      <w:u w:val="none"/>
                      <w:lang w:eastAsia="zh-CN"/>
                    </w:rPr>
                    <w:t>暂存在危废暂存</w:t>
                  </w:r>
                  <w:r>
                    <w:rPr>
                      <w:rFonts w:hint="default" w:ascii="Times New Roman" w:hAnsi="Times New Roman" w:cs="Times New Roman"/>
                      <w:bCs/>
                      <w:color w:val="000000"/>
                      <w:sz w:val="21"/>
                      <w:szCs w:val="21"/>
                      <w:highlight w:val="none"/>
                      <w:u w:val="none"/>
                      <w:lang w:val="en-US" w:eastAsia="zh-CN"/>
                    </w:rPr>
                    <w:t>间</w:t>
                  </w:r>
                  <w:r>
                    <w:rPr>
                      <w:rFonts w:hint="default" w:ascii="Times New Roman" w:hAnsi="Times New Roman" w:cs="Times New Roman"/>
                      <w:bCs/>
                      <w:color w:val="000000"/>
                      <w:sz w:val="21"/>
                      <w:szCs w:val="21"/>
                      <w:highlight w:val="none"/>
                      <w:u w:val="none"/>
                      <w:lang w:eastAsia="zh-CN"/>
                    </w:rPr>
                    <w:t>内</w:t>
                  </w:r>
                  <w:r>
                    <w:rPr>
                      <w:rFonts w:hint="eastAsia" w:ascii="Times New Roman" w:hAnsi="Times New Roman" w:cs="Times New Roman"/>
                      <w:bCs/>
                      <w:color w:val="000000"/>
                      <w:sz w:val="21"/>
                      <w:szCs w:val="21"/>
                      <w:highlight w:val="none"/>
                      <w:u w:val="none"/>
                      <w:lang w:eastAsia="zh-CN"/>
                    </w:rPr>
                    <w:t>，</w:t>
                  </w:r>
                  <w:r>
                    <w:rPr>
                      <w:rFonts w:hint="eastAsia" w:ascii="Times New Roman" w:hAnsi="Times New Roman" w:cs="Times New Roman"/>
                      <w:bCs/>
                      <w:color w:val="000000"/>
                      <w:sz w:val="21"/>
                      <w:szCs w:val="21"/>
                      <w:highlight w:val="none"/>
                      <w:u w:val="none"/>
                      <w:lang w:val="en-US" w:eastAsia="zh-CN"/>
                    </w:rPr>
                    <w:t>委托具有危废处理资质的单位处理</w:t>
                  </w:r>
                </w:p>
              </w:tc>
            </w:tr>
          </w:tbl>
          <w:p>
            <w:pPr>
              <w:adjustRightInd w:val="0"/>
              <w:snapToGrid w:val="0"/>
              <w:spacing w:before="156" w:beforeLines="50" w:line="360" w:lineRule="auto"/>
              <w:ind w:firstLine="482" w:firstLineChars="200"/>
              <w:rPr>
                <w:rFonts w:hint="default" w:ascii="Times New Roman" w:hAnsi="Times New Roman" w:eastAsia="宋体" w:cs="Times New Roman"/>
                <w:b/>
                <w:bCs w:val="0"/>
                <w:sz w:val="24"/>
                <w:szCs w:val="24"/>
              </w:rPr>
            </w:pPr>
            <w:r>
              <w:rPr>
                <w:rFonts w:hint="eastAsia" w:ascii="Times New Roman" w:hAnsi="Times New Roman" w:eastAsia="宋体" w:cs="Times New Roman"/>
                <w:b/>
                <w:bCs w:val="0"/>
                <w:sz w:val="24"/>
                <w:szCs w:val="24"/>
                <w:lang w:val="en-US" w:eastAsia="zh-CN"/>
              </w:rPr>
              <w:t>2.1</w:t>
            </w:r>
            <w:r>
              <w:rPr>
                <w:rFonts w:hint="default" w:ascii="Times New Roman" w:hAnsi="Times New Roman" w:eastAsia="宋体" w:cs="Times New Roman"/>
                <w:b/>
                <w:bCs w:val="0"/>
                <w:sz w:val="24"/>
                <w:szCs w:val="24"/>
              </w:rPr>
              <w:t>污染防治措施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eastAsia" w:cs="Times New Roman"/>
                <w:sz w:val="24"/>
                <w:szCs w:val="24"/>
                <w:lang w:val="en-US" w:eastAsia="zh-CN"/>
              </w:rPr>
              <w:t>新建</w:t>
            </w:r>
            <w:r>
              <w:rPr>
                <w:rFonts w:hint="default" w:ascii="Times New Roman" w:hAnsi="Times New Roman" w:eastAsia="宋体" w:cs="Times New Roman"/>
                <w:sz w:val="24"/>
                <w:szCs w:val="24"/>
              </w:rPr>
              <w:t>1座面积</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的危废暂存间</w:t>
            </w:r>
            <w:r>
              <w:rPr>
                <w:rFonts w:hint="default" w:ascii="Times New Roman" w:hAnsi="Times New Roman" w:eastAsia="宋体" w:cs="Times New Roman"/>
                <w:bCs/>
                <w:sz w:val="24"/>
                <w:szCs w:val="24"/>
              </w:rPr>
              <w:t>。</w:t>
            </w:r>
            <w:r>
              <w:rPr>
                <w:rFonts w:hint="default" w:ascii="Times New Roman" w:hAnsi="Times New Roman" w:eastAsia="宋体" w:cs="Times New Roman"/>
                <w:sz w:val="24"/>
                <w:szCs w:val="24"/>
                <w:lang w:eastAsia="zh-CN"/>
              </w:rPr>
              <w:t>危险废物</w:t>
            </w:r>
            <w:r>
              <w:rPr>
                <w:rFonts w:hint="default" w:ascii="Times New Roman" w:hAnsi="Times New Roman" w:eastAsia="宋体" w:cs="Times New Roman"/>
                <w:sz w:val="24"/>
                <w:szCs w:val="24"/>
              </w:rPr>
              <w:t>置于危废暂存间内，定期由有资质的单位转移处置。本项目贮存场所情况见表。</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表</w:t>
            </w:r>
            <w:r>
              <w:rPr>
                <w:rFonts w:hint="eastAsia" w:ascii="Times New Roman" w:hAnsi="Times New Roman" w:eastAsia="宋体" w:cs="Times New Roman"/>
                <w:bCs/>
                <w:sz w:val="21"/>
                <w:szCs w:val="21"/>
                <w:lang w:val="en-US" w:eastAsia="zh-CN"/>
              </w:rPr>
              <w:t>3</w:t>
            </w:r>
            <w:r>
              <w:rPr>
                <w:rFonts w:hint="eastAsia" w:cs="Times New Roman"/>
                <w:bCs/>
                <w:sz w:val="21"/>
                <w:szCs w:val="21"/>
                <w:lang w:val="en-US" w:eastAsia="zh-CN"/>
              </w:rPr>
              <w:t>4</w:t>
            </w:r>
            <w:r>
              <w:rPr>
                <w:rFonts w:hint="default" w:ascii="Times New Roman" w:hAnsi="Times New Roman" w:eastAsia="宋体" w:cs="Times New Roman"/>
                <w:bCs/>
                <w:sz w:val="21"/>
                <w:szCs w:val="21"/>
                <w:lang w:val="en-US" w:eastAsia="zh-CN"/>
              </w:rPr>
              <w:t xml:space="preserve">             </w:t>
            </w:r>
            <w:r>
              <w:rPr>
                <w:rFonts w:hint="default" w:ascii="Times New Roman" w:hAnsi="Times New Roman" w:eastAsia="宋体" w:cs="Times New Roman"/>
                <w:bCs/>
                <w:sz w:val="21"/>
                <w:szCs w:val="21"/>
              </w:rPr>
              <w:t>本项目危险废物贮存场所基本情况表</w:t>
            </w:r>
          </w:p>
          <w:tbl>
            <w:tblPr>
              <w:tblStyle w:val="22"/>
              <w:tblW w:w="79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86"/>
              <w:gridCol w:w="872"/>
              <w:gridCol w:w="900"/>
              <w:gridCol w:w="1214"/>
              <w:gridCol w:w="614"/>
              <w:gridCol w:w="750"/>
              <w:gridCol w:w="750"/>
              <w:gridCol w:w="667"/>
              <w:gridCol w:w="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42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序号</w:t>
                  </w:r>
                </w:p>
              </w:tc>
              <w:tc>
                <w:tcPr>
                  <w:tcW w:w="108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贮存场所（设施）</w:t>
                  </w:r>
                </w:p>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名称</w:t>
                  </w:r>
                </w:p>
              </w:tc>
              <w:tc>
                <w:tcPr>
                  <w:tcW w:w="872"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危险废物名称</w:t>
                  </w:r>
                </w:p>
              </w:tc>
              <w:tc>
                <w:tcPr>
                  <w:tcW w:w="90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危险废物类别</w:t>
                  </w:r>
                </w:p>
              </w:tc>
              <w:tc>
                <w:tcPr>
                  <w:tcW w:w="1214"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危险废物代码</w:t>
                  </w:r>
                </w:p>
              </w:tc>
              <w:tc>
                <w:tcPr>
                  <w:tcW w:w="614"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位置</w:t>
                  </w:r>
                </w:p>
              </w:tc>
              <w:tc>
                <w:tcPr>
                  <w:tcW w:w="75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占地面积</w:t>
                  </w:r>
                </w:p>
              </w:tc>
              <w:tc>
                <w:tcPr>
                  <w:tcW w:w="75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贮存</w:t>
                  </w:r>
                </w:p>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方式</w:t>
                  </w:r>
                </w:p>
              </w:tc>
              <w:tc>
                <w:tcPr>
                  <w:tcW w:w="667"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贮存</w:t>
                  </w:r>
                </w:p>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能力</w:t>
                  </w:r>
                </w:p>
              </w:tc>
              <w:tc>
                <w:tcPr>
                  <w:tcW w:w="63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贮存</w:t>
                  </w:r>
                </w:p>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42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w:t>
                  </w:r>
                </w:p>
              </w:tc>
              <w:tc>
                <w:tcPr>
                  <w:tcW w:w="108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危废暂存间</w:t>
                  </w:r>
                </w:p>
              </w:tc>
              <w:tc>
                <w:tcPr>
                  <w:tcW w:w="872"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val="en-US" w:eastAsia="zh-CN"/>
                    </w:rPr>
                    <w:t>废活性炭</w:t>
                  </w:r>
                </w:p>
              </w:tc>
              <w:tc>
                <w:tcPr>
                  <w:tcW w:w="90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rPr>
                    <w:t>HW</w:t>
                  </w:r>
                  <w:r>
                    <w:rPr>
                      <w:rFonts w:hint="default" w:ascii="Times New Roman" w:hAnsi="Times New Roman" w:eastAsia="宋体" w:cs="Times New Roman"/>
                      <w:color w:val="auto"/>
                      <w:sz w:val="21"/>
                      <w:szCs w:val="21"/>
                      <w:lang w:val="en-US" w:eastAsia="zh-CN"/>
                    </w:rPr>
                    <w:t>49</w:t>
                  </w:r>
                </w:p>
              </w:tc>
              <w:tc>
                <w:tcPr>
                  <w:tcW w:w="1214"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rPr>
                    <w:t>900-</w:t>
                  </w:r>
                  <w:r>
                    <w:rPr>
                      <w:rFonts w:hint="default" w:ascii="Times New Roman" w:hAnsi="Times New Roman" w:eastAsia="宋体"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39</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49</w:t>
                  </w:r>
                </w:p>
              </w:tc>
              <w:tc>
                <w:tcPr>
                  <w:tcW w:w="614"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eastAsia="zh-CN"/>
                    </w:rPr>
                    <w:t>厂区</w:t>
                  </w:r>
                </w:p>
              </w:tc>
              <w:tc>
                <w:tcPr>
                  <w:tcW w:w="75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5</w:t>
                  </w:r>
                  <w:r>
                    <w:rPr>
                      <w:rFonts w:hint="default" w:ascii="Times New Roman" w:hAnsi="Times New Roman" w:eastAsia="宋体" w:cs="Times New Roman"/>
                      <w:bCs/>
                      <w:color w:val="auto"/>
                      <w:sz w:val="21"/>
                      <w:szCs w:val="21"/>
                    </w:rPr>
                    <w:t>m</w:t>
                  </w:r>
                  <w:r>
                    <w:rPr>
                      <w:rFonts w:hint="default" w:ascii="Times New Roman" w:hAnsi="Times New Roman" w:eastAsia="宋体" w:cs="Times New Roman"/>
                      <w:bCs/>
                      <w:color w:val="auto"/>
                      <w:sz w:val="21"/>
                      <w:szCs w:val="21"/>
                      <w:vertAlign w:val="superscript"/>
                    </w:rPr>
                    <w:t>2</w:t>
                  </w:r>
                </w:p>
              </w:tc>
              <w:tc>
                <w:tcPr>
                  <w:tcW w:w="750"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专用</w:t>
                  </w:r>
                </w:p>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容器</w:t>
                  </w:r>
                </w:p>
              </w:tc>
              <w:tc>
                <w:tcPr>
                  <w:tcW w:w="667"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5</w:t>
                  </w:r>
                  <w:r>
                    <w:rPr>
                      <w:rFonts w:hint="default" w:ascii="Times New Roman" w:hAnsi="Times New Roman" w:eastAsia="宋体" w:cs="Times New Roman"/>
                      <w:bCs/>
                      <w:color w:val="auto"/>
                      <w:sz w:val="21"/>
                      <w:szCs w:val="21"/>
                    </w:rPr>
                    <w:t>t</w:t>
                  </w:r>
                </w:p>
              </w:tc>
              <w:tc>
                <w:tcPr>
                  <w:tcW w:w="636" w:type="dxa"/>
                  <w:tcBorders>
                    <w:tl2br w:val="nil"/>
                    <w:tr2bl w:val="nil"/>
                  </w:tcBorders>
                  <w:noWrap w:val="0"/>
                  <w:vAlign w:val="center"/>
                </w:tcPr>
                <w:p>
                  <w:pPr>
                    <w:adjustRightInd w:val="0"/>
                    <w:snapToGrid w:val="0"/>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300</w:t>
                  </w:r>
                  <w:r>
                    <w:rPr>
                      <w:rFonts w:hint="default" w:ascii="Times New Roman" w:hAnsi="Times New Roman" w:eastAsia="宋体" w:cs="Times New Roman"/>
                      <w:bCs/>
                      <w:color w:val="auto"/>
                      <w:sz w:val="21"/>
                      <w:szCs w:val="21"/>
                    </w:rPr>
                    <w:t>d</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bCs/>
                <w:color w:val="000000"/>
                <w:sz w:val="24"/>
                <w:highlight w:val="none"/>
                <w:u w:val="none"/>
                <w:vertAlign w:val="baseline"/>
                <w:lang w:val="en-US" w:eastAsia="zh-CN"/>
              </w:rPr>
            </w:pPr>
            <w:r>
              <w:rPr>
                <w:rFonts w:hint="default" w:ascii="Times New Roman" w:hAnsi="Times New Roman" w:cs="Times New Roman"/>
                <w:bCs/>
                <w:color w:val="000000"/>
                <w:sz w:val="24"/>
                <w:szCs w:val="24"/>
                <w:highlight w:val="none"/>
                <w:u w:val="none"/>
                <w:lang w:eastAsia="zh-CN"/>
              </w:rPr>
              <w:t>根据《危险废物收集 贮存 运输技术规范》（HJ2025</w:t>
            </w:r>
            <w:r>
              <w:rPr>
                <w:rFonts w:hint="eastAsia" w:cs="Times New Roman"/>
                <w:bCs/>
                <w:color w:val="000000"/>
                <w:sz w:val="24"/>
                <w:szCs w:val="24"/>
                <w:highlight w:val="none"/>
                <w:u w:val="none"/>
                <w:lang w:val="en-US" w:eastAsia="zh-CN"/>
              </w:rPr>
              <w:t>-2012）</w:t>
            </w:r>
            <w:r>
              <w:rPr>
                <w:rFonts w:hint="default" w:ascii="Times New Roman" w:hAnsi="Times New Roman" w:cs="Times New Roman"/>
                <w:bCs/>
                <w:color w:val="000000"/>
                <w:sz w:val="24"/>
                <w:szCs w:val="24"/>
                <w:highlight w:val="none"/>
                <w:u w:val="none"/>
                <w:lang w:eastAsia="zh-CN"/>
              </w:rPr>
              <w:t>、</w:t>
            </w:r>
            <w:r>
              <w:rPr>
                <w:rFonts w:hint="eastAsia" w:cs="Times New Roman"/>
                <w:color w:val="000000"/>
                <w:sz w:val="24"/>
                <w:szCs w:val="24"/>
                <w:lang w:eastAsia="zh-CN"/>
              </w:rPr>
              <w:t>《危险废物贮存污染控制标准》（GB18597-2023）</w:t>
            </w:r>
            <w:r>
              <w:rPr>
                <w:rFonts w:hint="default" w:ascii="Times New Roman" w:hAnsi="Times New Roman" w:cs="Times New Roman"/>
                <w:bCs/>
                <w:color w:val="000000"/>
                <w:sz w:val="24"/>
                <w:szCs w:val="24"/>
                <w:highlight w:val="none"/>
                <w:u w:val="none"/>
                <w:lang w:eastAsia="zh-CN"/>
              </w:rPr>
              <w:t>相关要求，环评要求建设单位</w:t>
            </w:r>
            <w:r>
              <w:rPr>
                <w:rFonts w:hint="eastAsia"/>
                <w:sz w:val="24"/>
                <w:szCs w:val="24"/>
                <w:lang w:eastAsia="zh-CN"/>
              </w:rPr>
              <w:t>，</w:t>
            </w:r>
            <w:r>
              <w:rPr>
                <w:rFonts w:hint="eastAsia"/>
                <w:sz w:val="24"/>
                <w:szCs w:val="24"/>
                <w:lang w:val="en-US" w:eastAsia="zh-CN"/>
              </w:rPr>
              <w:t>建设规范的危废暂存间5m</w:t>
            </w:r>
            <w:r>
              <w:rPr>
                <w:rFonts w:hint="eastAsia"/>
                <w:sz w:val="24"/>
                <w:szCs w:val="24"/>
                <w:vertAlign w:val="superscript"/>
                <w:lang w:val="en-US" w:eastAsia="zh-CN"/>
              </w:rPr>
              <w:t>2</w:t>
            </w:r>
            <w:r>
              <w:rPr>
                <w:rFonts w:hint="eastAsia"/>
                <w:sz w:val="24"/>
                <w:szCs w:val="24"/>
                <w:vertAlign w:val="baseline"/>
                <w:lang w:val="en-US" w:eastAsia="zh-CN"/>
              </w:rPr>
              <w:t>。</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val="0"/>
                <w:sz w:val="24"/>
                <w:szCs w:val="24"/>
                <w:lang w:val="en-US" w:eastAsia="zh-CN"/>
              </w:rPr>
            </w:pPr>
            <w:r>
              <w:rPr>
                <w:rFonts w:hint="eastAsia" w:ascii="Times New Roman" w:hAnsi="Times New Roman" w:eastAsia="宋体" w:cs="Times New Roman"/>
                <w:b/>
                <w:bCs w:val="0"/>
                <w:sz w:val="24"/>
                <w:szCs w:val="24"/>
                <w:lang w:val="en-US" w:eastAsia="zh-CN"/>
              </w:rPr>
              <w:t>3、管理要求</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val="0"/>
                <w:sz w:val="24"/>
                <w:szCs w:val="24"/>
                <w:lang w:eastAsia="zh-CN"/>
              </w:rPr>
            </w:pPr>
            <w:r>
              <w:rPr>
                <w:rFonts w:hint="default" w:ascii="Times New Roman" w:hAnsi="Times New Roman" w:eastAsia="宋体" w:cs="Times New Roman"/>
                <w:b/>
                <w:bCs w:val="0"/>
                <w:sz w:val="24"/>
                <w:szCs w:val="24"/>
              </w:rPr>
              <w:t xml:space="preserve">3.1 </w:t>
            </w:r>
            <w:r>
              <w:rPr>
                <w:rFonts w:hint="eastAsia" w:ascii="Times New Roman" w:hAnsi="Times New Roman" w:eastAsia="宋体" w:cs="Times New Roman"/>
                <w:b/>
                <w:bCs w:val="0"/>
                <w:sz w:val="24"/>
                <w:szCs w:val="24"/>
                <w:lang w:eastAsia="zh-CN"/>
              </w:rPr>
              <w:t>一般固废</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bCs w:val="0"/>
                <w:sz w:val="24"/>
                <w:szCs w:val="24"/>
              </w:rPr>
            </w:pPr>
            <w:r>
              <w:rPr>
                <w:rFonts w:hint="default" w:ascii="Times New Roman" w:hAnsi="Times New Roman" w:eastAsia="宋体" w:cs="Times New Roman"/>
                <w:sz w:val="24"/>
                <w:lang w:eastAsia="zh-CN"/>
              </w:rPr>
              <w:t>一般固废</w:t>
            </w:r>
            <w:r>
              <w:rPr>
                <w:rFonts w:hint="default" w:ascii="Times New Roman" w:hAnsi="Times New Roman" w:eastAsia="宋体" w:cs="Times New Roman"/>
                <w:sz w:val="24"/>
              </w:rPr>
              <w:t>暂存场所按照</w:t>
            </w:r>
            <w:r>
              <w:rPr>
                <w:rFonts w:hint="default" w:ascii="Times New Roman" w:hAnsi="Times New Roman" w:cs="Times New Roman"/>
                <w:color w:val="auto"/>
                <w:sz w:val="24"/>
                <w:szCs w:val="24"/>
              </w:rPr>
              <w:t>《一般工业固体废物贮存</w:t>
            </w:r>
            <w:r>
              <w:rPr>
                <w:rFonts w:hint="eastAsia" w:ascii="Times New Roman" w:hAnsi="Times New Roman" w:cs="Times New Roman"/>
                <w:color w:val="auto"/>
                <w:sz w:val="24"/>
                <w:szCs w:val="24"/>
                <w:lang w:eastAsia="zh-CN"/>
              </w:rPr>
              <w:t>和填埋污染</w:t>
            </w:r>
            <w:r>
              <w:rPr>
                <w:rFonts w:hint="default" w:ascii="Times New Roman" w:hAnsi="Times New Roman" w:cs="Times New Roman"/>
                <w:color w:val="auto"/>
                <w:sz w:val="24"/>
                <w:szCs w:val="24"/>
              </w:rPr>
              <w:t>控制标准》（GB18599-</w:t>
            </w:r>
            <w:r>
              <w:rPr>
                <w:rFonts w:hint="eastAsia" w:ascii="Times New Roman" w:hAnsi="Times New Roman" w:cs="Times New Roman"/>
                <w:color w:val="auto"/>
                <w:sz w:val="24"/>
                <w:szCs w:val="24"/>
                <w:lang w:val="en-US" w:eastAsia="zh-CN"/>
              </w:rPr>
              <w:t>2020</w:t>
            </w:r>
            <w:r>
              <w:rPr>
                <w:rFonts w:hint="default" w:ascii="Times New Roman" w:hAnsi="Times New Roman" w:cs="Times New Roman"/>
                <w:color w:val="auto"/>
                <w:sz w:val="24"/>
                <w:szCs w:val="24"/>
              </w:rPr>
              <w:t>）</w:t>
            </w:r>
            <w:r>
              <w:rPr>
                <w:rFonts w:hint="eastAsia" w:ascii="Times New Roman" w:hAnsi="Times New Roman" w:eastAsia="宋体" w:cs="Times New Roman"/>
                <w:sz w:val="24"/>
                <w:lang w:eastAsia="zh-CN"/>
              </w:rPr>
              <w:t>进行暂存，</w:t>
            </w:r>
            <w:r>
              <w:rPr>
                <w:rFonts w:hint="default" w:ascii="Times New Roman" w:hAnsi="Times New Roman" w:eastAsia="宋体" w:cs="Times New Roman"/>
                <w:sz w:val="24"/>
              </w:rPr>
              <w:t>储存区的地面防渗，并应做好防风、防晒、防雨。</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eastAsia="宋体"/>
                <w:lang w:val="en-US" w:eastAsia="zh-CN"/>
              </w:rPr>
            </w:pPr>
            <w:r>
              <w:rPr>
                <w:rFonts w:hint="eastAsia" w:ascii="Times New Roman" w:hAnsi="Times New Roman" w:eastAsia="宋体" w:cs="Times New Roman"/>
                <w:b/>
                <w:bCs w:val="0"/>
                <w:sz w:val="24"/>
                <w:szCs w:val="24"/>
                <w:lang w:val="en-US" w:eastAsia="zh-CN"/>
              </w:rPr>
              <w:t>3.2危险废物</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val="0"/>
                <w:sz w:val="24"/>
                <w:szCs w:val="24"/>
              </w:rPr>
            </w:pPr>
            <w:r>
              <w:rPr>
                <w:rFonts w:hint="eastAsia" w:ascii="Times New Roman" w:hAnsi="Times New Roman" w:eastAsia="宋体" w:cs="Times New Roman"/>
                <w:b/>
                <w:bCs w:val="0"/>
                <w:sz w:val="24"/>
                <w:szCs w:val="24"/>
                <w:lang w:val="en-US" w:eastAsia="zh-CN"/>
              </w:rPr>
              <w:t>3.2.1</w:t>
            </w:r>
            <w:r>
              <w:rPr>
                <w:rFonts w:hint="default" w:ascii="Times New Roman" w:hAnsi="Times New Roman" w:eastAsia="宋体" w:cs="Times New Roman"/>
                <w:b/>
                <w:bCs w:val="0"/>
                <w:sz w:val="24"/>
                <w:szCs w:val="24"/>
              </w:rPr>
              <w:t>危险废物的收集</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项目</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收集包括两个方面：一是在</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产生节点将其集中到适当的包装容器中或车辆上的活动；二是将已包装或装到运输车辆上的</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集中到危险废物暂存仓库的内部转运。</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项目</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color w:val="auto"/>
                <w:sz w:val="24"/>
                <w:szCs w:val="24"/>
              </w:rPr>
              <w:t>的</w:t>
            </w:r>
            <w:r>
              <w:rPr>
                <w:rFonts w:hint="default" w:ascii="Times New Roman" w:hAnsi="Times New Roman" w:eastAsia="宋体" w:cs="Times New Roman"/>
                <w:bCs/>
                <w:color w:val="auto"/>
                <w:kern w:val="0"/>
                <w:sz w:val="24"/>
                <w:szCs w:val="24"/>
              </w:rPr>
              <w:t>收集须严格按照《危险废物收集贮存运输技术规范》（HJ2025-2012）的要求：</w:t>
            </w:r>
          </w:p>
          <w:p>
            <w:pPr>
              <w:adjustRightInd w:val="0"/>
              <w:snapToGrid w:val="0"/>
              <w:spacing w:line="360" w:lineRule="auto"/>
              <w:ind w:firstLine="480"/>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①根据</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②制定</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收集操作规程，内容包括适用范围、操作程序和方法、专用设备和工具、转移和交接、安全保障和应急防护等。③</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作业人员根据工作需要配备必要的个人防护装备，如手套或口罩等。④在</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收集转运过程中，采取防火、防泄漏、防雨等防治污染环境的措施。⑤</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收集时应根据种类、数量、危险特性、物理形态、运输要求等因素选择合适的包装形式。</w:t>
            </w:r>
          </w:p>
          <w:p>
            <w:pPr>
              <w:spacing w:line="360" w:lineRule="auto"/>
              <w:ind w:firstLine="482"/>
              <w:rPr>
                <w:rFonts w:hint="default" w:ascii="Times New Roman" w:hAnsi="Times New Roman" w:eastAsia="宋体" w:cs="Times New Roman"/>
                <w:b/>
                <w:bCs w:val="0"/>
                <w:kern w:val="0"/>
                <w:sz w:val="24"/>
                <w:szCs w:val="24"/>
              </w:rPr>
            </w:pPr>
            <w:r>
              <w:rPr>
                <w:rFonts w:hint="eastAsia" w:ascii="Times New Roman" w:hAnsi="Times New Roman" w:eastAsia="宋体" w:cs="Times New Roman"/>
                <w:b/>
                <w:bCs w:val="0"/>
                <w:kern w:val="0"/>
                <w:sz w:val="24"/>
                <w:szCs w:val="24"/>
                <w:lang w:val="en-US" w:eastAsia="zh-CN"/>
              </w:rPr>
              <w:t>3</w:t>
            </w:r>
            <w:r>
              <w:rPr>
                <w:rFonts w:hint="default" w:ascii="Times New Roman" w:hAnsi="Times New Roman" w:eastAsia="宋体" w:cs="Times New Roman"/>
                <w:b/>
                <w:bCs w:val="0"/>
                <w:kern w:val="0"/>
                <w:sz w:val="24"/>
                <w:szCs w:val="24"/>
              </w:rPr>
              <w:t>.3.2</w:t>
            </w:r>
            <w:r>
              <w:rPr>
                <w:rFonts w:hint="default" w:ascii="Times New Roman" w:hAnsi="Times New Roman" w:eastAsia="宋体" w:cs="Times New Roman"/>
                <w:b/>
                <w:bCs w:val="0"/>
                <w:sz w:val="24"/>
                <w:szCs w:val="24"/>
              </w:rPr>
              <w:t>危险废物的</w:t>
            </w:r>
            <w:r>
              <w:rPr>
                <w:rFonts w:hint="default" w:ascii="Times New Roman" w:hAnsi="Times New Roman" w:eastAsia="宋体" w:cs="Times New Roman"/>
                <w:b/>
                <w:bCs w:val="0"/>
                <w:kern w:val="0"/>
                <w:sz w:val="24"/>
                <w:szCs w:val="24"/>
              </w:rPr>
              <w:t>暂存要求</w:t>
            </w:r>
          </w:p>
          <w:p>
            <w:pPr>
              <w:spacing w:line="360" w:lineRule="auto"/>
              <w:ind w:firstLine="480"/>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（1）危险废物储存间按照《危险废物贮存污染控制标准》(GB18597-2001)及其修改单和《危险废物收集贮存运输技术规范》(HJ2025-2012)的相关要求，采取地面防渗、设置围堰、不同危险废物进行隔离存放的措施。</w:t>
            </w:r>
          </w:p>
          <w:p>
            <w:pPr>
              <w:spacing w:line="360" w:lineRule="auto"/>
              <w:ind w:firstLine="480"/>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（2）企业须健全危险废物相关管理制度，并严格落实。①企业须配备专业技术人员和管理人员专门负责企业</w:t>
            </w:r>
            <w:r>
              <w:rPr>
                <w:rFonts w:hint="eastAsia" w:ascii="Times New Roman" w:hAnsi="Times New Roman" w:eastAsia="宋体" w:cs="Times New Roman"/>
                <w:color w:val="auto"/>
                <w:sz w:val="24"/>
                <w:szCs w:val="24"/>
                <w:lang w:eastAsia="zh-CN"/>
              </w:rPr>
              <w:t>废活性炭的</w:t>
            </w:r>
            <w:r>
              <w:rPr>
                <w:rFonts w:hint="default" w:ascii="Times New Roman" w:hAnsi="Times New Roman" w:eastAsia="宋体" w:cs="Times New Roman"/>
                <w:color w:val="auto"/>
                <w:sz w:val="24"/>
                <w:szCs w:val="24"/>
              </w:rPr>
              <w:t>统</w:t>
            </w:r>
            <w:r>
              <w:rPr>
                <w:rFonts w:hint="default" w:ascii="Times New Roman" w:hAnsi="Times New Roman" w:eastAsia="宋体" w:cs="Times New Roman"/>
                <w:bCs/>
                <w:color w:val="auto"/>
                <w:kern w:val="0"/>
                <w:sz w:val="24"/>
                <w:szCs w:val="24"/>
              </w:rPr>
              <w:t>计、收集、暂存、转运和管理工作，并对有关危废产生部门员工进行定期教育和培训，强化危险废物管理；②企业须建立</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收集操作规程、转运操作规程、暂存管理规程等相关制度，并认真落实；③规范</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统计、建立</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收集及储运有关档案，认真填写《危险废物项目区内转运记录表》，</w:t>
            </w:r>
            <w:r>
              <w:rPr>
                <w:rFonts w:hint="default" w:ascii="Times New Roman" w:hAnsi="Times New Roman" w:eastAsia="宋体" w:cs="Times New Roman"/>
                <w:bCs/>
                <w:color w:val="auto"/>
                <w:kern w:val="0"/>
                <w:sz w:val="24"/>
                <w:szCs w:val="24"/>
                <w:lang w:eastAsia="zh-CN"/>
              </w:rPr>
              <w:t>做</w:t>
            </w:r>
            <w:r>
              <w:rPr>
                <w:rFonts w:hint="default" w:ascii="Times New Roman" w:hAnsi="Times New Roman" w:eastAsia="宋体" w:cs="Times New Roman"/>
                <w:bCs/>
                <w:color w:val="auto"/>
                <w:kern w:val="0"/>
                <w:sz w:val="24"/>
                <w:szCs w:val="24"/>
              </w:rPr>
              <w:t>好</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情况的记录，并即时存档以备查阅。</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eastAsia="宋体" w:cs="Times New Roman"/>
                <w:bCs/>
                <w:color w:val="auto"/>
                <w:kern w:val="0"/>
                <w:sz w:val="24"/>
                <w:szCs w:val="24"/>
                <w:lang w:eastAsia="zh-CN"/>
              </w:rPr>
            </w:pPr>
            <w:r>
              <w:rPr>
                <w:rFonts w:hint="default" w:ascii="Times New Roman" w:hAnsi="Times New Roman" w:eastAsia="宋体" w:cs="Times New Roman"/>
                <w:bCs/>
                <w:color w:val="auto"/>
                <w:kern w:val="0"/>
                <w:sz w:val="24"/>
                <w:szCs w:val="24"/>
              </w:rPr>
              <w:t>（3）危险废物在危废库房内暂存期间应严格按照《危险废物贮存污染控制标准》（GB18596-2001）和《危险废物收集贮存运输技术规范》（HJ2025-2012）的相关要求进行存储和管理。①必须将</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装入容器内进行密封装运，禁止将不相容（相互反应）的危险废物在同一容器内混装；②盛装</w:t>
            </w:r>
            <w:r>
              <w:rPr>
                <w:rFonts w:hint="eastAsia" w:ascii="Times New Roman" w:hAnsi="Times New Roman" w:eastAsia="宋体" w:cs="Times New Roman"/>
                <w:color w:val="auto"/>
                <w:sz w:val="24"/>
                <w:szCs w:val="24"/>
                <w:lang w:eastAsia="zh-CN"/>
              </w:rPr>
              <w:t>废活性炭</w:t>
            </w:r>
            <w:r>
              <w:rPr>
                <w:rFonts w:hint="default" w:ascii="Times New Roman" w:hAnsi="Times New Roman" w:eastAsia="宋体" w:cs="Times New Roman"/>
                <w:bCs/>
                <w:color w:val="auto"/>
                <w:kern w:val="0"/>
                <w:sz w:val="24"/>
                <w:szCs w:val="24"/>
              </w:rPr>
              <w:t>容器应当符合标准，材质要满足相应的强度要求且必须完好无损，容器材质和衬里要与危险废物相容（不相互反应）；③危险废物贮存前应进行检验，确保同预定接收的危险废物一致，并登记注册，不得接收未粘贴符合规定的标签或标签没按规定填写的危险废物；④必须定期对所贮存的危险废物包装容器及贮存设施进行检查，发现破损，应及时采取措施清理更换</w:t>
            </w:r>
            <w:r>
              <w:rPr>
                <w:rFonts w:hint="eastAsia" w:cs="Times New Roman"/>
                <w:bCs/>
                <w:color w:val="auto"/>
                <w:kern w:val="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bCs w:val="0"/>
                <w:kern w:val="0"/>
                <w:sz w:val="24"/>
                <w:szCs w:val="24"/>
              </w:rPr>
            </w:pPr>
            <w:r>
              <w:rPr>
                <w:rFonts w:hint="eastAsia" w:ascii="Times New Roman" w:hAnsi="Times New Roman" w:eastAsia="宋体" w:cs="Times New Roman"/>
                <w:b/>
                <w:bCs w:val="0"/>
                <w:kern w:val="0"/>
                <w:sz w:val="24"/>
                <w:szCs w:val="24"/>
                <w:lang w:val="en-US" w:eastAsia="zh-CN"/>
              </w:rPr>
              <w:t>3</w:t>
            </w:r>
            <w:r>
              <w:rPr>
                <w:rFonts w:hint="default" w:ascii="Times New Roman" w:hAnsi="Times New Roman" w:eastAsia="宋体" w:cs="Times New Roman"/>
                <w:b/>
                <w:bCs w:val="0"/>
                <w:kern w:val="0"/>
                <w:sz w:val="24"/>
                <w:szCs w:val="24"/>
              </w:rPr>
              <w:t>.3.3危险废物的转运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000000"/>
                <w:sz w:val="24"/>
                <w:highlight w:val="none"/>
                <w:u w:val="none"/>
                <w:lang w:eastAsia="zh-CN"/>
              </w:rPr>
            </w:pPr>
            <w:r>
              <w:rPr>
                <w:rFonts w:hint="default" w:ascii="Times New Roman" w:hAnsi="Times New Roman" w:eastAsia="宋体" w:cs="Times New Roman"/>
                <w:bCs/>
                <w:color w:val="auto"/>
                <w:kern w:val="0"/>
                <w:sz w:val="24"/>
                <w:szCs w:val="24"/>
              </w:rPr>
              <w:t>项目危险废物转运过程中采取篷布遮盖、防滴漏等措施，减少危险废物运输过程给环境带来污染。危险废物的转运还应按照《危险废物收集贮存运输技术规范》（HJ2025-2012）的要求进行，具体如下：①危险废物的运输由持有危险废物经营许可证的单位组织实施，并按照相关危险货物运输管理规定执行；②项目危险废物运输采用公路运输方式，应按照《道路危险货物运输管理规定》（交通运输部令2013年第2号）执行。运输单位承运危险废物时，应在危险废物包装上按照GB18597附录A设置标志，运输车辆应按GB13392设立车辆标志。危废运输车辆应配备符合有关国家标准以及与所载运的危险货物相适应的应急处理器材和安全防护设备。③危险废物运输时的装卸应遵照如下技术要求：装卸区的工作人员应熟悉危险废物的危险特性，并配备适当的个人防护装备。装卸区域应配备必要的消防设备和设施，并设置明显的指示标志。④</w:t>
            </w:r>
            <w:r>
              <w:rPr>
                <w:rFonts w:hint="eastAsia" w:ascii="宋体" w:hAnsi="宋体" w:eastAsia="宋体" w:cs="宋体"/>
                <w:b w:val="0"/>
                <w:bCs/>
                <w:kern w:val="0"/>
                <w:sz w:val="24"/>
                <w:szCs w:val="24"/>
                <w:lang w:val="en-US" w:eastAsia="zh-CN"/>
              </w:rPr>
              <w:t>危险废物转</w:t>
            </w:r>
            <w:r>
              <w:rPr>
                <w:rFonts w:hint="eastAsia" w:ascii="宋体" w:hAnsi="宋体" w:eastAsia="宋体" w:cs="宋体"/>
                <w:b w:val="0"/>
                <w:bCs/>
                <w:color w:val="auto"/>
                <w:kern w:val="0"/>
                <w:sz w:val="24"/>
                <w:szCs w:val="24"/>
                <w:lang w:val="en-US" w:eastAsia="zh-CN"/>
              </w:rPr>
              <w:t>移时应按</w:t>
            </w:r>
            <w:r>
              <w:rPr>
                <w:rFonts w:hint="default" w:ascii="Times New Roman" w:hAnsi="Times New Roman" w:eastAsia="宋体" w:cs="Times New Roman"/>
                <w:b w:val="0"/>
                <w:bCs/>
                <w:color w:val="auto"/>
                <w:kern w:val="0"/>
                <w:sz w:val="24"/>
                <w:szCs w:val="24"/>
                <w:lang w:val="en-US" w:eastAsia="zh-CN"/>
              </w:rPr>
              <w:t>照《</w:t>
            </w:r>
            <w:r>
              <w:rPr>
                <w:rStyle w:val="25"/>
                <w:rFonts w:hint="default" w:ascii="Times New Roman" w:hAnsi="Times New Roman" w:eastAsia="宋体" w:cs="Times New Roman"/>
                <w:b w:val="0"/>
                <w:bCs/>
                <w:i w:val="0"/>
                <w:caps w:val="0"/>
                <w:color w:val="auto"/>
                <w:spacing w:val="0"/>
                <w:sz w:val="24"/>
                <w:szCs w:val="24"/>
                <w:shd w:val="clear" w:color="auto" w:fill="FFFFFF"/>
              </w:rPr>
              <w:t>中华人民共和国固体废物污染环境防治法</w:t>
            </w:r>
            <w:r>
              <w:rPr>
                <w:rFonts w:hint="default" w:ascii="Times New Roman" w:hAnsi="Times New Roman" w:eastAsia="宋体" w:cs="Times New Roman"/>
                <w:b w:val="0"/>
                <w:bCs/>
                <w:color w:val="auto"/>
                <w:kern w:val="0"/>
                <w:sz w:val="24"/>
                <w:szCs w:val="24"/>
                <w:lang w:val="en-US" w:eastAsia="zh-CN"/>
              </w:rPr>
              <w:t>》（2020年修订）中第八十二条要求进</w:t>
            </w:r>
            <w:r>
              <w:rPr>
                <w:rFonts w:hint="eastAsia" w:ascii="宋体" w:hAnsi="宋体" w:eastAsia="宋体" w:cs="宋体"/>
                <w:b w:val="0"/>
                <w:bCs/>
                <w:color w:val="auto"/>
                <w:kern w:val="0"/>
                <w:sz w:val="24"/>
                <w:szCs w:val="24"/>
                <w:lang w:val="en-US" w:eastAsia="zh-CN"/>
              </w:rPr>
              <w:t>行转移：</w:t>
            </w:r>
            <w:r>
              <w:rPr>
                <w:rFonts w:hint="eastAsia" w:ascii="宋体" w:hAnsi="宋体" w:eastAsia="宋体" w:cs="宋体"/>
                <w:b w:val="0"/>
                <w:bCs/>
                <w:i w:val="0"/>
                <w:caps w:val="0"/>
                <w:color w:val="auto"/>
                <w:spacing w:val="0"/>
                <w:sz w:val="24"/>
                <w:szCs w:val="24"/>
                <w:shd w:val="clear" w:color="auto" w:fill="FFFFFF"/>
              </w:rPr>
              <w:t>转</w:t>
            </w:r>
            <w:r>
              <w:rPr>
                <w:rFonts w:hint="eastAsia" w:ascii="宋体" w:hAnsi="宋体" w:eastAsia="宋体" w:cs="宋体"/>
                <w:i w:val="0"/>
                <w:caps w:val="0"/>
                <w:color w:val="auto"/>
                <w:spacing w:val="0"/>
                <w:sz w:val="24"/>
                <w:szCs w:val="24"/>
                <w:shd w:val="clear" w:color="auto" w:fill="FFFFFF"/>
              </w:rPr>
              <w:t>移危险废物的，应当按照国家有关规定填写、运行危险废物电子或者纸质转移联单。跨省、自治区、直辖市转移危险废物的，应当向危险废物移出地省、自治区、直辖市人民政府生态环境主管部门申请。移出地省、自治区、直辖市人民政府生态环境主管部门应当及时商经接受地省、自治区、直辖市人民政府生态环境主管部门同意后，在规定期限内批准转移该危险废物，并将批准信息通报相关省、自治区、直辖市人民政府生态环境主管部门和交通运输主管部门。未经批准的，不得转移。危险废物转移管理应当全程管控、提高效率，具体办法由国务院生态环境主管部门会同国务院交通运输主管部门和公安部门制定</w:t>
            </w:r>
            <w:r>
              <w:rPr>
                <w:rFonts w:hint="eastAsia" w:ascii="宋体" w:hAnsi="宋体" w:eastAsia="宋体" w:cs="宋体"/>
                <w:i w:val="0"/>
                <w:caps w:val="0"/>
                <w:color w:val="auto"/>
                <w:spacing w:val="0"/>
                <w:sz w:val="24"/>
                <w:szCs w:val="24"/>
                <w:shd w:val="clear" w:color="auto" w:fill="FFFFFF"/>
                <w:lang w:eastAsia="zh-CN"/>
              </w:rPr>
              <w:t>。</w:t>
            </w:r>
            <w:r>
              <w:rPr>
                <w:rFonts w:hint="default" w:ascii="Times New Roman" w:hAnsi="Times New Roman" w:eastAsia="宋体" w:cs="Times New Roman"/>
                <w:bCs/>
                <w:kern w:val="0"/>
                <w:sz w:val="24"/>
                <w:szCs w:val="24"/>
              </w:rPr>
              <w:t>⑤废物处置单位的运输人员必须掌握危险废物运输的安全知识，了解所运载的危险废物的性质、危害特性、包装容器的使用特性和发生意外时的应急措施。运输车辆必须具有车辆危险货物运输许可证。</w:t>
            </w:r>
          </w:p>
          <w:p>
            <w:pPr>
              <w:pageBreakBefore w:val="0"/>
              <w:tabs>
                <w:tab w:val="left" w:pos="3255"/>
              </w:tabs>
              <w:kinsoku/>
              <w:overflowPunct/>
              <w:topLinePunct w:val="0"/>
              <w:bidi w:val="0"/>
              <w:adjustRightInd w:val="0"/>
              <w:snapToGrid w:val="0"/>
              <w:spacing w:line="360" w:lineRule="auto"/>
              <w:ind w:firstLine="482" w:firstLineChars="200"/>
              <w:rPr>
                <w:rFonts w:hint="default" w:ascii="Times New Roman" w:hAnsi="Times New Roman" w:eastAsia="宋体" w:cs="Times New Roman"/>
                <w:b/>
                <w:sz w:val="24"/>
                <w:highlight w:val="none"/>
                <w:lang w:val="en-US" w:eastAsia="zh-CN"/>
              </w:rPr>
            </w:pPr>
            <w:r>
              <w:rPr>
                <w:rFonts w:hint="default" w:ascii="Times New Roman" w:hAnsi="Times New Roman" w:eastAsia="宋体" w:cs="Times New Roman"/>
                <w:b/>
                <w:sz w:val="24"/>
                <w:highlight w:val="none"/>
                <w:lang w:eastAsia="zh-CN"/>
              </w:rPr>
              <w:t>（</w:t>
            </w:r>
            <w:r>
              <w:rPr>
                <w:rFonts w:hint="eastAsia" w:cs="Times New Roman"/>
                <w:b/>
                <w:sz w:val="24"/>
                <w:highlight w:val="none"/>
                <w:lang w:val="en-US" w:eastAsia="zh-CN"/>
              </w:rPr>
              <w:t>五</w:t>
            </w:r>
            <w:r>
              <w:rPr>
                <w:rFonts w:hint="default" w:ascii="Times New Roman" w:hAnsi="Times New Roman" w:eastAsia="宋体" w:cs="Times New Roman"/>
                <w:b/>
                <w:sz w:val="24"/>
                <w:highlight w:val="none"/>
                <w:lang w:val="en-US" w:eastAsia="zh-CN"/>
              </w:rPr>
              <w:t>）</w:t>
            </w:r>
            <w:r>
              <w:rPr>
                <w:rFonts w:hint="eastAsia" w:cs="Times New Roman"/>
                <w:b/>
                <w:sz w:val="24"/>
                <w:highlight w:val="none"/>
                <w:lang w:val="en-US" w:eastAsia="zh-CN"/>
              </w:rPr>
              <w:t>项目三本账一览表</w:t>
            </w:r>
          </w:p>
          <w:p>
            <w:pPr>
              <w:pStyle w:val="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vertAlign w:val="baseline"/>
                <w:lang w:val="en-US" w:eastAsia="zh-CN"/>
              </w:rPr>
            </w:pPr>
            <w:r>
              <w:rPr>
                <w:rFonts w:hint="eastAsia"/>
                <w:sz w:val="21"/>
                <w:szCs w:val="21"/>
                <w:lang w:val="en-US" w:eastAsia="zh-CN"/>
              </w:rPr>
              <w:t>表35     本项目建成前后主要污染物（三本帐）变化情况表</w:t>
            </w:r>
          </w:p>
          <w:tbl>
            <w:tblPr>
              <w:tblStyle w:val="23"/>
              <w:tblW w:w="4996"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1338"/>
              <w:gridCol w:w="1399"/>
              <w:gridCol w:w="1023"/>
              <w:gridCol w:w="1010"/>
              <w:gridCol w:w="14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1050"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spacing w:val="-6"/>
                      <w:kern w:val="21"/>
                      <w:sz w:val="21"/>
                      <w:szCs w:val="21"/>
                      <w:lang w:val="en-US" w:eastAsia="zh-CN" w:bidi="ar-SA"/>
                    </w:rPr>
                  </w:pPr>
                  <w:bookmarkStart w:id="19" w:name="OLE_LINK15"/>
                  <w:r>
                    <w:rPr>
                      <w:rFonts w:hint="default" w:ascii="Times New Roman" w:hAnsi="Times New Roman" w:eastAsia="宋体" w:cs="Times New Roman"/>
                      <w:snapToGrid w:val="0"/>
                      <w:color w:val="000000"/>
                      <w:spacing w:val="-6"/>
                      <w:kern w:val="21"/>
                      <w:sz w:val="21"/>
                      <w:szCs w:val="21"/>
                    </w:rPr>
                    <w:t>分类</w:t>
                  </w:r>
                </w:p>
              </w:tc>
              <w:tc>
                <w:tcPr>
                  <w:tcW w:w="843"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spacing w:val="-6"/>
                      <w:kern w:val="21"/>
                      <w:sz w:val="21"/>
                      <w:szCs w:val="21"/>
                      <w:lang w:val="en-US" w:eastAsia="zh-CN" w:bidi="ar-SA"/>
                    </w:rPr>
                  </w:pPr>
                  <w:r>
                    <w:rPr>
                      <w:rFonts w:hint="default" w:ascii="Times New Roman" w:hAnsi="Times New Roman" w:eastAsia="宋体" w:cs="Times New Roman"/>
                      <w:snapToGrid w:val="0"/>
                      <w:color w:val="000000"/>
                      <w:spacing w:val="-6"/>
                      <w:kern w:val="21"/>
                      <w:sz w:val="21"/>
                      <w:szCs w:val="21"/>
                    </w:rPr>
                    <w:t>污染物名称</w:t>
                  </w:r>
                </w:p>
              </w:tc>
              <w:tc>
                <w:tcPr>
                  <w:tcW w:w="88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spacing w:val="-6"/>
                      <w:kern w:val="21"/>
                      <w:sz w:val="21"/>
                      <w:szCs w:val="21"/>
                    </w:rPr>
                  </w:pPr>
                  <w:r>
                    <w:rPr>
                      <w:rFonts w:hint="default" w:ascii="Times New Roman" w:hAnsi="Times New Roman" w:eastAsia="宋体" w:cs="Times New Roman"/>
                      <w:snapToGrid w:val="0"/>
                      <w:color w:val="000000"/>
                      <w:spacing w:val="-6"/>
                      <w:kern w:val="21"/>
                      <w:sz w:val="21"/>
                      <w:szCs w:val="21"/>
                    </w:rPr>
                    <w:t>现有工程</w:t>
                  </w: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napToGrid w:val="0"/>
                      <w:color w:val="000000"/>
                      <w:spacing w:val="-6"/>
                      <w:kern w:val="21"/>
                      <w:sz w:val="21"/>
                      <w:szCs w:val="21"/>
                    </w:rPr>
                    <w:t>排放量</w:t>
                  </w:r>
                  <w:r>
                    <w:rPr>
                      <w:rFonts w:hint="default" w:ascii="Times New Roman" w:hAnsi="Times New Roman" w:eastAsia="宋体" w:cs="Times New Roman"/>
                      <w:snapToGrid w:val="0"/>
                      <w:color w:val="000000"/>
                      <w:spacing w:val="-6"/>
                      <w:kern w:val="21"/>
                      <w:sz w:val="21"/>
                      <w:szCs w:val="21"/>
                      <w:lang w:eastAsia="zh-CN"/>
                    </w:rPr>
                    <w:t>（</w:t>
                  </w:r>
                  <w:r>
                    <w:rPr>
                      <w:rFonts w:hint="default" w:ascii="Times New Roman" w:hAnsi="Times New Roman" w:eastAsia="宋体" w:cs="Times New Roman"/>
                      <w:snapToGrid w:val="0"/>
                      <w:color w:val="000000"/>
                      <w:spacing w:val="-6"/>
                      <w:kern w:val="21"/>
                      <w:sz w:val="21"/>
                      <w:szCs w:val="21"/>
                      <w:lang w:val="en-US" w:eastAsia="zh-CN"/>
                    </w:rPr>
                    <w:t>包括未建项目）</w:t>
                  </w:r>
                  <w:r>
                    <w:rPr>
                      <w:rFonts w:hint="default" w:ascii="Times New Roman" w:hAnsi="Times New Roman" w:eastAsia="宋体" w:cs="Times New Roman"/>
                      <w:snapToGrid w:val="0"/>
                      <w:color w:val="000000"/>
                      <w:spacing w:val="-6"/>
                      <w:kern w:val="21"/>
                      <w:sz w:val="21"/>
                      <w:szCs w:val="21"/>
                    </w:rPr>
                    <w:fldChar w:fldCharType="begin"/>
                  </w:r>
                  <w:r>
                    <w:rPr>
                      <w:rFonts w:hint="default" w:ascii="Times New Roman" w:hAnsi="Times New Roman" w:eastAsia="宋体" w:cs="Times New Roman"/>
                      <w:snapToGrid w:val="0"/>
                      <w:color w:val="000000"/>
                      <w:spacing w:val="-6"/>
                      <w:kern w:val="21"/>
                      <w:sz w:val="21"/>
                      <w:szCs w:val="21"/>
                    </w:rPr>
                    <w:instrText xml:space="preserve"> = 1 \* GB3 \* MERGEFORMAT </w:instrText>
                  </w:r>
                  <w:r>
                    <w:rPr>
                      <w:rFonts w:hint="default" w:ascii="Times New Roman" w:hAnsi="Times New Roman" w:eastAsia="宋体" w:cs="Times New Roman"/>
                      <w:snapToGrid w:val="0"/>
                      <w:color w:val="000000"/>
                      <w:spacing w:val="-6"/>
                      <w:kern w:val="21"/>
                      <w:sz w:val="21"/>
                      <w:szCs w:val="21"/>
                    </w:rPr>
                    <w:fldChar w:fldCharType="separate"/>
                  </w:r>
                  <w:r>
                    <w:rPr>
                      <w:rFonts w:hint="default" w:ascii="Times New Roman" w:hAnsi="Times New Roman" w:eastAsia="宋体" w:cs="Times New Roman"/>
                      <w:kern w:val="2"/>
                      <w:sz w:val="21"/>
                      <w:szCs w:val="21"/>
                    </w:rPr>
                    <w:t>①</w:t>
                  </w:r>
                  <w:r>
                    <w:rPr>
                      <w:rFonts w:hint="default" w:ascii="Times New Roman" w:hAnsi="Times New Roman" w:eastAsia="宋体" w:cs="Times New Roman"/>
                      <w:snapToGrid w:val="0"/>
                      <w:color w:val="000000"/>
                      <w:spacing w:val="-6"/>
                      <w:kern w:val="21"/>
                      <w:sz w:val="21"/>
                      <w:szCs w:val="21"/>
                    </w:rPr>
                    <w:fldChar w:fldCharType="end"/>
                  </w:r>
                </w:p>
              </w:tc>
              <w:tc>
                <w:tcPr>
                  <w:tcW w:w="644"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spacing w:val="-6"/>
                      <w:kern w:val="21"/>
                      <w:sz w:val="21"/>
                      <w:szCs w:val="21"/>
                    </w:rPr>
                  </w:pPr>
                  <w:r>
                    <w:rPr>
                      <w:rFonts w:hint="default" w:ascii="Times New Roman" w:hAnsi="Times New Roman" w:eastAsia="宋体" w:cs="Times New Roman"/>
                      <w:snapToGrid w:val="0"/>
                      <w:color w:val="000000"/>
                      <w:spacing w:val="-6"/>
                      <w:kern w:val="21"/>
                      <w:sz w:val="21"/>
                      <w:szCs w:val="21"/>
                    </w:rPr>
                    <w:t>本项目</w:t>
                  </w: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napToGrid w:val="0"/>
                      <w:color w:val="000000"/>
                      <w:spacing w:val="-6"/>
                      <w:kern w:val="21"/>
                      <w:sz w:val="21"/>
                      <w:szCs w:val="21"/>
                    </w:rPr>
                    <w:t>排放量</w:t>
                  </w:r>
                  <w:r>
                    <w:rPr>
                      <w:rFonts w:hint="default" w:ascii="Times New Roman" w:hAnsi="Times New Roman" w:eastAsia="宋体" w:cs="Times New Roman"/>
                      <w:snapToGrid w:val="0"/>
                      <w:color w:val="000000"/>
                      <w:spacing w:val="-6"/>
                      <w:kern w:val="21"/>
                      <w:sz w:val="21"/>
                      <w:szCs w:val="21"/>
                      <w:lang w:val="en-US" w:eastAsia="zh-CN"/>
                    </w:rPr>
                    <w:t>②</w:t>
                  </w:r>
                </w:p>
              </w:tc>
              <w:tc>
                <w:tcPr>
                  <w:tcW w:w="636"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napToGrid w:val="0"/>
                      <w:color w:val="000000"/>
                      <w:spacing w:val="-16"/>
                      <w:kern w:val="21"/>
                      <w:sz w:val="21"/>
                      <w:szCs w:val="21"/>
                    </w:rPr>
                    <w:t>以新带老削减量</w:t>
                  </w:r>
                  <w:r>
                    <w:rPr>
                      <w:rFonts w:hint="default" w:ascii="Times New Roman" w:hAnsi="Times New Roman" w:eastAsia="宋体" w:cs="Times New Roman"/>
                      <w:sz w:val="21"/>
                      <w:szCs w:val="21"/>
                      <w:vertAlign w:val="baseline"/>
                      <w:lang w:val="en-US" w:eastAsia="zh-CN"/>
                    </w:rPr>
                    <w:t>③</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napToGrid w:val="0"/>
                      <w:color w:val="000000"/>
                      <w:spacing w:val="-16"/>
                      <w:kern w:val="21"/>
                      <w:sz w:val="21"/>
                      <w:szCs w:val="21"/>
                    </w:rPr>
                    <w:t>本项目建成后全厂排放量</w:t>
                  </w:r>
                  <w:r>
                    <w:rPr>
                      <w:rFonts w:hint="default" w:ascii="Times New Roman" w:hAnsi="Times New Roman" w:eastAsia="宋体" w:cs="Times New Roman"/>
                      <w:snapToGrid w:val="0"/>
                      <w:color w:val="000000"/>
                      <w:spacing w:val="-16"/>
                      <w:kern w:val="21"/>
                      <w:sz w:val="21"/>
                      <w:szCs w:val="21"/>
                      <w:lang w:val="en-US" w:eastAsia="zh-CN"/>
                    </w:rPr>
                    <w:t>④=①+②-③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050" w:type="pct"/>
                  <w:vMerge w:val="restar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rPr>
                    <w:t>废气</w:t>
                  </w:r>
                </w:p>
              </w:tc>
              <w:tc>
                <w:tcPr>
                  <w:tcW w:w="843"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非甲烷总烃</w:t>
                  </w:r>
                  <w:r>
                    <w:rPr>
                      <w:rFonts w:hint="eastAsia" w:ascii="Times New Roman" w:cs="Times New Roman"/>
                      <w:sz w:val="21"/>
                      <w:szCs w:val="21"/>
                      <w:highlight w:val="none"/>
                      <w:lang w:val="en-US" w:eastAsia="zh-CN"/>
                    </w:rPr>
                    <w:t>t/a</w:t>
                  </w:r>
                </w:p>
              </w:tc>
              <w:tc>
                <w:tcPr>
                  <w:tcW w:w="88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0.2</w:t>
                  </w:r>
                  <w:r>
                    <w:rPr>
                      <w:rFonts w:hint="eastAsia" w:cs="Times New Roman"/>
                      <w:sz w:val="21"/>
                      <w:szCs w:val="21"/>
                      <w:vertAlign w:val="baseline"/>
                      <w:lang w:val="en-US" w:eastAsia="zh-CN"/>
                    </w:rPr>
                    <w:t>233</w:t>
                  </w:r>
                </w:p>
              </w:tc>
              <w:tc>
                <w:tcPr>
                  <w:tcW w:w="644"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w:t>
                  </w:r>
                  <w:r>
                    <w:rPr>
                      <w:rFonts w:hint="eastAsia" w:cs="Times New Roman"/>
                      <w:sz w:val="21"/>
                      <w:szCs w:val="21"/>
                      <w:vertAlign w:val="baseline"/>
                      <w:lang w:val="en-US" w:eastAsia="zh-CN"/>
                    </w:rPr>
                    <w:t>512</w:t>
                  </w:r>
                </w:p>
              </w:tc>
              <w:tc>
                <w:tcPr>
                  <w:tcW w:w="636"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w:t>
                  </w:r>
                  <w:r>
                    <w:rPr>
                      <w:rFonts w:hint="eastAsia" w:cs="Times New Roman"/>
                      <w:sz w:val="21"/>
                      <w:szCs w:val="21"/>
                      <w:vertAlign w:val="baseline"/>
                      <w:lang w:val="en-US" w:eastAsia="zh-CN"/>
                    </w:rPr>
                    <w:t>515</w:t>
                  </w:r>
                </w:p>
              </w:tc>
              <w:tc>
                <w:tcPr>
                  <w:tcW w:w="94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w:t>
                  </w:r>
                  <w:r>
                    <w:rPr>
                      <w:rFonts w:hint="eastAsia" w:cs="Times New Roman"/>
                      <w:sz w:val="21"/>
                      <w:szCs w:val="21"/>
                      <w:vertAlign w:val="baseline"/>
                      <w:lang w:val="en-US" w:eastAsia="zh-CN"/>
                    </w:rPr>
                    <w:t>223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050"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颗粒物</w:t>
                  </w:r>
                  <w:r>
                    <w:rPr>
                      <w:rFonts w:hint="eastAsia" w:ascii="Times New Roman" w:cs="Times New Roman"/>
                      <w:sz w:val="21"/>
                      <w:szCs w:val="21"/>
                      <w:highlight w:val="none"/>
                      <w:lang w:val="en-US" w:eastAsia="zh-CN"/>
                    </w:rPr>
                    <w:t>t/a</w:t>
                  </w:r>
                </w:p>
              </w:tc>
              <w:tc>
                <w:tcPr>
                  <w:tcW w:w="88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z w:val="21"/>
                      <w:szCs w:val="21"/>
                      <w:lang w:val="en-US" w:eastAsia="zh-CN"/>
                    </w:rPr>
                    <w:t>0.03</w:t>
                  </w:r>
                  <w:r>
                    <w:rPr>
                      <w:rFonts w:hint="eastAsia" w:ascii="Times New Roman" w:hAnsi="Times New Roman" w:eastAsia="宋体" w:cs="Times New Roman"/>
                      <w:sz w:val="21"/>
                      <w:szCs w:val="21"/>
                      <w:lang w:val="en-US" w:eastAsia="zh-CN"/>
                    </w:rPr>
                    <w:t>78</w:t>
                  </w:r>
                </w:p>
              </w:tc>
              <w:tc>
                <w:tcPr>
                  <w:tcW w:w="644"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lang w:val="en-US" w:eastAsia="zh-CN"/>
                    </w:rPr>
                    <w:t>0.00</w:t>
                  </w:r>
                  <w:r>
                    <w:rPr>
                      <w:rFonts w:hint="eastAsia" w:cs="Times New Roman"/>
                      <w:sz w:val="21"/>
                      <w:szCs w:val="21"/>
                      <w:lang w:val="en-US" w:eastAsia="zh-CN"/>
                    </w:rPr>
                    <w:t>3</w:t>
                  </w:r>
                  <w:r>
                    <w:rPr>
                      <w:rFonts w:hint="eastAsia" w:ascii="Times New Roman" w:hAnsi="Times New Roman" w:eastAsia="宋体" w:cs="Times New Roman"/>
                      <w:sz w:val="21"/>
                      <w:szCs w:val="21"/>
                      <w:lang w:val="en-US" w:eastAsia="zh-CN"/>
                    </w:rPr>
                    <w:t>1</w:t>
                  </w:r>
                </w:p>
              </w:tc>
              <w:tc>
                <w:tcPr>
                  <w:tcW w:w="636"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lang w:val="en-US" w:eastAsia="zh-CN"/>
                    </w:rPr>
                    <w:t>0.0045</w:t>
                  </w:r>
                </w:p>
              </w:tc>
              <w:tc>
                <w:tcPr>
                  <w:tcW w:w="94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lang w:val="en-US" w:eastAsia="zh-CN"/>
                    </w:rPr>
                    <w:t>0.03</w:t>
                  </w:r>
                  <w:r>
                    <w:rPr>
                      <w:rFonts w:hint="eastAsia" w:cs="Times New Roman"/>
                      <w:sz w:val="21"/>
                      <w:szCs w:val="21"/>
                      <w:lang w:val="en-US" w:eastAsia="zh-CN"/>
                    </w:rPr>
                    <w:t>6</w:t>
                  </w:r>
                  <w:r>
                    <w:rPr>
                      <w:rFonts w:hint="eastAsia" w:ascii="Times New Roman" w:hAnsi="Times New Roman" w:eastAsia="宋体" w:cs="Times New Roman"/>
                      <w:sz w:val="21"/>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050" w:type="pct"/>
                  <w:vMerge w:val="restar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lang w:val="en-US" w:eastAsia="zh-CN"/>
                    </w:rPr>
                    <w:t>废水</w:t>
                  </w:r>
                </w:p>
              </w:tc>
              <w:tc>
                <w:tcPr>
                  <w:tcW w:w="843" w:type="pct"/>
                  <w:tcBorders>
                    <w:tl2br w:val="nil"/>
                    <w:tr2bl w:val="nil"/>
                  </w:tcBorders>
                  <w:vAlign w:val="center"/>
                </w:tcPr>
                <w:p>
                  <w:pPr>
                    <w:pStyle w:val="59"/>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sz w:val="21"/>
                      <w:szCs w:val="21"/>
                      <w:highlight w:val="none"/>
                    </w:rPr>
                    <w:t>COD</w:t>
                  </w:r>
                </w:p>
              </w:tc>
              <w:tc>
                <w:tcPr>
                  <w:tcW w:w="88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644"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636"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94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050"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59"/>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sz w:val="21"/>
                      <w:szCs w:val="21"/>
                      <w:highlight w:val="none"/>
                    </w:rPr>
                    <w:t>氨氮</w:t>
                  </w:r>
                </w:p>
              </w:tc>
              <w:tc>
                <w:tcPr>
                  <w:tcW w:w="88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w:t>
                  </w:r>
                </w:p>
              </w:tc>
              <w:tc>
                <w:tcPr>
                  <w:tcW w:w="644"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636"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941" w:type="pct"/>
                  <w:tcBorders>
                    <w:tl2br w:val="nil"/>
                    <w:tr2bl w:val="nil"/>
                  </w:tcBorders>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50" w:type="pct"/>
                  <w:vMerge w:val="restart"/>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rPr>
                    <w:t>一般工业固体废物</w:t>
                  </w: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sz w:val="21"/>
                      <w:szCs w:val="21"/>
                      <w:lang w:val="en-US" w:eastAsia="zh-CN"/>
                    </w:rPr>
                    <w:t>废边角料、</w:t>
                  </w:r>
                  <w:r>
                    <w:rPr>
                      <w:rFonts w:hint="default" w:ascii="Times New Roman" w:hAnsi="Times New Roman" w:eastAsia="宋体" w:cs="Times New Roman"/>
                      <w:bCs/>
                      <w:color w:val="000000"/>
                      <w:sz w:val="21"/>
                      <w:szCs w:val="21"/>
                      <w:highlight w:val="none"/>
                      <w:lang w:val="en-US" w:eastAsia="zh-CN"/>
                    </w:rPr>
                    <w:t>不合格产品</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44</w:t>
                  </w:r>
                  <w:r>
                    <w:rPr>
                      <w:rFonts w:hint="default" w:ascii="Times New Roman" w:hAnsi="Times New Roman" w:eastAsia="宋体" w:cs="Times New Roman"/>
                      <w:kern w:val="2"/>
                      <w:sz w:val="21"/>
                      <w:szCs w:val="21"/>
                      <w:highlight w:val="none"/>
                      <w:lang w:val="en-US" w:eastAsia="zh-CN" w:bidi="ar-SA"/>
                    </w:rPr>
                    <w:t>t/a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t/a</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7.9</w:t>
                  </w:r>
                  <w:r>
                    <w:rPr>
                      <w:rFonts w:hint="default" w:ascii="Times New Roman" w:hAnsi="Times New Roman" w:eastAsia="宋体" w:cs="Times New Roman"/>
                      <w:kern w:val="2"/>
                      <w:sz w:val="21"/>
                      <w:szCs w:val="21"/>
                      <w:highlight w:val="none"/>
                      <w:lang w:val="en-US" w:eastAsia="zh-CN" w:bidi="ar-SA"/>
                    </w:rPr>
                    <w:t>t/a</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111.1</w:t>
                  </w:r>
                  <w:r>
                    <w:rPr>
                      <w:rFonts w:hint="default" w:ascii="Times New Roman" w:hAnsi="Times New Roman" w:eastAsia="宋体" w:cs="Times New Roman"/>
                      <w:kern w:val="2"/>
                      <w:sz w:val="21"/>
                      <w:szCs w:val="21"/>
                      <w:highlight w:val="none"/>
                      <w:lang w:val="en-US" w:eastAsia="zh-CN" w:bidi="ar-SA"/>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050"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eastAsia="zh-CN"/>
                    </w:rPr>
                    <w:t>废包装</w:t>
                  </w:r>
                  <w:r>
                    <w:rPr>
                      <w:rFonts w:hint="default" w:ascii="Times New Roman" w:hAnsi="Times New Roman" w:eastAsia="宋体" w:cs="Times New Roman"/>
                      <w:bCs/>
                      <w:color w:val="000000"/>
                      <w:sz w:val="21"/>
                      <w:szCs w:val="21"/>
                      <w:highlight w:val="none"/>
                      <w:lang w:val="en-US" w:eastAsia="zh-CN"/>
                    </w:rPr>
                    <w:t>袋</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1.16</w:t>
                  </w:r>
                  <w:r>
                    <w:rPr>
                      <w:rFonts w:hint="default" w:ascii="Times New Roman" w:hAnsi="Times New Roman" w:eastAsia="宋体" w:cs="Times New Roman"/>
                      <w:kern w:val="2"/>
                      <w:sz w:val="21"/>
                      <w:szCs w:val="21"/>
                      <w:highlight w:val="none"/>
                      <w:lang w:val="en-US" w:eastAsia="zh-CN" w:bidi="ar-SA"/>
                    </w:rPr>
                    <w:t>t/a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w:t>
                  </w:r>
                  <w:r>
                    <w:rPr>
                      <w:rFonts w:hint="default" w:ascii="Times New Roman" w:hAnsi="Times New Roman" w:eastAsia="宋体" w:cs="Times New Roman"/>
                      <w:color w:val="auto"/>
                      <w:sz w:val="21"/>
                      <w:szCs w:val="21"/>
                      <w:highlight w:val="none"/>
                      <w:lang w:val="en-US" w:eastAsia="zh-CN"/>
                    </w:rPr>
                    <w:t>t/a</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2"/>
                      <w:sz w:val="21"/>
                      <w:szCs w:val="21"/>
                      <w:highlight w:val="none"/>
                      <w:lang w:val="en-US" w:eastAsia="zh-CN" w:bidi="ar-SA"/>
                    </w:rPr>
                    <w:t>4.08</w:t>
                  </w:r>
                  <w:r>
                    <w:rPr>
                      <w:rFonts w:hint="default" w:ascii="Times New Roman" w:hAnsi="Times New Roman" w:eastAsia="宋体" w:cs="Times New Roman"/>
                      <w:kern w:val="2"/>
                      <w:sz w:val="21"/>
                      <w:szCs w:val="21"/>
                      <w:highlight w:val="none"/>
                      <w:lang w:val="en-US" w:eastAsia="zh-CN" w:bidi="ar-SA"/>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050"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 w:val="21"/>
                      <w:szCs w:val="21"/>
                      <w:highlight w:val="none"/>
                      <w:lang w:val="en-US" w:eastAsia="zh-CN"/>
                    </w:rPr>
                    <w:t>袋式除尘器</w:t>
                  </w:r>
                  <w:r>
                    <w:rPr>
                      <w:rFonts w:hint="default" w:ascii="Times New Roman" w:hAnsi="Times New Roman" w:eastAsia="宋体" w:cs="Times New Roman"/>
                      <w:bCs/>
                      <w:color w:val="000000"/>
                      <w:sz w:val="21"/>
                      <w:szCs w:val="21"/>
                      <w:highlight w:val="none"/>
                      <w:lang w:eastAsia="zh-CN"/>
                    </w:rPr>
                    <w:t>收集粉尘</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w:t>
                  </w:r>
                  <w:r>
                    <w:rPr>
                      <w:rFonts w:hint="default" w:ascii="Times New Roman" w:hAnsi="Times New Roman" w:eastAsia="宋体" w:cs="Times New Roman"/>
                      <w:color w:val="auto"/>
                      <w:kern w:val="2"/>
                      <w:sz w:val="21"/>
                      <w:szCs w:val="21"/>
                      <w:highlight w:val="none"/>
                      <w:lang w:val="en-US" w:eastAsia="zh-CN" w:bidi="ar-SA"/>
                    </w:rPr>
                    <w:t>t/a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281</w:t>
                  </w:r>
                  <w:r>
                    <w:rPr>
                      <w:rFonts w:hint="default" w:ascii="Times New Roman" w:hAnsi="Times New Roman" w:eastAsia="宋体" w:cs="Times New Roman"/>
                      <w:color w:val="auto"/>
                      <w:sz w:val="21"/>
                      <w:szCs w:val="21"/>
                      <w:highlight w:val="none"/>
                      <w:lang w:val="en-US" w:eastAsia="zh-CN"/>
                    </w:rPr>
                    <w:t>t/a</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0.078</w:t>
                  </w:r>
                  <w:r>
                    <w:rPr>
                      <w:rFonts w:hint="default" w:ascii="Times New Roman" w:hAnsi="Times New Roman" w:eastAsia="宋体" w:cs="Times New Roman"/>
                      <w:color w:val="auto"/>
                      <w:sz w:val="21"/>
                      <w:szCs w:val="21"/>
                      <w:highlight w:val="none"/>
                      <w:lang w:val="en-US" w:eastAsia="zh-CN"/>
                    </w:rPr>
                    <w:t>t/a</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0.3501</w:t>
                  </w:r>
                  <w:r>
                    <w:rPr>
                      <w:rFonts w:hint="default" w:ascii="Times New Roman" w:hAnsi="Times New Roman" w:eastAsia="宋体" w:cs="Times New Roman"/>
                      <w:kern w:val="2"/>
                      <w:sz w:val="21"/>
                      <w:szCs w:val="21"/>
                      <w:highlight w:val="none"/>
                      <w:lang w:val="en-US" w:eastAsia="zh-CN" w:bidi="ar-SA"/>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050" w:type="pct"/>
                  <w:vMerge w:val="continue"/>
                  <w:tcBorders>
                    <w:tl2br w:val="nil"/>
                    <w:tr2bl w:val="nil"/>
                  </w:tcBorders>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废催化剂</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0.5t/5a</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0.5t/5a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50" w:type="pct"/>
                  <w:vMerge w:val="restart"/>
                  <w:tcBorders>
                    <w:tl2br w:val="nil"/>
                    <w:tr2bl w:val="nil"/>
                  </w:tcBorders>
                  <w:vAlign w:val="top"/>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rPr>
                  </w:pP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rPr>
                  </w:pPr>
                </w:p>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snapToGrid w:val="0"/>
                      <w:color w:val="000000"/>
                      <w:kern w:val="21"/>
                      <w:sz w:val="21"/>
                      <w:szCs w:val="21"/>
                    </w:rPr>
                    <w:t>危险废物</w:t>
                  </w: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eastAsia="zh-CN"/>
                    </w:rPr>
                    <w:t>废活性炭</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3.6</w:t>
                  </w:r>
                  <w:r>
                    <w:rPr>
                      <w:rFonts w:hint="default" w:ascii="Times New Roman" w:hAnsi="Times New Roman" w:eastAsia="宋体" w:cs="Times New Roman"/>
                      <w:kern w:val="2"/>
                      <w:sz w:val="21"/>
                      <w:szCs w:val="21"/>
                      <w:highlight w:val="none"/>
                      <w:lang w:val="en-US" w:eastAsia="zh-CN" w:bidi="ar-SA"/>
                    </w:rPr>
                    <w:t>t/a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2.75t/2a</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0.75</w:t>
                  </w:r>
                  <w:r>
                    <w:rPr>
                      <w:rFonts w:hint="default" w:ascii="Times New Roman" w:hAnsi="Times New Roman" w:eastAsia="宋体" w:cs="Times New Roman"/>
                      <w:kern w:val="2"/>
                      <w:sz w:val="21"/>
                      <w:szCs w:val="21"/>
                      <w:highlight w:val="none"/>
                      <w:lang w:val="en-US" w:eastAsia="zh-CN" w:bidi="ar-SA"/>
                    </w:rPr>
                    <w:t>t/a</w:t>
                  </w:r>
                </w:p>
              </w:tc>
              <w:tc>
                <w:tcPr>
                  <w:tcW w:w="941" w:type="pct"/>
                  <w:tcBorders>
                    <w:tl2br w:val="nil"/>
                    <w:tr2bl w:val="nil"/>
                  </w:tcBorders>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4.225</w:t>
                  </w:r>
                  <w:r>
                    <w:rPr>
                      <w:rFonts w:hint="default" w:ascii="Times New Roman" w:hAnsi="Times New Roman" w:eastAsia="宋体" w:cs="Times New Roman"/>
                      <w:kern w:val="2"/>
                      <w:sz w:val="21"/>
                      <w:szCs w:val="21"/>
                      <w:highlight w:val="none"/>
                      <w:lang w:val="en-US" w:eastAsia="zh-CN" w:bidi="ar-SA"/>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50" w:type="pct"/>
                  <w:vMerge w:val="continue"/>
                  <w:tcBorders>
                    <w:tl2br w:val="nil"/>
                    <w:tr2bl w:val="nil"/>
                  </w:tcBorders>
                  <w:vAlign w:val="top"/>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废导热油</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7.5</w:t>
                  </w:r>
                  <w:r>
                    <w:rPr>
                      <w:rFonts w:hint="default" w:ascii="Times New Roman" w:hAnsi="Times New Roman" w:eastAsia="宋体" w:cs="Times New Roman"/>
                      <w:color w:val="auto"/>
                      <w:kern w:val="2"/>
                      <w:sz w:val="21"/>
                      <w:szCs w:val="21"/>
                      <w:highlight w:val="none"/>
                      <w:lang w:val="en-US" w:eastAsia="zh-CN" w:bidi="ar-SA"/>
                    </w:rPr>
                    <w:t>t/6a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0"/>
                      <w:sz w:val="21"/>
                      <w:szCs w:val="21"/>
                      <w:highlight w:val="none"/>
                      <w:lang w:val="en-US" w:eastAsia="zh-CN" w:bidi="ar-SA"/>
                    </w:rPr>
                    <w:t>1.31t/6a</w:t>
                  </w:r>
                </w:p>
              </w:tc>
              <w:tc>
                <w:tcPr>
                  <w:tcW w:w="941"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6.19</w:t>
                  </w:r>
                  <w:r>
                    <w:rPr>
                      <w:rFonts w:hint="default" w:ascii="Times New Roman" w:hAnsi="Times New Roman" w:eastAsia="宋体" w:cs="Times New Roman"/>
                      <w:kern w:val="2"/>
                      <w:sz w:val="21"/>
                      <w:szCs w:val="21"/>
                      <w:highlight w:val="none"/>
                      <w:lang w:val="en-US" w:eastAsia="zh-CN" w:bidi="ar-SA"/>
                    </w:rPr>
                    <w:t>t/</w:t>
                  </w:r>
                  <w:r>
                    <w:rPr>
                      <w:rFonts w:hint="eastAsia" w:ascii="Times New Roman" w:hAnsi="Times New Roman" w:eastAsia="宋体" w:cs="Times New Roman"/>
                      <w:kern w:val="2"/>
                      <w:sz w:val="21"/>
                      <w:szCs w:val="21"/>
                      <w:highlight w:val="none"/>
                      <w:lang w:val="en-US" w:eastAsia="zh-CN" w:bidi="ar-SA"/>
                    </w:rPr>
                    <w:t>6</w:t>
                  </w:r>
                  <w:r>
                    <w:rPr>
                      <w:rFonts w:hint="default" w:ascii="Times New Roman" w:hAnsi="Times New Roman" w:eastAsia="宋体" w:cs="Times New Roman"/>
                      <w:kern w:val="2"/>
                      <w:sz w:val="21"/>
                      <w:szCs w:val="21"/>
                      <w:highlight w:val="none"/>
                      <w:lang w:val="en-US" w:eastAsia="zh-CN" w:bidi="ar-SA"/>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050" w:type="pct"/>
                  <w:vMerge w:val="continue"/>
                  <w:tcBorders>
                    <w:tl2br w:val="nil"/>
                    <w:tr2bl w:val="nil"/>
                  </w:tcBorders>
                  <w:vAlign w:val="top"/>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废UV灯管</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t/a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sz w:val="21"/>
                      <w:szCs w:val="21"/>
                      <w:highlight w:val="none"/>
                      <w:lang w:val="en-US" w:eastAsia="zh-CN"/>
                    </w:rPr>
                    <w:t>0.0019t/a</w:t>
                  </w:r>
                </w:p>
              </w:tc>
              <w:tc>
                <w:tcPr>
                  <w:tcW w:w="941"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0"/>
                      <w:sz w:val="21"/>
                      <w:szCs w:val="21"/>
                      <w:highlight w:val="none"/>
                      <w:lang w:val="en-US" w:eastAsia="zh-CN" w:bidi="ar-SA"/>
                    </w:rPr>
                    <w:t>0.0081</w:t>
                  </w:r>
                  <w:r>
                    <w:rPr>
                      <w:rFonts w:hint="default" w:ascii="Times New Roman" w:hAnsi="Times New Roman" w:eastAsia="宋体" w:cs="Times New Roman"/>
                      <w:kern w:val="2"/>
                      <w:sz w:val="21"/>
                      <w:szCs w:val="21"/>
                      <w:highlight w:val="none"/>
                      <w:lang w:val="en-US" w:eastAsia="zh-CN" w:bidi="ar-SA"/>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1050" w:type="pct"/>
                  <w:vMerge w:val="continue"/>
                  <w:tcBorders>
                    <w:tl2br w:val="nil"/>
                    <w:tr2bl w:val="nil"/>
                  </w:tcBorders>
                  <w:vAlign w:val="top"/>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snapToGrid w:val="0"/>
                      <w:color w:val="000000"/>
                      <w:kern w:val="21"/>
                      <w:sz w:val="21"/>
                      <w:szCs w:val="21"/>
                      <w:lang w:val="en-US" w:eastAsia="zh-CN" w:bidi="ar-SA"/>
                    </w:rPr>
                  </w:pPr>
                </w:p>
              </w:tc>
              <w:tc>
                <w:tcPr>
                  <w:tcW w:w="843" w:type="pct"/>
                  <w:tcBorders>
                    <w:tl2br w:val="nil"/>
                    <w:tr2bl w:val="nil"/>
                  </w:tcBorders>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导热油空桶</w:t>
                  </w:r>
                </w:p>
              </w:tc>
              <w:tc>
                <w:tcPr>
                  <w:tcW w:w="881"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48</w:t>
                  </w:r>
                  <w:r>
                    <w:rPr>
                      <w:rFonts w:hint="default" w:ascii="Times New Roman" w:hAnsi="Times New Roman" w:eastAsia="宋体" w:cs="Times New Roman"/>
                      <w:color w:val="auto"/>
                      <w:kern w:val="2"/>
                      <w:sz w:val="21"/>
                      <w:szCs w:val="21"/>
                      <w:highlight w:val="none"/>
                      <w:lang w:val="en-US" w:eastAsia="zh-CN" w:bidi="ar-SA"/>
                    </w:rPr>
                    <w:t>个/6a</w:t>
                  </w:r>
                </w:p>
              </w:tc>
              <w:tc>
                <w:tcPr>
                  <w:tcW w:w="644"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636" w:type="pct"/>
                  <w:tcBorders>
                    <w:tl2br w:val="nil"/>
                    <w:tr2bl w:val="nil"/>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个/6a</w:t>
                  </w:r>
                </w:p>
              </w:tc>
              <w:tc>
                <w:tcPr>
                  <w:tcW w:w="941" w:type="pct"/>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0"/>
                      <w:sz w:val="21"/>
                      <w:szCs w:val="21"/>
                      <w:highlight w:val="none"/>
                      <w:lang w:val="en-US" w:eastAsia="zh-CN" w:bidi="ar-SA"/>
                    </w:rPr>
                    <w:t>39</w:t>
                  </w:r>
                  <w:r>
                    <w:rPr>
                      <w:rFonts w:hint="eastAsia" w:ascii="Times New Roman" w:hAnsi="Times New Roman" w:eastAsia="宋体" w:cs="Times New Roman"/>
                      <w:kern w:val="2"/>
                      <w:sz w:val="21"/>
                      <w:szCs w:val="21"/>
                      <w:highlight w:val="none"/>
                      <w:lang w:val="en-US" w:eastAsia="zh-CN" w:bidi="ar-SA"/>
                    </w:rPr>
                    <w:t>个</w:t>
                  </w:r>
                  <w:r>
                    <w:rPr>
                      <w:rFonts w:hint="default" w:ascii="Times New Roman" w:hAnsi="Times New Roman" w:eastAsia="宋体" w:cs="Times New Roman"/>
                      <w:kern w:val="2"/>
                      <w:sz w:val="21"/>
                      <w:szCs w:val="21"/>
                      <w:highlight w:val="none"/>
                      <w:lang w:val="en-US" w:eastAsia="zh-CN" w:bidi="ar-SA"/>
                    </w:rPr>
                    <w:t>/</w:t>
                  </w:r>
                  <w:r>
                    <w:rPr>
                      <w:rFonts w:hint="eastAsia" w:ascii="Times New Roman" w:hAnsi="Times New Roman" w:eastAsia="宋体" w:cs="Times New Roman"/>
                      <w:kern w:val="2"/>
                      <w:sz w:val="21"/>
                      <w:szCs w:val="21"/>
                      <w:highlight w:val="none"/>
                      <w:lang w:val="en-US" w:eastAsia="zh-CN" w:bidi="ar-SA"/>
                    </w:rPr>
                    <w:t>6</w:t>
                  </w:r>
                  <w:r>
                    <w:rPr>
                      <w:rFonts w:hint="default" w:ascii="Times New Roman" w:hAnsi="Times New Roman" w:eastAsia="宋体" w:cs="Times New Roman"/>
                      <w:kern w:val="2"/>
                      <w:sz w:val="21"/>
                      <w:szCs w:val="21"/>
                      <w:highlight w:val="none"/>
                      <w:lang w:val="en-US" w:eastAsia="zh-CN" w:bidi="ar-SA"/>
                    </w:rPr>
                    <w:t>a</w:t>
                  </w:r>
                </w:p>
              </w:tc>
            </w:tr>
            <w:bookmarkEnd w:id="19"/>
          </w:tbl>
          <w:p>
            <w:pPr>
              <w:pStyle w:val="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sz w:val="24"/>
                <w:szCs w:val="24"/>
                <w:lang w:val="en-US" w:eastAsia="zh-CN"/>
              </w:rPr>
            </w:pPr>
            <w:r>
              <w:rPr>
                <w:rFonts w:hint="default"/>
                <w:sz w:val="24"/>
                <w:szCs w:val="24"/>
                <w:lang w:val="en-US" w:eastAsia="zh-CN"/>
              </w:rPr>
              <w:t>经上述分析，本项目废气排放量能满足相关排放要求，对周围环境没有明显影响。</w:t>
            </w:r>
          </w:p>
          <w:p>
            <w:pPr>
              <w:pageBreakBefore w:val="0"/>
              <w:tabs>
                <w:tab w:val="left" w:pos="3255"/>
              </w:tabs>
              <w:kinsoku/>
              <w:overflowPunct/>
              <w:topLinePunct w:val="0"/>
              <w:bidi w:val="0"/>
              <w:adjustRightInd w:val="0"/>
              <w:snapToGrid w:val="0"/>
              <w:spacing w:line="360" w:lineRule="auto"/>
              <w:ind w:firstLine="482" w:firstLineChars="200"/>
              <w:rPr>
                <w:rFonts w:hint="default" w:ascii="Times New Roman" w:hAnsi="Times New Roman" w:eastAsia="宋体" w:cs="Times New Roman"/>
                <w:b/>
                <w:sz w:val="24"/>
                <w:highlight w:val="none"/>
                <w:lang w:eastAsia="zh-CN"/>
              </w:rPr>
            </w:pPr>
            <w:r>
              <w:rPr>
                <w:rFonts w:hint="default" w:ascii="Times New Roman" w:hAnsi="Times New Roman" w:eastAsia="宋体" w:cs="Times New Roman"/>
                <w:b/>
                <w:sz w:val="24"/>
                <w:highlight w:val="none"/>
                <w:lang w:eastAsia="zh-CN"/>
              </w:rPr>
              <w:t>（</w:t>
            </w:r>
            <w:r>
              <w:rPr>
                <w:rFonts w:hint="eastAsia" w:cs="Times New Roman"/>
                <w:b/>
                <w:sz w:val="24"/>
                <w:highlight w:val="none"/>
                <w:lang w:val="en-US" w:eastAsia="zh-CN"/>
              </w:rPr>
              <w:t>六</w:t>
            </w:r>
            <w:r>
              <w:rPr>
                <w:rFonts w:hint="default" w:ascii="Times New Roman" w:hAnsi="Times New Roman" w:eastAsia="宋体" w:cs="Times New Roman"/>
                <w:b/>
                <w:sz w:val="24"/>
                <w:highlight w:val="none"/>
                <w:lang w:val="en-US" w:eastAsia="zh-CN"/>
              </w:rPr>
              <w:t>）</w:t>
            </w:r>
            <w:r>
              <w:rPr>
                <w:rFonts w:hint="eastAsia" w:cs="Times New Roman"/>
                <w:b/>
                <w:sz w:val="24"/>
                <w:highlight w:val="none"/>
                <w:lang w:val="en-US" w:eastAsia="zh-CN"/>
              </w:rPr>
              <w:t>地下水、</w:t>
            </w:r>
            <w:r>
              <w:rPr>
                <w:rFonts w:hint="default" w:ascii="Times New Roman" w:hAnsi="Times New Roman" w:eastAsia="宋体" w:cs="Times New Roman"/>
                <w:b/>
                <w:sz w:val="24"/>
                <w:highlight w:val="none"/>
                <w:lang w:eastAsia="zh-CN"/>
              </w:rPr>
              <w:t>土壤环境影响分析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80" w:firstLineChars="200"/>
              <w:textAlignment w:val="auto"/>
              <w:rPr>
                <w:rFonts w:hint="eastAsia" w:ascii="Times New Roman" w:hAnsi="Times New Roman" w:cs="Times New Roman"/>
                <w:b/>
                <w:color w:val="auto"/>
                <w:sz w:val="24"/>
                <w:szCs w:val="24"/>
                <w:lang w:eastAsia="zh-CN"/>
              </w:rPr>
            </w:pPr>
            <w:r>
              <w:rPr>
                <w:rFonts w:hint="eastAsia" w:ascii="宋体" w:hAnsi="宋体" w:cs="宋体"/>
                <w:color w:val="000000"/>
                <w:sz w:val="24"/>
              </w:rPr>
              <w:t>本项目不存在地下水、土壤污染途径，不再进行地下水及土壤环境影响分析</w:t>
            </w:r>
            <w:r>
              <w:rPr>
                <w:rFonts w:hint="eastAsia" w:ascii="宋体" w:hAnsi="宋体" w:cs="宋体"/>
                <w:color w:val="000000"/>
                <w:sz w:val="24"/>
                <w:lang w:eastAsia="zh-CN"/>
              </w:rPr>
              <w:t>。</w:t>
            </w:r>
          </w:p>
          <w:p>
            <w:pPr>
              <w:keepNext w:val="0"/>
              <w:keepLines w:val="0"/>
              <w:pageBreakBefore w:val="0"/>
              <w:widowControl w:val="0"/>
              <w:tabs>
                <w:tab w:val="left" w:pos="3255"/>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sz w:val="24"/>
                <w:highlight w:val="none"/>
              </w:rPr>
            </w:pPr>
            <w:r>
              <w:rPr>
                <w:rFonts w:hint="default" w:ascii="Times New Roman" w:hAnsi="Times New Roman" w:eastAsia="宋体" w:cs="Times New Roman"/>
                <w:b/>
                <w:sz w:val="24"/>
                <w:highlight w:val="none"/>
              </w:rPr>
              <w:t>（</w:t>
            </w:r>
            <w:r>
              <w:rPr>
                <w:rFonts w:hint="eastAsia" w:cs="Times New Roman"/>
                <w:b/>
                <w:sz w:val="24"/>
                <w:highlight w:val="none"/>
                <w:lang w:val="en-US" w:eastAsia="zh-CN"/>
              </w:rPr>
              <w:t>七</w:t>
            </w:r>
            <w:r>
              <w:rPr>
                <w:rFonts w:hint="default" w:ascii="Times New Roman" w:hAnsi="Times New Roman" w:eastAsia="宋体" w:cs="Times New Roman"/>
                <w:b/>
                <w:sz w:val="24"/>
                <w:highlight w:val="none"/>
              </w:rPr>
              <w:t>）生态环境影响分析</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kern w:val="2"/>
                <w:sz w:val="24"/>
                <w:highlight w:val="none"/>
                <w:lang w:val="en-US" w:eastAsia="zh-CN"/>
              </w:rPr>
            </w:pPr>
            <w:r>
              <w:rPr>
                <w:rFonts w:hint="default" w:ascii="Times New Roman" w:hAnsi="Times New Roman" w:eastAsia="宋体" w:cs="Times New Roman"/>
                <w:color w:val="auto"/>
                <w:kern w:val="0"/>
                <w:sz w:val="24"/>
                <w:highlight w:val="none"/>
              </w:rPr>
              <w:t>据现场勘查，项目</w:t>
            </w:r>
            <w:r>
              <w:rPr>
                <w:rFonts w:hint="eastAsia" w:cs="Times New Roman"/>
                <w:color w:val="auto"/>
                <w:kern w:val="0"/>
                <w:sz w:val="24"/>
                <w:highlight w:val="none"/>
                <w:lang w:val="en-US" w:eastAsia="zh-CN"/>
              </w:rPr>
              <w:t>利用</w:t>
            </w:r>
            <w:r>
              <w:rPr>
                <w:rFonts w:hint="default" w:ascii="Times New Roman" w:hAnsi="Times New Roman" w:eastAsia="宋体" w:cs="Times New Roman"/>
                <w:color w:val="auto"/>
                <w:kern w:val="0"/>
                <w:sz w:val="24"/>
                <w:highlight w:val="none"/>
                <w:lang w:val="en-US" w:eastAsia="zh-CN"/>
              </w:rPr>
              <w:t>现有</w:t>
            </w:r>
            <w:r>
              <w:rPr>
                <w:rFonts w:hint="eastAsia" w:cs="Times New Roman"/>
                <w:color w:val="auto"/>
                <w:kern w:val="0"/>
                <w:sz w:val="24"/>
                <w:highlight w:val="none"/>
                <w:lang w:val="en-US" w:eastAsia="zh-CN"/>
              </w:rPr>
              <w:t>空</w:t>
            </w:r>
            <w:r>
              <w:rPr>
                <w:rFonts w:hint="default" w:ascii="Times New Roman" w:hAnsi="Times New Roman" w:eastAsia="宋体" w:cs="Times New Roman"/>
                <w:color w:val="auto"/>
                <w:kern w:val="0"/>
                <w:sz w:val="24"/>
                <w:highlight w:val="none"/>
                <w:lang w:val="en-US" w:eastAsia="zh-CN"/>
              </w:rPr>
              <w:t>厂房</w:t>
            </w:r>
            <w:r>
              <w:rPr>
                <w:rFonts w:hint="eastAsia" w:cs="Times New Roman"/>
                <w:color w:val="auto"/>
                <w:kern w:val="0"/>
                <w:sz w:val="24"/>
                <w:highlight w:val="none"/>
                <w:lang w:val="en-US" w:eastAsia="zh-CN"/>
              </w:rPr>
              <w:t>建设</w:t>
            </w:r>
            <w:r>
              <w:rPr>
                <w:rFonts w:hint="default" w:ascii="Times New Roman" w:hAnsi="Times New Roman" w:eastAsia="宋体" w:cs="Times New Roman"/>
                <w:color w:val="auto"/>
                <w:kern w:val="0"/>
                <w:sz w:val="24"/>
                <w:highlight w:val="none"/>
              </w:rPr>
              <w:t>，</w:t>
            </w:r>
            <w:r>
              <w:rPr>
                <w:rFonts w:hint="eastAsia"/>
                <w:lang w:eastAsia="zh-CN"/>
              </w:rPr>
              <w:t>不新增土地，施工期仅安装设备，时间短，不会对生态环境造成影响，本次不在评价施工期，</w:t>
            </w:r>
            <w:r>
              <w:rPr>
                <w:rFonts w:hint="default" w:ascii="Times New Roman" w:hAnsi="Times New Roman" w:eastAsia="宋体" w:cs="Times New Roman"/>
                <w:color w:val="auto"/>
                <w:kern w:val="0"/>
                <w:sz w:val="24"/>
                <w:highlight w:val="none"/>
              </w:rPr>
              <w:t>评价建议项目建成后加强厂区绿化，不仅美化环境，同时起到降低噪声的作用。</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sz w:val="24"/>
                <w:highlight w:val="none"/>
                <w:lang w:eastAsia="zh-CN"/>
              </w:rPr>
            </w:pPr>
            <w:r>
              <w:rPr>
                <w:rFonts w:hint="default" w:ascii="Times New Roman" w:hAnsi="Times New Roman" w:eastAsia="宋体" w:cs="Times New Roman"/>
                <w:b/>
                <w:snapToGrid w:val="0"/>
                <w:sz w:val="24"/>
                <w:highlight w:val="none"/>
              </w:rPr>
              <w:t>（</w:t>
            </w:r>
            <w:r>
              <w:rPr>
                <w:rFonts w:hint="eastAsia" w:cs="Times New Roman"/>
                <w:b/>
                <w:snapToGrid w:val="0"/>
                <w:sz w:val="24"/>
                <w:highlight w:val="none"/>
                <w:lang w:val="en-US" w:eastAsia="zh-CN"/>
              </w:rPr>
              <w:t>八</w:t>
            </w:r>
            <w:r>
              <w:rPr>
                <w:rFonts w:hint="default" w:ascii="Times New Roman" w:hAnsi="Times New Roman" w:eastAsia="宋体" w:cs="Times New Roman"/>
                <w:b/>
                <w:snapToGrid w:val="0"/>
                <w:sz w:val="24"/>
                <w:highlight w:val="none"/>
              </w:rPr>
              <w:t>）</w:t>
            </w:r>
            <w:r>
              <w:rPr>
                <w:rFonts w:hint="default" w:ascii="Times New Roman" w:hAnsi="Times New Roman" w:eastAsia="宋体" w:cs="Times New Roman"/>
                <w:b/>
                <w:bCs/>
                <w:sz w:val="24"/>
                <w:highlight w:val="none"/>
                <w:lang w:eastAsia="zh-CN"/>
              </w:rPr>
              <w:t>环境风险分析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highlight w:val="none"/>
                <w:vertAlign w:val="baseline"/>
                <w:lang w:val="en-US" w:eastAsia="zh-CN" w:bidi="ar"/>
              </w:rPr>
            </w:pPr>
            <w:r>
              <w:rPr>
                <w:rFonts w:hint="default" w:ascii="Times New Roman" w:hAnsi="Times New Roman" w:eastAsia="宋体" w:cs="Times New Roman"/>
                <w:kern w:val="0"/>
                <w:sz w:val="24"/>
                <w:szCs w:val="24"/>
                <w:highlight w:val="none"/>
                <w:vertAlign w:val="baseline"/>
                <w:lang w:val="en-US" w:eastAsia="zh-CN" w:bidi="ar"/>
              </w:rPr>
              <w:t>本项目不存在重大环境风险物质，周围环境不存在环境风险因素。企业在机械设备使用过程中严格按照风险防范措施处理情况下，项目环境风险可以接受。</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sz w:val="24"/>
                <w:highlight w:val="none"/>
                <w:lang w:val="en-US" w:eastAsia="zh-CN"/>
              </w:rPr>
            </w:pPr>
            <w:r>
              <w:rPr>
                <w:rFonts w:hint="eastAsia" w:cs="Times New Roman"/>
                <w:b/>
                <w:bCs/>
                <w:sz w:val="24"/>
                <w:highlight w:val="none"/>
                <w:lang w:val="en-US" w:eastAsia="zh-CN"/>
              </w:rPr>
              <w:t>（九）电磁辐射分析</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lang w:val="en-US" w:eastAsia="zh-CN"/>
              </w:rPr>
              <w:t>本项目不存在电磁辐射，</w:t>
            </w:r>
            <w:r>
              <w:rPr>
                <w:rFonts w:hint="eastAsia"/>
                <w:lang w:eastAsia="zh-CN"/>
              </w:rPr>
              <w:t>不会对</w:t>
            </w:r>
            <w:r>
              <w:rPr>
                <w:rFonts w:hint="eastAsia"/>
                <w:lang w:val="en-US" w:eastAsia="zh-CN"/>
              </w:rPr>
              <w:t>周围环境造成风险。</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p>
        </w:tc>
      </w:tr>
    </w:tbl>
    <w:p>
      <w:pPr>
        <w:adjustRightInd w:val="0"/>
        <w:snapToGrid w:val="0"/>
        <w:spacing w:line="360" w:lineRule="auto"/>
        <w:rPr>
          <w:rFonts w:hint="eastAsia" w:ascii="宋体" w:cs="宋体"/>
          <w:b/>
          <w:kern w:val="0"/>
          <w:sz w:val="28"/>
          <w:szCs w:val="28"/>
        </w:rPr>
        <w:sectPr>
          <w:pgSz w:w="11907" w:h="16840"/>
          <w:pgMar w:top="1701" w:right="1531" w:bottom="2127" w:left="1531" w:header="851" w:footer="1587" w:gutter="0"/>
          <w:pgBorders>
            <w:top w:val="none" w:sz="0" w:space="0"/>
            <w:left w:val="none" w:sz="0" w:space="0"/>
            <w:bottom w:val="none" w:sz="0" w:space="0"/>
            <w:right w:val="none" w:sz="0" w:space="0"/>
          </w:pgBorders>
          <w:pgNumType w:fmt="decimal"/>
          <w:cols w:space="720" w:num="1"/>
          <w:docGrid w:linePitch="312" w:charSpace="0"/>
        </w:sectPr>
      </w:pPr>
    </w:p>
    <w:p>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20" w:name="_Hlk54167917"/>
      <w:r>
        <w:rPr>
          <w:rFonts w:hint="eastAsia" w:ascii="黑体" w:hAnsi="黑体" w:eastAsia="黑体"/>
          <w:snapToGrid w:val="0"/>
          <w:sz w:val="30"/>
          <w:szCs w:val="30"/>
        </w:rPr>
        <w:t>环境保护措施监督检查清单</w:t>
      </w:r>
      <w:bookmarkEnd w:id="20"/>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4"/>
        <w:gridCol w:w="590"/>
        <w:gridCol w:w="846"/>
        <w:gridCol w:w="593"/>
        <w:gridCol w:w="945"/>
        <w:gridCol w:w="2175"/>
        <w:gridCol w:w="30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34" w:type="dxa"/>
            <w:gridSpan w:val="2"/>
            <w:tcBorders>
              <w:tl2br w:val="single" w:color="auto" w:sz="4" w:space="0"/>
            </w:tcBorders>
            <w:noWrap w:val="0"/>
            <w:vAlign w:val="top"/>
          </w:tcPr>
          <w:p>
            <w:pPr>
              <w:adjustRightInd w:val="0"/>
              <w:snapToGrid w:val="0"/>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内容</w:t>
            </w:r>
          </w:p>
          <w:p>
            <w:pPr>
              <w:adjustRightInd w:val="0"/>
              <w:snapToGrid w:val="0"/>
              <w:ind w:firstLine="840" w:firstLineChars="40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要素</w:t>
            </w:r>
          </w:p>
        </w:tc>
        <w:tc>
          <w:tcPr>
            <w:tcW w:w="1439" w:type="dxa"/>
            <w:gridSpan w:val="2"/>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名称)/污染源</w:t>
            </w:r>
          </w:p>
        </w:tc>
        <w:tc>
          <w:tcPr>
            <w:tcW w:w="945" w:type="dxa"/>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污染物项目</w:t>
            </w:r>
          </w:p>
        </w:tc>
        <w:tc>
          <w:tcPr>
            <w:tcW w:w="2175" w:type="dxa"/>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环境保护措施</w:t>
            </w:r>
          </w:p>
        </w:tc>
        <w:tc>
          <w:tcPr>
            <w:tcW w:w="3007" w:type="dxa"/>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644" w:type="dxa"/>
            <w:vMerge w:val="restar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大气环境</w:t>
            </w:r>
          </w:p>
        </w:tc>
        <w:tc>
          <w:tcPr>
            <w:tcW w:w="590" w:type="dxa"/>
            <w:vMerge w:val="restar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有组织</w:t>
            </w:r>
          </w:p>
        </w:tc>
        <w:tc>
          <w:tcPr>
            <w:tcW w:w="846"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破碎工序</w:t>
            </w:r>
          </w:p>
        </w:tc>
        <w:tc>
          <w:tcPr>
            <w:tcW w:w="593"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排气筒</w:t>
            </w:r>
            <w:r>
              <w:rPr>
                <w:rFonts w:hint="eastAsia" w:cs="Times New Roman"/>
                <w:sz w:val="21"/>
                <w:szCs w:val="21"/>
                <w:lang w:val="en-US" w:eastAsia="zh-CN"/>
              </w:rPr>
              <w:t>DA001</w:t>
            </w:r>
          </w:p>
          <w:p>
            <w:pPr>
              <w:adjustRightInd w:val="0"/>
              <w:snapToGrid w:val="0"/>
              <w:jc w:val="center"/>
              <w:rPr>
                <w:rFonts w:hint="default" w:ascii="Times New Roman" w:hAnsi="Times New Roman" w:eastAsia="宋体" w:cs="Times New Roman"/>
                <w:sz w:val="21"/>
                <w:szCs w:val="21"/>
                <w:lang w:val="en-US" w:eastAsia="zh-CN"/>
              </w:rPr>
            </w:pPr>
          </w:p>
        </w:tc>
        <w:tc>
          <w:tcPr>
            <w:tcW w:w="94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w:t>
            </w:r>
          </w:p>
        </w:tc>
        <w:tc>
          <w:tcPr>
            <w:tcW w:w="217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highlight w:val="none"/>
              </w:rPr>
              <w:t>集气罩+</w:t>
            </w:r>
            <w:r>
              <w:rPr>
                <w:rFonts w:hint="eastAsia" w:cs="Times New Roman"/>
                <w:sz w:val="21"/>
                <w:szCs w:val="21"/>
                <w:highlight w:val="none"/>
                <w:lang w:val="en-US" w:eastAsia="zh-CN"/>
              </w:rPr>
              <w:t>袋式除尘器</w:t>
            </w:r>
            <w:r>
              <w:rPr>
                <w:rFonts w:hint="default" w:ascii="Times New Roman" w:hAnsi="Times New Roman" w:eastAsia="宋体" w:cs="Times New Roman"/>
                <w:sz w:val="21"/>
                <w:szCs w:val="21"/>
                <w:highlight w:val="none"/>
              </w:rPr>
              <w:t>+15m 排气筒</w:t>
            </w:r>
            <w:r>
              <w:rPr>
                <w:rFonts w:hint="eastAsia" w:cs="Times New Roman"/>
                <w:sz w:val="21"/>
                <w:szCs w:val="21"/>
                <w:highlight w:val="none"/>
                <w:lang w:val="en-US" w:eastAsia="zh-CN"/>
              </w:rPr>
              <w:t>1</w:t>
            </w:r>
          </w:p>
        </w:tc>
        <w:tc>
          <w:tcPr>
            <w:tcW w:w="3007" w:type="dxa"/>
            <w:noWrap w:val="0"/>
            <w:vAlign w:val="center"/>
          </w:tcPr>
          <w:p>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sz w:val="21"/>
                <w:szCs w:val="21"/>
              </w:rPr>
              <w:t>《合成树脂工业污染物排放标准》</w:t>
            </w: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rPr>
              <w:t>GB31572-2015</w:t>
            </w:r>
            <w:r>
              <w:rPr>
                <w:rFonts w:hint="eastAsia"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w:t>
            </w:r>
          </w:p>
          <w:p>
            <w:pPr>
              <w:adjustRightInd w:val="0"/>
              <w:snapToGrid w:val="0"/>
              <w:jc w:val="center"/>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新乡市生态环境局《关于进一步规范工业企业颗粒物排放限值的通知》</w:t>
            </w:r>
            <w:r>
              <w:rPr>
                <w:rFonts w:hint="eastAsia" w:cs="Times New Roman"/>
                <w:sz w:val="21"/>
                <w:szCs w:val="21"/>
                <w:highlight w:val="none"/>
                <w:lang w:eastAsia="zh-CN"/>
              </w:rPr>
              <w:t>、</w:t>
            </w:r>
          </w:p>
          <w:p>
            <w:pPr>
              <w:adjustRightInd w:val="0"/>
              <w:snapToGrid w:val="0"/>
              <w:jc w:val="center"/>
              <w:rPr>
                <w:rFonts w:hint="default" w:ascii="Times New Roman" w:hAnsi="Times New Roman" w:eastAsia="宋体" w:cs="Times New Roman"/>
                <w:sz w:val="21"/>
                <w:szCs w:val="21"/>
              </w:rPr>
            </w:pP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河南省重污染天气重点行业应急减排措施制定技术指南</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2021年修订版</w:t>
            </w:r>
            <w:r>
              <w:rPr>
                <w:rFonts w:hint="default" w:ascii="Times New Roman" w:hAnsi="Times New Roman" w:eastAsia="宋体" w:cs="Times New Roman"/>
                <w:b w:val="0"/>
                <w:bCs/>
                <w:color w:val="auto"/>
                <w:sz w:val="21"/>
                <w:szCs w:val="21"/>
                <w:lang w:eastAsia="zh-CN"/>
              </w:rPr>
              <w:t>）塑料制品</w:t>
            </w:r>
            <w:r>
              <w:rPr>
                <w:rFonts w:hint="default" w:ascii="Times New Roman" w:hAnsi="Times New Roman" w:eastAsia="宋体" w:cs="Times New Roman"/>
                <w:b w:val="0"/>
                <w:bCs/>
                <w:color w:val="auto"/>
                <w:sz w:val="21"/>
                <w:szCs w:val="21"/>
                <w:lang w:val="en-US" w:eastAsia="zh-CN"/>
              </w:rPr>
              <w:t>B级要求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7" w:hRule="atLeast"/>
          <w:jc w:val="center"/>
        </w:trPr>
        <w:tc>
          <w:tcPr>
            <w:tcW w:w="644" w:type="dxa"/>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590" w:type="dxa"/>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846"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注塑</w:t>
            </w:r>
            <w:r>
              <w:rPr>
                <w:rFonts w:hint="eastAsia" w:cs="Times New Roman"/>
                <w:sz w:val="21"/>
                <w:szCs w:val="21"/>
                <w:lang w:val="en-US" w:eastAsia="zh-CN"/>
              </w:rPr>
              <w:t>、</w:t>
            </w:r>
            <w:r>
              <w:rPr>
                <w:rFonts w:hint="eastAsia"/>
                <w:lang w:val="en-US" w:eastAsia="zh-CN"/>
              </w:rPr>
              <w:t>加热挤出、吹塑工序</w:t>
            </w:r>
          </w:p>
        </w:tc>
        <w:tc>
          <w:tcPr>
            <w:tcW w:w="593"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排气筒</w:t>
            </w:r>
            <w:r>
              <w:rPr>
                <w:rFonts w:hint="eastAsia" w:cs="Times New Roman"/>
                <w:sz w:val="21"/>
                <w:szCs w:val="21"/>
                <w:lang w:val="en-US" w:eastAsia="zh-CN"/>
              </w:rPr>
              <w:t>DA002</w:t>
            </w:r>
          </w:p>
        </w:tc>
        <w:tc>
          <w:tcPr>
            <w:tcW w:w="945" w:type="dxa"/>
            <w:noWrap w:val="0"/>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非甲烷总烃</w:t>
            </w:r>
          </w:p>
        </w:tc>
        <w:tc>
          <w:tcPr>
            <w:tcW w:w="217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rPr>
              <w:t>集气罩+</w:t>
            </w:r>
            <w:r>
              <w:rPr>
                <w:rFonts w:hint="default" w:ascii="Times New Roman" w:hAnsi="Times New Roman" w:eastAsia="宋体" w:cs="Times New Roman"/>
                <w:sz w:val="21"/>
                <w:szCs w:val="21"/>
                <w:highlight w:val="none"/>
                <w:lang w:eastAsia="zh-CN"/>
              </w:rPr>
              <w:t>活性炭吸附-脱附+催化燃烧装置</w:t>
            </w:r>
            <w:r>
              <w:rPr>
                <w:rFonts w:hint="default" w:ascii="Times New Roman" w:hAnsi="Times New Roman" w:eastAsia="宋体" w:cs="Times New Roman"/>
                <w:sz w:val="21"/>
                <w:szCs w:val="21"/>
                <w:highlight w:val="none"/>
              </w:rPr>
              <w:t>+15m 排气筒</w:t>
            </w:r>
            <w:r>
              <w:rPr>
                <w:rFonts w:hint="eastAsia" w:cs="Times New Roman"/>
                <w:sz w:val="21"/>
                <w:szCs w:val="21"/>
                <w:highlight w:val="none"/>
                <w:lang w:val="en-US" w:eastAsia="zh-CN"/>
              </w:rPr>
              <w:t>2</w:t>
            </w:r>
          </w:p>
        </w:tc>
        <w:tc>
          <w:tcPr>
            <w:tcW w:w="3007" w:type="dxa"/>
            <w:noWrap w:val="0"/>
            <w:vAlign w:val="center"/>
          </w:tcPr>
          <w:p>
            <w:pPr>
              <w:adjustRightInd w:val="0"/>
              <w:snapToGrid w:val="0"/>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rPr>
              <w:t>《合成树脂工业污染物排放标准》</w:t>
            </w: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cs="Times New Roman"/>
                <w:b w:val="0"/>
                <w:bCs w:val="0"/>
                <w:color w:val="auto"/>
                <w:sz w:val="21"/>
                <w:szCs w:val="21"/>
              </w:rPr>
              <w:t>GB31572-2015</w:t>
            </w:r>
            <w:r>
              <w:rPr>
                <w:rFonts w:hint="eastAsia"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w:t>
            </w:r>
          </w:p>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河南省重污染天气重点行业应急减排措施制定技术指南</w:t>
            </w:r>
            <w:r>
              <w:rPr>
                <w:rFonts w:hint="eastAsia"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2021年修订版</w:t>
            </w:r>
            <w:r>
              <w:rPr>
                <w:rFonts w:hint="default" w:ascii="Times New Roman" w:hAnsi="Times New Roman" w:eastAsia="宋体" w:cs="Times New Roman"/>
                <w:b w:val="0"/>
                <w:bCs/>
                <w:color w:val="auto"/>
                <w:sz w:val="21"/>
                <w:szCs w:val="21"/>
                <w:lang w:eastAsia="zh-CN"/>
              </w:rPr>
              <w:t>）塑料制品</w:t>
            </w:r>
            <w:r>
              <w:rPr>
                <w:rFonts w:hint="default" w:ascii="Times New Roman" w:hAnsi="Times New Roman" w:eastAsia="宋体" w:cs="Times New Roman"/>
                <w:b w:val="0"/>
                <w:bCs/>
                <w:color w:val="auto"/>
                <w:sz w:val="21"/>
                <w:szCs w:val="21"/>
                <w:lang w:val="en-US" w:eastAsia="zh-CN"/>
              </w:rPr>
              <w:t>B级要求</w:t>
            </w:r>
            <w:r>
              <w:rPr>
                <w:rFonts w:hint="eastAsia" w:ascii="Times New Roman" w:hAnsi="Times New Roman" w:eastAsia="宋体" w:cs="Times New Roman"/>
                <w:b w:val="0"/>
                <w:bCs/>
                <w:color w:val="auto"/>
                <w:sz w:val="21"/>
                <w:szCs w:val="21"/>
                <w:lang w:val="en-US" w:eastAsia="zh-CN"/>
              </w:rPr>
              <w:t>、</w:t>
            </w: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highlight w:val="none"/>
              </w:rPr>
              <w:t>豫环攻坚办162号文</w:t>
            </w:r>
            <w:r>
              <w:rPr>
                <w:rFonts w:hint="default" w:ascii="Times New Roman" w:hAnsi="Times New Roman" w:eastAsia="宋体" w:cs="Times New Roman"/>
                <w:b w:val="0"/>
                <w:bCs w:val="0"/>
                <w:color w:val="auto"/>
                <w:sz w:val="21"/>
                <w:szCs w:val="21"/>
                <w:highlight w:val="none"/>
                <w:lang w:eastAsia="zh-CN"/>
              </w:rPr>
              <w:t>建议值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44" w:type="dxa"/>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590"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无组织</w:t>
            </w:r>
          </w:p>
        </w:tc>
        <w:tc>
          <w:tcPr>
            <w:tcW w:w="1439" w:type="dxa"/>
            <w:gridSpan w:val="2"/>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车间</w:t>
            </w:r>
          </w:p>
        </w:tc>
        <w:tc>
          <w:tcPr>
            <w:tcW w:w="94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颗粒物、非甲烷总烃</w:t>
            </w:r>
          </w:p>
        </w:tc>
        <w:tc>
          <w:tcPr>
            <w:tcW w:w="217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a.本项目所有原料位于原料库内，</w:t>
            </w:r>
            <w:r>
              <w:rPr>
                <w:rFonts w:hint="eastAsia"/>
                <w:lang w:eastAsia="zh-CN"/>
              </w:rPr>
              <w:t>含</w:t>
            </w:r>
            <w:r>
              <w:rPr>
                <w:rFonts w:hint="eastAsia"/>
                <w:lang w:val="en-US" w:eastAsia="zh-CN"/>
              </w:rPr>
              <w:t>VOC物料</w:t>
            </w:r>
            <w:r>
              <w:rPr>
                <w:rFonts w:hint="eastAsia"/>
              </w:rPr>
              <w:t>非取用状态时容器应</w:t>
            </w:r>
            <w:r>
              <w:rPr>
                <w:rFonts w:hint="eastAsia"/>
                <w:lang w:eastAsia="zh-CN"/>
              </w:rPr>
              <w:t>加盖</w:t>
            </w:r>
            <w:r>
              <w:rPr>
                <w:rFonts w:hint="eastAsia"/>
              </w:rPr>
              <w:t>密闭</w:t>
            </w:r>
            <w:r>
              <w:rPr>
                <w:rFonts w:hint="eastAsia"/>
                <w:lang w:eastAsia="zh-CN"/>
              </w:rPr>
              <w:t>，</w:t>
            </w:r>
            <w:r>
              <w:rPr>
                <w:rFonts w:hint="default" w:ascii="Times New Roman" w:hAnsi="Times New Roman" w:eastAsia="宋体" w:cs="Times New Roman"/>
                <w:sz w:val="21"/>
                <w:szCs w:val="21"/>
                <w:highlight w:val="none"/>
                <w:lang w:val="en-US" w:eastAsia="zh-CN"/>
              </w:rPr>
              <w:t>厂区内无露天堆放；</w:t>
            </w:r>
          </w:p>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b.车间和料库完全密闭，并安装卷帘门，无车辆出入时将门关闭；</w:t>
            </w:r>
          </w:p>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c.物料位于封闭车间内，车间全密闭，卸料过程在密闭车间内；</w:t>
            </w:r>
          </w:p>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highlight w:val="none"/>
                <w:lang w:val="en-US" w:eastAsia="zh-CN"/>
              </w:rPr>
              <w:t>d.对厂区道路硬化，定期洒水降尘，保证地面无积尘，无法进行硬化的区域，进行绿化，厂区无裸露空地</w:t>
            </w:r>
          </w:p>
        </w:tc>
        <w:tc>
          <w:tcPr>
            <w:tcW w:w="3007"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Cs w:val="21"/>
                <w:highlight w:val="none"/>
                <w:vertAlign w:val="superscript"/>
                <w:lang w:val="en-US" w:eastAsia="zh-CN"/>
              </w:rPr>
            </w:pPr>
            <w:r>
              <w:rPr>
                <w:rFonts w:hint="default" w:ascii="Times New Roman" w:hAnsi="Times New Roman" w:eastAsia="宋体" w:cs="Times New Roman"/>
                <w:szCs w:val="21"/>
                <w:highlight w:val="none"/>
              </w:rPr>
              <w:t>新乡市生态环境局《关于进一步规范工业企业颗粒物排放限值的通知》</w:t>
            </w:r>
          </w:p>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default" w:ascii="Times New Roman" w:hAnsi="Times New Roman" w:eastAsia="宋体" w:cs="Times New Roman"/>
                <w:highlight w:val="none"/>
              </w:rPr>
              <w:t>《关于全省开展工业企业挥发性有机物专项治理工作中排放建议值的通知》豫环攻坚办</w:t>
            </w:r>
            <w:r>
              <w:rPr>
                <w:rFonts w:hint="default" w:ascii="Times New Roman" w:hAnsi="Times New Roman" w:eastAsia="宋体" w:cs="Times New Roman"/>
                <w:highlight w:val="none"/>
                <w:lang w:eastAsia="zh-CN"/>
              </w:rPr>
              <w:t>[2017]</w:t>
            </w:r>
            <w:r>
              <w:rPr>
                <w:rFonts w:hint="default" w:ascii="Times New Roman" w:hAnsi="Times New Roman" w:eastAsia="宋体" w:cs="Times New Roman"/>
                <w:highlight w:val="none"/>
              </w:rPr>
              <w:t>162号文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地表水环境</w:t>
            </w:r>
          </w:p>
        </w:tc>
        <w:tc>
          <w:tcPr>
            <w:tcW w:w="1439" w:type="dxa"/>
            <w:gridSpan w:val="2"/>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生活污水</w:t>
            </w:r>
          </w:p>
        </w:tc>
        <w:tc>
          <w:tcPr>
            <w:tcW w:w="217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现有化粪池</w:t>
            </w:r>
          </w:p>
        </w:tc>
        <w:tc>
          <w:tcPr>
            <w:tcW w:w="3007"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lang w:eastAsia="zh-CN"/>
              </w:rPr>
              <w:t>从现有项目调剂员工，不新增员工，</w:t>
            </w:r>
            <w:r>
              <w:rPr>
                <w:rFonts w:hint="eastAsia" w:cs="Times New Roman"/>
                <w:sz w:val="21"/>
                <w:szCs w:val="21"/>
                <w:lang w:val="en-US" w:eastAsia="zh-CN"/>
              </w:rPr>
              <w:t>不新增废水量，生活废水经化粪池处理后定期清运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34" w:type="dxa"/>
            <w:gridSpan w:val="2"/>
            <w:vMerge w:val="restar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声环境</w:t>
            </w:r>
          </w:p>
        </w:tc>
        <w:tc>
          <w:tcPr>
            <w:tcW w:w="143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吹</w:t>
            </w:r>
            <w:r>
              <w:rPr>
                <w:rFonts w:hint="default" w:ascii="Times New Roman" w:hAnsi="Times New Roman" w:eastAsia="宋体" w:cs="Times New Roman"/>
                <w:szCs w:val="21"/>
                <w:highlight w:val="none"/>
                <w:lang w:val="en-US" w:eastAsia="zh-CN"/>
              </w:rPr>
              <w:t>塑机</w:t>
            </w:r>
            <w:r>
              <w:rPr>
                <w:rFonts w:hint="eastAsia" w:cs="Times New Roman"/>
                <w:szCs w:val="21"/>
                <w:highlight w:val="none"/>
                <w:lang w:val="en-US" w:eastAsia="zh-CN"/>
              </w:rPr>
              <w:t>、挤出机、注塑机</w:t>
            </w:r>
          </w:p>
        </w:tc>
        <w:tc>
          <w:tcPr>
            <w:tcW w:w="945"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Cs w:val="21"/>
                <w:highlight w:val="none"/>
                <w:lang w:val="en-US" w:eastAsia="zh-CN"/>
              </w:rPr>
              <w:t>噪声</w:t>
            </w:r>
          </w:p>
        </w:tc>
        <w:tc>
          <w:tcPr>
            <w:tcW w:w="2175"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u w:val="none"/>
              </w:rPr>
              <w:t>减振基础，车间隔声、距离衰减</w:t>
            </w:r>
          </w:p>
        </w:tc>
        <w:tc>
          <w:tcPr>
            <w:tcW w:w="3007"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highlight w:val="none"/>
                <w:u w:val="none"/>
              </w:rPr>
              <w:t>《工业企业厂界环境噪声排放标准》（GB12348-2008）</w:t>
            </w:r>
            <w:r>
              <w:rPr>
                <w:rFonts w:hint="default" w:ascii="Times New Roman" w:hAnsi="Times New Roman" w:eastAsia="宋体" w:cs="Times New Roman"/>
                <w:b w:val="0"/>
                <w:bCs w:val="0"/>
                <w:sz w:val="21"/>
                <w:szCs w:val="21"/>
                <w:highlight w:val="none"/>
                <w:u w:val="none"/>
                <w:lang w:val="en-US" w:eastAsia="zh-CN"/>
              </w:rPr>
              <w:t>2类标准</w:t>
            </w:r>
            <w:r>
              <w:rPr>
                <w:rFonts w:hint="eastAsia" w:cs="Times New Roman"/>
                <w:b w:val="0"/>
                <w:bCs w:val="0"/>
                <w:sz w:val="21"/>
                <w:szCs w:val="21"/>
                <w:highlight w:val="none"/>
                <w:u w:val="none"/>
                <w:lang w:val="en-US" w:eastAsia="zh-CN"/>
              </w:rPr>
              <w:t>【</w:t>
            </w:r>
            <w:r>
              <w:rPr>
                <w:rFonts w:hint="default" w:ascii="Times New Roman" w:hAnsi="Times New Roman" w:eastAsia="宋体" w:cs="Times New Roman"/>
                <w:b w:val="0"/>
                <w:bCs w:val="0"/>
                <w:sz w:val="21"/>
                <w:szCs w:val="21"/>
                <w:highlight w:val="none"/>
                <w:u w:val="none"/>
              </w:rPr>
              <w:t>昼间≤6</w:t>
            </w:r>
            <w:r>
              <w:rPr>
                <w:rFonts w:hint="eastAsia" w:ascii="Times New Roman" w:hAnsi="Times New Roman" w:eastAsia="宋体" w:cs="Times New Roman"/>
                <w:b w:val="0"/>
                <w:bCs w:val="0"/>
                <w:sz w:val="21"/>
                <w:szCs w:val="21"/>
                <w:highlight w:val="none"/>
                <w:u w:val="none"/>
                <w:lang w:val="en-US" w:eastAsia="zh-CN"/>
              </w:rPr>
              <w:t>0</w:t>
            </w:r>
            <w:r>
              <w:rPr>
                <w:rFonts w:hint="default" w:ascii="Times New Roman" w:hAnsi="Times New Roman" w:eastAsia="宋体" w:cs="Times New Roman"/>
                <w:b w:val="0"/>
                <w:bCs w:val="0"/>
                <w:sz w:val="21"/>
                <w:szCs w:val="21"/>
                <w:highlight w:val="none"/>
                <w:u w:val="none"/>
              </w:rPr>
              <w:t>dB（A）、夜间≤5</w:t>
            </w:r>
            <w:r>
              <w:rPr>
                <w:rFonts w:hint="eastAsia" w:ascii="Times New Roman" w:hAnsi="Times New Roman" w:eastAsia="宋体" w:cs="Times New Roman"/>
                <w:b w:val="0"/>
                <w:bCs w:val="0"/>
                <w:sz w:val="21"/>
                <w:szCs w:val="21"/>
                <w:highlight w:val="none"/>
                <w:u w:val="none"/>
                <w:lang w:val="en-US" w:eastAsia="zh-CN"/>
              </w:rPr>
              <w:t>0</w:t>
            </w:r>
            <w:r>
              <w:rPr>
                <w:rFonts w:hint="default" w:ascii="Times New Roman" w:hAnsi="Times New Roman" w:eastAsia="宋体" w:cs="Times New Roman"/>
                <w:b w:val="0"/>
                <w:bCs w:val="0"/>
                <w:sz w:val="21"/>
                <w:szCs w:val="21"/>
                <w:highlight w:val="none"/>
                <w:u w:val="none"/>
              </w:rPr>
              <w:t>dB（A）</w:t>
            </w:r>
            <w:r>
              <w:rPr>
                <w:rFonts w:hint="eastAsia" w:cs="Times New Roman"/>
                <w:b w:val="0"/>
                <w:bCs w:val="0"/>
                <w:sz w:val="21"/>
                <w:szCs w:val="21"/>
                <w:highlight w:val="none"/>
                <w:u w:val="none"/>
                <w:lang w:eastAsia="zh-CN"/>
              </w:rPr>
              <w:t>】</w:t>
            </w:r>
            <w:r>
              <w:rPr>
                <w:rFonts w:hint="default" w:ascii="Times New Roman" w:hAnsi="Times New Roman" w:eastAsia="宋体" w:cs="Times New Roman"/>
                <w:b w:val="0"/>
                <w:bCs w:val="0"/>
                <w:sz w:val="21"/>
                <w:szCs w:val="21"/>
                <w:highlight w:val="none"/>
                <w:u w:val="none"/>
              </w:rPr>
              <w:t>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34" w:type="dxa"/>
            <w:gridSpan w:val="2"/>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143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szCs w:val="21"/>
                <w:highlight w:val="none"/>
                <w:lang w:val="en-US" w:eastAsia="zh-CN"/>
              </w:rPr>
              <w:t>破碎机</w:t>
            </w:r>
          </w:p>
        </w:tc>
        <w:tc>
          <w:tcPr>
            <w:tcW w:w="945"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p>
        </w:tc>
        <w:tc>
          <w:tcPr>
            <w:tcW w:w="2175"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p>
        </w:tc>
        <w:tc>
          <w:tcPr>
            <w:tcW w:w="300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电磁辐射</w:t>
            </w:r>
          </w:p>
        </w:tc>
        <w:tc>
          <w:tcPr>
            <w:tcW w:w="1439" w:type="dxa"/>
            <w:gridSpan w:val="2"/>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5" w:type="dxa"/>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175" w:type="dxa"/>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3007" w:type="dxa"/>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644" w:type="dxa"/>
            <w:vMerge w:val="restar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固体废物</w:t>
            </w:r>
          </w:p>
        </w:tc>
        <w:tc>
          <w:tcPr>
            <w:tcW w:w="590" w:type="dxa"/>
            <w:vMerge w:val="restart"/>
            <w:noWrap w:val="0"/>
            <w:vAlign w:val="center"/>
          </w:tcPr>
          <w:p>
            <w:pPr>
              <w:adjustRightInd w:val="0"/>
              <w:snapToGrid w:val="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一般固体废物</w:t>
            </w:r>
          </w:p>
        </w:tc>
        <w:tc>
          <w:tcPr>
            <w:tcW w:w="1439" w:type="dxa"/>
            <w:gridSpan w:val="2"/>
            <w:vMerge w:val="restar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生产过程</w:t>
            </w:r>
          </w:p>
        </w:tc>
        <w:tc>
          <w:tcPr>
            <w:tcW w:w="945" w:type="dxa"/>
            <w:noWrap w:val="0"/>
            <w:vAlign w:val="center"/>
          </w:tcPr>
          <w:p>
            <w:pPr>
              <w:adjustRightInd w:val="0"/>
              <w:snapToGrid w:val="0"/>
              <w:jc w:val="center"/>
              <w:rPr>
                <w:rFonts w:hint="default" w:cs="Times New Roman"/>
                <w:sz w:val="21"/>
                <w:szCs w:val="21"/>
                <w:lang w:val="en-US" w:eastAsia="zh-CN"/>
              </w:rPr>
            </w:pPr>
            <w:r>
              <w:rPr>
                <w:rFonts w:hint="eastAsia" w:cs="Times New Roman"/>
                <w:sz w:val="21"/>
                <w:szCs w:val="21"/>
                <w:lang w:val="en-US" w:eastAsia="zh-CN"/>
              </w:rPr>
              <w:t>不合格品、废边角料</w:t>
            </w:r>
          </w:p>
        </w:tc>
        <w:tc>
          <w:tcPr>
            <w:tcW w:w="217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回用于生产</w:t>
            </w:r>
          </w:p>
        </w:tc>
        <w:tc>
          <w:tcPr>
            <w:tcW w:w="3007" w:type="dxa"/>
            <w:vMerge w:val="restart"/>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HYPERLINK "http://www.mee.gov.cn/ywgz/fgbz/bz/bzwb/gthw/gtfwwrkzbz/202012/W020201218695845325455.pdf"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一般工业固体废物贮存和填埋污染控制标准</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（GB 18599-2020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44" w:type="dxa"/>
            <w:vMerge w:val="continue"/>
            <w:noWrap w:val="0"/>
            <w:vAlign w:val="center"/>
          </w:tcPr>
          <w:p>
            <w:pPr>
              <w:adjustRightInd w:val="0"/>
              <w:snapToGrid w:val="0"/>
              <w:jc w:val="center"/>
            </w:pPr>
          </w:p>
        </w:tc>
        <w:tc>
          <w:tcPr>
            <w:tcW w:w="590" w:type="dxa"/>
            <w:vMerge w:val="continue"/>
            <w:noWrap w:val="0"/>
            <w:vAlign w:val="center"/>
          </w:tcPr>
          <w:p>
            <w:pPr>
              <w:adjustRightInd w:val="0"/>
              <w:snapToGrid w:val="0"/>
              <w:jc w:val="center"/>
            </w:pPr>
          </w:p>
        </w:tc>
        <w:tc>
          <w:tcPr>
            <w:tcW w:w="1439" w:type="dxa"/>
            <w:gridSpan w:val="2"/>
            <w:vMerge w:val="continue"/>
            <w:noWrap w:val="0"/>
            <w:vAlign w:val="center"/>
          </w:tcPr>
          <w:p>
            <w:pPr>
              <w:adjustRightInd w:val="0"/>
              <w:snapToGrid w:val="0"/>
              <w:jc w:val="center"/>
              <w:rPr>
                <w:rFonts w:hint="default" w:ascii="Times New Roman" w:hAnsi="Times New Roman" w:eastAsia="宋体" w:cs="Times New Roman"/>
                <w:sz w:val="21"/>
                <w:szCs w:val="21"/>
                <w:lang w:val="en-US" w:eastAsia="zh-CN"/>
              </w:rPr>
            </w:pPr>
          </w:p>
        </w:tc>
        <w:tc>
          <w:tcPr>
            <w:tcW w:w="94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废包装袋</w:t>
            </w:r>
          </w:p>
        </w:tc>
        <w:tc>
          <w:tcPr>
            <w:tcW w:w="217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Cs w:val="21"/>
                <w:highlight w:val="none"/>
                <w:lang w:eastAsia="zh-CN"/>
              </w:rPr>
              <w:t>一般固废暂存间，</w:t>
            </w:r>
            <w:r>
              <w:rPr>
                <w:rFonts w:hint="default" w:ascii="Times New Roman" w:hAnsi="Times New Roman" w:eastAsia="宋体" w:cs="Times New Roman"/>
                <w:color w:val="000000"/>
                <w:szCs w:val="21"/>
                <w:highlight w:val="none"/>
              </w:rPr>
              <w:t>厂内集中收集后统一外售</w:t>
            </w:r>
          </w:p>
        </w:tc>
        <w:tc>
          <w:tcPr>
            <w:tcW w:w="3007" w:type="dxa"/>
            <w:vMerge w:val="continue"/>
            <w:noWrap w:val="0"/>
            <w:vAlign w:val="center"/>
          </w:tcPr>
          <w:p>
            <w:pPr>
              <w:adjustRightInd w:val="0"/>
              <w:snapToGrid w:val="0"/>
              <w:jc w:val="center"/>
              <w:rPr>
                <w:rFonts w:hint="default" w:ascii="Times New Roman" w:hAnsi="Times New Roman" w:eastAsia="宋体" w:cs="Times New Roman"/>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644" w:type="dxa"/>
            <w:vMerge w:val="continue"/>
            <w:noWrap w:val="0"/>
            <w:vAlign w:val="center"/>
          </w:tcPr>
          <w:p>
            <w:pPr>
              <w:adjustRightInd w:val="0"/>
              <w:snapToGrid w:val="0"/>
              <w:jc w:val="center"/>
            </w:pPr>
          </w:p>
        </w:tc>
        <w:tc>
          <w:tcPr>
            <w:tcW w:w="590" w:type="dxa"/>
            <w:vMerge w:val="continue"/>
            <w:noWrap w:val="0"/>
            <w:vAlign w:val="center"/>
          </w:tcPr>
          <w:p>
            <w:pPr>
              <w:adjustRightInd w:val="0"/>
              <w:snapToGrid w:val="0"/>
              <w:jc w:val="center"/>
            </w:pPr>
          </w:p>
        </w:tc>
        <w:tc>
          <w:tcPr>
            <w:tcW w:w="1439" w:type="dxa"/>
            <w:gridSpan w:val="2"/>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废气处理</w:t>
            </w:r>
          </w:p>
        </w:tc>
        <w:tc>
          <w:tcPr>
            <w:tcW w:w="94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袋式除尘器收集粉尘</w:t>
            </w:r>
          </w:p>
        </w:tc>
        <w:tc>
          <w:tcPr>
            <w:tcW w:w="2175"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收集后出售</w:t>
            </w:r>
          </w:p>
        </w:tc>
        <w:tc>
          <w:tcPr>
            <w:tcW w:w="3007" w:type="dxa"/>
            <w:vMerge w:val="continue"/>
            <w:noWrap w:val="0"/>
            <w:vAlign w:val="center"/>
          </w:tcPr>
          <w:p>
            <w:pPr>
              <w:adjustRightInd w:val="0"/>
              <w:snapToGrid w:val="0"/>
              <w:jc w:val="center"/>
              <w:rPr>
                <w:rFonts w:hint="default" w:ascii="Times New Roman" w:hAnsi="Times New Roman" w:eastAsia="宋体" w:cs="Times New Roman"/>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644" w:type="dxa"/>
            <w:vMerge w:val="continue"/>
            <w:noWrap w:val="0"/>
            <w:vAlign w:val="center"/>
          </w:tcPr>
          <w:p>
            <w:pPr>
              <w:adjustRightInd w:val="0"/>
              <w:snapToGrid w:val="0"/>
              <w:jc w:val="center"/>
            </w:pPr>
          </w:p>
        </w:tc>
        <w:tc>
          <w:tcPr>
            <w:tcW w:w="590" w:type="dxa"/>
            <w:vMerge w:val="continue"/>
            <w:noWrap w:val="0"/>
            <w:vAlign w:val="center"/>
          </w:tcPr>
          <w:p>
            <w:pPr>
              <w:adjustRightInd w:val="0"/>
              <w:snapToGrid w:val="0"/>
              <w:jc w:val="center"/>
            </w:pPr>
          </w:p>
        </w:tc>
        <w:tc>
          <w:tcPr>
            <w:tcW w:w="1439" w:type="dxa"/>
            <w:gridSpan w:val="2"/>
            <w:noWrap w:val="0"/>
            <w:vAlign w:val="center"/>
          </w:tcPr>
          <w:p>
            <w:pPr>
              <w:adjustRightInd w:val="0"/>
              <w:snapToGrid w:val="0"/>
              <w:jc w:val="center"/>
              <w:rPr>
                <w:rFonts w:hint="default" w:cs="Times New Roman"/>
                <w:sz w:val="21"/>
                <w:szCs w:val="21"/>
                <w:lang w:val="en-US" w:eastAsia="zh-CN"/>
              </w:rPr>
            </w:pPr>
            <w:r>
              <w:rPr>
                <w:rFonts w:hint="eastAsia" w:cs="Times New Roman"/>
                <w:sz w:val="21"/>
                <w:szCs w:val="21"/>
                <w:lang w:val="en-US" w:eastAsia="zh-CN"/>
              </w:rPr>
              <w:t>催化燃烧</w:t>
            </w:r>
          </w:p>
        </w:tc>
        <w:tc>
          <w:tcPr>
            <w:tcW w:w="945" w:type="dxa"/>
            <w:noWrap w:val="0"/>
            <w:vAlign w:val="center"/>
          </w:tcPr>
          <w:p>
            <w:pPr>
              <w:adjustRightInd w:val="0"/>
              <w:snapToGrid w:val="0"/>
              <w:jc w:val="center"/>
              <w:rPr>
                <w:rFonts w:hint="default" w:cs="Times New Roman"/>
                <w:sz w:val="21"/>
                <w:szCs w:val="21"/>
                <w:lang w:val="en-US" w:eastAsia="zh-CN"/>
              </w:rPr>
            </w:pPr>
            <w:r>
              <w:rPr>
                <w:rFonts w:hint="eastAsia" w:cs="Times New Roman"/>
                <w:sz w:val="21"/>
                <w:szCs w:val="21"/>
                <w:lang w:val="en-US" w:eastAsia="zh-CN"/>
              </w:rPr>
              <w:t>废催化剂</w:t>
            </w:r>
          </w:p>
        </w:tc>
        <w:tc>
          <w:tcPr>
            <w:tcW w:w="2175" w:type="dxa"/>
            <w:noWrap w:val="0"/>
            <w:vAlign w:val="center"/>
          </w:tcPr>
          <w:p>
            <w:pPr>
              <w:adjustRightInd w:val="0"/>
              <w:snapToGrid w:val="0"/>
              <w:jc w:val="center"/>
              <w:rPr>
                <w:rFonts w:hint="default" w:cs="Times New Roman"/>
                <w:sz w:val="21"/>
                <w:szCs w:val="21"/>
                <w:lang w:val="en-US" w:eastAsia="zh-CN"/>
              </w:rPr>
            </w:pPr>
            <w:r>
              <w:rPr>
                <w:rFonts w:hint="eastAsia" w:cs="Times New Roman"/>
                <w:sz w:val="21"/>
                <w:szCs w:val="21"/>
                <w:lang w:val="en-US" w:eastAsia="zh-CN"/>
              </w:rPr>
              <w:t>厂家回收</w:t>
            </w:r>
          </w:p>
        </w:tc>
        <w:tc>
          <w:tcPr>
            <w:tcW w:w="3007" w:type="dxa"/>
            <w:vMerge w:val="continue"/>
            <w:noWrap w:val="0"/>
            <w:vAlign w:val="center"/>
          </w:tcPr>
          <w:p>
            <w:pPr>
              <w:adjustRightInd w:val="0"/>
              <w:snapToGrid w:val="0"/>
              <w:jc w:val="center"/>
              <w:rPr>
                <w:rFonts w:hint="default" w:ascii="Times New Roman" w:hAnsi="Times New Roman" w:eastAsia="宋体" w:cs="Times New Roman"/>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644" w:type="dxa"/>
            <w:vMerge w:val="continue"/>
            <w:noWrap w:val="0"/>
            <w:vAlign w:val="center"/>
          </w:tcPr>
          <w:p>
            <w:pPr>
              <w:adjustRightInd w:val="0"/>
              <w:snapToGrid w:val="0"/>
              <w:jc w:val="center"/>
              <w:rPr>
                <w:rFonts w:hint="default" w:ascii="Times New Roman" w:hAnsi="Times New Roman" w:eastAsia="宋体" w:cs="Times New Roman"/>
                <w:sz w:val="21"/>
                <w:szCs w:val="21"/>
              </w:rPr>
            </w:pPr>
          </w:p>
        </w:tc>
        <w:tc>
          <w:tcPr>
            <w:tcW w:w="590" w:type="dxa"/>
            <w:noWrap w:val="0"/>
            <w:vAlign w:val="center"/>
          </w:tcPr>
          <w:p>
            <w:pPr>
              <w:adjustRightInd w:val="0"/>
              <w:snapToGrid w:val="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危险固体废物</w:t>
            </w:r>
          </w:p>
        </w:tc>
        <w:tc>
          <w:tcPr>
            <w:tcW w:w="1439" w:type="dxa"/>
            <w:gridSpan w:val="2"/>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highlight w:val="none"/>
                <w:lang w:val="en-US" w:eastAsia="zh-CN"/>
              </w:rPr>
              <w:t>活性炭吸附-脱附</w:t>
            </w:r>
          </w:p>
        </w:tc>
        <w:tc>
          <w:tcPr>
            <w:tcW w:w="945" w:type="dxa"/>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废活性炭</w:t>
            </w:r>
          </w:p>
        </w:tc>
        <w:tc>
          <w:tcPr>
            <w:tcW w:w="2175" w:type="dxa"/>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b w:val="0"/>
                <w:bCs w:val="0"/>
                <w:snapToGrid w:val="0"/>
                <w:color w:val="auto"/>
                <w:kern w:val="0"/>
                <w:szCs w:val="21"/>
                <w:highlight w:val="none"/>
                <w:u w:val="none"/>
                <w:lang w:val="en-US" w:eastAsia="zh-CN"/>
              </w:rPr>
              <w:t>危废暂存间，厂内收集后交由有资质单位处理</w:t>
            </w:r>
          </w:p>
        </w:tc>
        <w:tc>
          <w:tcPr>
            <w:tcW w:w="3007" w:type="dxa"/>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《危险废物贮存污染控制标准》（GB18597-2023</w:t>
            </w:r>
            <w:r>
              <w:rPr>
                <w:rFonts w:hint="default" w:ascii="Times New Roman" w:hAnsi="Times New Roman" w:eastAsia="宋体" w:cs="Times New Roman"/>
                <w:b w:val="0"/>
                <w:bCs w:val="0"/>
                <w:color w:val="auto"/>
                <w:sz w:val="21"/>
                <w:szCs w:val="21"/>
                <w:highlight w:val="none"/>
                <w:u w:val="none"/>
                <w:lang w:val="en-US" w:eastAsia="zh-CN"/>
              </w:rPr>
              <w:t>贮存污染控制标准</w:t>
            </w:r>
            <w:r>
              <w:rPr>
                <w:rFonts w:hint="eastAsia" w:cs="Times New Roman"/>
                <w:b w:val="0"/>
                <w:bCs w:val="0"/>
                <w:color w:val="auto"/>
                <w:sz w:val="21"/>
                <w:szCs w:val="21"/>
                <w:highlight w:val="none"/>
                <w:u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土壤及地下水</w:t>
            </w:r>
          </w:p>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污染防治措施</w:t>
            </w:r>
          </w:p>
        </w:tc>
        <w:tc>
          <w:tcPr>
            <w:tcW w:w="7566" w:type="dxa"/>
            <w:gridSpan w:val="5"/>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生态保护措施</w:t>
            </w:r>
          </w:p>
        </w:tc>
        <w:tc>
          <w:tcPr>
            <w:tcW w:w="7566" w:type="dxa"/>
            <w:gridSpan w:val="5"/>
            <w:noWrap w:val="0"/>
            <w:vAlign w:val="center"/>
          </w:tcPr>
          <w:p>
            <w:pPr>
              <w:adjustRightInd w:val="0"/>
              <w:snapToGrid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环境风险</w:t>
            </w:r>
          </w:p>
          <w:p>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防范措施</w:t>
            </w:r>
          </w:p>
        </w:tc>
        <w:tc>
          <w:tcPr>
            <w:tcW w:w="7566"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234" w:type="dxa"/>
            <w:gridSpan w:val="2"/>
            <w:noWrap w:val="0"/>
            <w:vAlign w:val="center"/>
          </w:tcPr>
          <w:p>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其他环境</w:t>
            </w:r>
          </w:p>
          <w:p>
            <w:pPr>
              <w:adjustRightInd w:val="0"/>
              <w:snapToGrid w:val="0"/>
              <w:jc w:val="center"/>
              <w:rPr>
                <w:rFonts w:hint="default" w:ascii="Times New Roman" w:hAnsi="Times New Roman" w:eastAsia="宋体" w:cs="Times New Roman"/>
                <w:spacing w:val="-8"/>
                <w:sz w:val="21"/>
                <w:szCs w:val="21"/>
              </w:rPr>
            </w:pPr>
            <w:r>
              <w:rPr>
                <w:rFonts w:hint="default" w:ascii="Times New Roman" w:hAnsi="Times New Roman" w:eastAsia="宋体" w:cs="Times New Roman"/>
                <w:spacing w:val="-8"/>
                <w:sz w:val="21"/>
                <w:szCs w:val="21"/>
              </w:rPr>
              <w:t>管理要求</w:t>
            </w:r>
          </w:p>
        </w:tc>
        <w:tc>
          <w:tcPr>
            <w:tcW w:w="7566"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黑体" w:cs="Times New Roman"/>
                <w:b/>
                <w:bCs/>
                <w:color w:val="000000"/>
                <w:kern w:val="44"/>
                <w:sz w:val="30"/>
                <w:szCs w:val="30"/>
                <w:lang w:val="en-US" w:eastAsia="zh-CN" w:bidi="ar-SA"/>
              </w:rPr>
            </w:pPr>
            <w:r>
              <w:rPr>
                <w:rFonts w:hint="eastAsia" w:ascii="Times New Roman" w:hAnsi="Times New Roman" w:eastAsia="宋体" w:cs="Times New Roman"/>
                <w:b w:val="0"/>
                <w:bCs w:val="0"/>
                <w:color w:val="auto"/>
                <w:kern w:val="2"/>
                <w:sz w:val="21"/>
                <w:szCs w:val="24"/>
                <w:lang w:val="en-US" w:eastAsia="zh-CN" w:bidi="ar-SA"/>
              </w:rPr>
              <w:t>根据</w:t>
            </w:r>
            <w:r>
              <w:rPr>
                <w:rFonts w:hint="default" w:ascii="Times New Roman" w:hAnsi="Times New Roman" w:eastAsia="宋体" w:cs="Times New Roman"/>
                <w:b w:val="0"/>
                <w:bCs w:val="0"/>
                <w:color w:val="auto"/>
                <w:kern w:val="2"/>
                <w:sz w:val="21"/>
                <w:szCs w:val="24"/>
                <w:lang w:val="en-US" w:eastAsia="zh-CN" w:bidi="ar-SA"/>
              </w:rPr>
              <w:t>《新乡市生态环境局关于部署安装工业企业用电量监控系统的通知》（新环[2019]154号）</w:t>
            </w:r>
            <w:r>
              <w:rPr>
                <w:rFonts w:hint="eastAsia" w:ascii="Times New Roman" w:hAnsi="Times New Roman" w:eastAsia="宋体" w:cs="Times New Roman"/>
                <w:b w:val="0"/>
                <w:bCs w:val="0"/>
                <w:color w:val="auto"/>
                <w:kern w:val="2"/>
                <w:sz w:val="21"/>
                <w:szCs w:val="24"/>
                <w:lang w:val="en-US" w:eastAsia="zh-CN" w:bidi="ar-SA"/>
              </w:rPr>
              <w:t>要求在总用电处、生产设施、废气处理设施处安装用电监控设施（各1套）。</w:t>
            </w:r>
          </w:p>
        </w:tc>
      </w:tr>
    </w:tbl>
    <w:p>
      <w:pPr>
        <w:rPr>
          <w:rFonts w:hint="eastAsia" w:ascii="黑体" w:hAnsi="黑体" w:eastAsia="黑体"/>
          <w:snapToGrid w:val="0"/>
          <w:sz w:val="30"/>
          <w:szCs w:val="30"/>
        </w:rPr>
      </w:pPr>
      <w:r>
        <w:rPr>
          <w:rFonts w:hint="eastAsia" w:ascii="黑体" w:hAnsi="黑体" w:eastAsia="黑体"/>
          <w:snapToGrid w:val="0"/>
          <w:sz w:val="30"/>
          <w:szCs w:val="30"/>
        </w:rPr>
        <w:br w:type="page"/>
      </w:r>
    </w:p>
    <w:p>
      <w:pPr>
        <w:pStyle w:val="18"/>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16" w:hRule="atLeast"/>
          <w:jc w:val="center"/>
        </w:trPr>
        <w:tc>
          <w:tcPr>
            <w:tcW w:w="88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sz w:val="24"/>
                <w:szCs w:val="24"/>
                <w:lang w:val="en-US" w:eastAsia="zh-CN"/>
              </w:rPr>
            </w:pPr>
            <w:r>
              <w:rPr>
                <w:rFonts w:hint="eastAsia" w:ascii="宋体" w:hAnsi="宋体" w:eastAsia="宋体" w:cs="宋体"/>
                <w:color w:val="000000"/>
                <w:kern w:val="0"/>
                <w:sz w:val="24"/>
                <w:szCs w:val="24"/>
                <w:lang w:val="en-US" w:eastAsia="zh-CN" w:bidi="ar"/>
              </w:rPr>
              <w:t>河南省永丰模具有限公司年产</w:t>
            </w:r>
            <w:r>
              <w:rPr>
                <w:rFonts w:hint="default" w:ascii="Times New Roman" w:hAnsi="Times New Roman" w:eastAsia="宋体" w:cs="Times New Roman"/>
                <w:color w:val="000000"/>
                <w:kern w:val="0"/>
                <w:sz w:val="24"/>
                <w:szCs w:val="24"/>
                <w:lang w:val="en-US" w:eastAsia="zh-CN" w:bidi="ar"/>
              </w:rPr>
              <w:t>13</w:t>
            </w:r>
            <w:r>
              <w:rPr>
                <w:rFonts w:hint="eastAsia" w:ascii="宋体" w:hAnsi="宋体" w:eastAsia="宋体" w:cs="宋体"/>
                <w:color w:val="000000"/>
                <w:kern w:val="0"/>
                <w:sz w:val="24"/>
                <w:szCs w:val="24"/>
                <w:lang w:val="en-US" w:eastAsia="zh-CN" w:bidi="ar"/>
              </w:rPr>
              <w:t>万只塑料包装容器项目及原三期工程改建项目</w:t>
            </w:r>
            <w:r>
              <w:rPr>
                <w:rFonts w:hint="eastAsia"/>
                <w:sz w:val="24"/>
                <w:szCs w:val="24"/>
                <w:lang w:val="en-US" w:eastAsia="zh-CN"/>
              </w:rPr>
              <w:t>，符合国家产业政策，项目选址合理。项目建设利用现有空厂房，不新增用地，根据新乡县土地利用总体规划图及新乡县合河乡建设用地管制和基本农田保护图（2010-2020）可知，用地性质属建设用地，符合新乡县及合河乡土地利用总体规划。建设单位在认真落实环评提出的各项环保治理措施和建议的基础上，项目产生的污染物均能达标排放，对周围环境影响较小。从环保角度分析，本项目建设是可行的。</w:t>
            </w:r>
          </w:p>
          <w:p>
            <w:pPr>
              <w:pStyle w:val="2"/>
              <w:wordWrap w:val="0"/>
              <w:jc w:val="right"/>
              <w:rPr>
                <w:rFonts w:hint="eastAsia" w:ascii="宋体" w:hAnsi="宋体" w:eastAsia="宋体" w:cs="宋体"/>
                <w:b w:val="0"/>
                <w:bCs w:val="0"/>
                <w:sz w:val="24"/>
                <w:szCs w:val="24"/>
                <w:lang w:val="en-US" w:eastAsia="zh-CN"/>
              </w:rPr>
            </w:pPr>
          </w:p>
          <w:p>
            <w:pPr>
              <w:wordWrap/>
              <w:rPr>
                <w:rFonts w:hint="eastAsia"/>
                <w:lang w:val="en-US" w:eastAsia="zh-CN"/>
              </w:rPr>
            </w:pPr>
          </w:p>
          <w:p>
            <w:pPr>
              <w:pStyle w:val="2"/>
              <w:wordWrap w:val="0"/>
              <w:jc w:val="right"/>
              <w:rPr>
                <w:rFonts w:hint="eastAsia" w:ascii="宋体" w:hAnsi="宋体" w:eastAsia="宋体" w:cs="宋体"/>
                <w:b w:val="0"/>
                <w:bCs w:val="0"/>
                <w:sz w:val="24"/>
                <w:szCs w:val="24"/>
                <w:lang w:val="en-US" w:eastAsia="zh-CN"/>
              </w:rPr>
            </w:pPr>
          </w:p>
          <w:p>
            <w:pPr>
              <w:wordWrap/>
              <w:rPr>
                <w:rFonts w:hint="eastAsia"/>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wordWrap/>
              <w:rPr>
                <w:rFonts w:hint="eastAsia"/>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jc w:val="right"/>
              <w:rPr>
                <w:rFonts w:hint="eastAsia" w:ascii="宋体" w:hAnsi="宋体" w:eastAsia="宋体" w:cs="宋体"/>
                <w:b w:val="0"/>
                <w:bCs w:val="0"/>
                <w:sz w:val="24"/>
                <w:szCs w:val="24"/>
                <w:lang w:val="en-US" w:eastAsia="zh-CN"/>
              </w:rPr>
            </w:pPr>
          </w:p>
          <w:p>
            <w:pPr>
              <w:pStyle w:val="2"/>
              <w:wordWrap w:val="0"/>
              <w:ind w:left="0" w:leftChars="0" w:firstLine="0" w:firstLineChars="0"/>
              <w:jc w:val="both"/>
              <w:rPr>
                <w:rFonts w:hint="default"/>
                <w:lang w:val="en-US" w:eastAsia="zh-CN"/>
              </w:rPr>
            </w:pPr>
            <w:r>
              <w:rPr>
                <w:rFonts w:hint="eastAsia" w:ascii="宋体" w:hAnsi="宋体" w:eastAsia="宋体" w:cs="宋体"/>
                <w:b w:val="0"/>
                <w:bCs w:val="0"/>
                <w:sz w:val="24"/>
                <w:szCs w:val="24"/>
                <w:lang w:val="en-US" w:eastAsia="zh-CN"/>
              </w:rPr>
              <w:t xml:space="preserve">   </w:t>
            </w:r>
          </w:p>
        </w:tc>
      </w:tr>
    </w:tbl>
    <w:p>
      <w:pPr>
        <w:pStyle w:val="18"/>
        <w:jc w:val="center"/>
        <w:outlineLvl w:val="0"/>
        <w:rPr>
          <w:rFonts w:hint="eastAsia" w:ascii="黑体" w:hAnsi="黑体" w:eastAsia="黑体"/>
          <w:snapToGrid w:val="0"/>
          <w:sz w:val="30"/>
          <w:szCs w:val="30"/>
        </w:rPr>
      </w:pPr>
      <w:r>
        <w:rPr>
          <w:snapToGrid w:val="0"/>
          <w:sz w:val="24"/>
          <w:szCs w:val="24"/>
        </w:rPr>
        <w:br w:type="page"/>
      </w:r>
    </w:p>
    <w:p>
      <w:pPr>
        <w:rPr>
          <w:rFonts w:ascii="宋体"/>
        </w:rPr>
        <w:sectPr>
          <w:pgSz w:w="11906"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1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2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29"/>
        <w:gridCol w:w="1774"/>
        <w:gridCol w:w="12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pPr>
              <w:pStyle w:val="43"/>
              <w:spacing w:beforeLines="0" w:afterLines="0" w:line="240" w:lineRule="auto"/>
              <w:jc w:val="righ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pPr>
              <w:pStyle w:val="43"/>
              <w:spacing w:beforeLines="0" w:afterLines="0" w:line="240" w:lineRule="auto"/>
              <w:jc w:val="lef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1417" w:type="dxa"/>
            <w:noWrap w:val="0"/>
            <w:tcMar>
              <w:left w:w="28" w:type="dxa"/>
              <w:right w:w="28" w:type="dxa"/>
            </w:tcMar>
            <w:vAlign w:val="center"/>
          </w:tcPr>
          <w:p>
            <w:pPr>
              <w:pStyle w:val="43"/>
              <w:spacing w:beforeLines="0" w:afterLines="0" w:line="240" w:lineRule="auto"/>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701" w:type="dxa"/>
            <w:noWrap w:val="0"/>
            <w:tcMar>
              <w:left w:w="28" w:type="dxa"/>
              <w:right w:w="28" w:type="dxa"/>
            </w:tcMar>
            <w:vAlign w:val="center"/>
          </w:tcPr>
          <w:p>
            <w:pPr>
              <w:pStyle w:val="43"/>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276" w:type="dxa"/>
            <w:noWrap w:val="0"/>
            <w:tcMar>
              <w:left w:w="28" w:type="dxa"/>
              <w:right w:w="28" w:type="dxa"/>
            </w:tcMar>
            <w:vAlign w:val="center"/>
          </w:tcPr>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pPr>
              <w:pStyle w:val="43"/>
              <w:spacing w:beforeLines="0" w:afterLines="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701" w:type="dxa"/>
            <w:noWrap w:val="0"/>
            <w:tcMar>
              <w:left w:w="28" w:type="dxa"/>
              <w:right w:w="28" w:type="dxa"/>
            </w:tcMar>
            <w:vAlign w:val="center"/>
          </w:tcPr>
          <w:p>
            <w:pPr>
              <w:pStyle w:val="43"/>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w:t>
            </w:r>
          </w:p>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559" w:type="dxa"/>
            <w:noWrap w:val="0"/>
            <w:tcMar>
              <w:left w:w="28" w:type="dxa"/>
              <w:right w:w="28" w:type="dxa"/>
            </w:tcMar>
            <w:vAlign w:val="center"/>
          </w:tcPr>
          <w:p>
            <w:pPr>
              <w:pStyle w:val="43"/>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w:t>
            </w:r>
          </w:p>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529" w:type="dxa"/>
            <w:noWrap w:val="0"/>
            <w:tcMar>
              <w:left w:w="28" w:type="dxa"/>
              <w:right w:w="28" w:type="dxa"/>
            </w:tcMar>
            <w:vAlign w:val="center"/>
          </w:tcPr>
          <w:p>
            <w:pPr>
              <w:pStyle w:val="43"/>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pPr>
              <w:pStyle w:val="43"/>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1774" w:type="dxa"/>
            <w:noWrap w:val="0"/>
            <w:tcMar>
              <w:left w:w="28" w:type="dxa"/>
              <w:right w:w="28" w:type="dxa"/>
            </w:tcMar>
            <w:vAlign w:val="center"/>
          </w:tcPr>
          <w:p>
            <w:pPr>
              <w:pStyle w:val="43"/>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pPr>
              <w:pStyle w:val="43"/>
              <w:spacing w:beforeLines="0" w:afterLines="0" w:line="240" w:lineRule="auto"/>
              <w:rPr>
                <w:rFonts w:ascii="黑体" w:hAnsi="黑体" w:eastAsia="黑体"/>
                <w:snapToGrid w:val="0"/>
                <w:color w:val="000000"/>
                <w:spacing w:val="-16"/>
                <w:kern w:val="21"/>
                <w:szCs w:val="21"/>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1243" w:type="dxa"/>
            <w:noWrap w:val="0"/>
            <w:tcMar>
              <w:left w:w="28" w:type="dxa"/>
              <w:right w:w="28" w:type="dxa"/>
            </w:tcMar>
            <w:vAlign w:val="center"/>
          </w:tcPr>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pPr>
              <w:pStyle w:val="43"/>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废气</w:t>
            </w:r>
          </w:p>
        </w:tc>
        <w:tc>
          <w:tcPr>
            <w:tcW w:w="1417" w:type="dxa"/>
            <w:noWrap w:val="0"/>
            <w:vAlign w:val="center"/>
          </w:tcPr>
          <w:p>
            <w:pPr>
              <w:pStyle w:val="43"/>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非甲烷总烃</w:t>
            </w:r>
          </w:p>
        </w:tc>
        <w:tc>
          <w:tcPr>
            <w:tcW w:w="1701"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ascii="Times New Roman" w:hAnsi="Times New Roman" w:eastAsia="宋体" w:cs="Times New Roman"/>
                <w:sz w:val="21"/>
                <w:szCs w:val="21"/>
                <w:vertAlign w:val="baseline"/>
                <w:lang w:val="en-US" w:eastAsia="zh-CN"/>
              </w:rPr>
              <w:t>0.2</w:t>
            </w:r>
            <w:r>
              <w:rPr>
                <w:rFonts w:hint="eastAsia" w:cs="Times New Roman"/>
                <w:sz w:val="21"/>
                <w:szCs w:val="21"/>
                <w:vertAlign w:val="baseline"/>
                <w:lang w:val="en-US" w:eastAsia="zh-CN"/>
              </w:rPr>
              <w:t>233</w:t>
            </w:r>
          </w:p>
        </w:tc>
        <w:tc>
          <w:tcPr>
            <w:tcW w:w="1276"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0.2570</w:t>
            </w:r>
          </w:p>
        </w:tc>
        <w:tc>
          <w:tcPr>
            <w:tcW w:w="1701"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0.0512</w:t>
            </w:r>
          </w:p>
        </w:tc>
        <w:tc>
          <w:tcPr>
            <w:tcW w:w="152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0.0515</w:t>
            </w:r>
          </w:p>
        </w:tc>
        <w:tc>
          <w:tcPr>
            <w:tcW w:w="1774"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sz w:val="21"/>
                <w:szCs w:val="21"/>
                <w:vertAlign w:val="baseline"/>
                <w:lang w:val="en-US" w:eastAsia="zh-CN"/>
              </w:rPr>
              <w:t>0.2</w:t>
            </w:r>
            <w:r>
              <w:rPr>
                <w:rFonts w:hint="eastAsia" w:cs="Times New Roman"/>
                <w:sz w:val="21"/>
                <w:szCs w:val="21"/>
                <w:vertAlign w:val="baseline"/>
                <w:lang w:val="en-US" w:eastAsia="zh-CN"/>
              </w:rPr>
              <w:t>230</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1417" w:type="dxa"/>
            <w:noWrap w:val="0"/>
            <w:vAlign w:val="center"/>
          </w:tcPr>
          <w:p>
            <w:pPr>
              <w:pStyle w:val="43"/>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颗粒物</w:t>
            </w:r>
          </w:p>
        </w:tc>
        <w:tc>
          <w:tcPr>
            <w:tcW w:w="1701" w:type="dxa"/>
            <w:noWrap w:val="0"/>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lang w:val="en-US" w:eastAsia="zh-CN"/>
              </w:rPr>
              <w:t>0.03</w:t>
            </w:r>
            <w:r>
              <w:rPr>
                <w:rFonts w:hint="eastAsia" w:ascii="Times New Roman" w:hAnsi="Times New Roman" w:eastAsia="宋体" w:cs="Times New Roman"/>
                <w:sz w:val="21"/>
                <w:szCs w:val="21"/>
                <w:lang w:val="en-US" w:eastAsia="zh-CN"/>
              </w:rPr>
              <w:t>78</w:t>
            </w:r>
          </w:p>
        </w:tc>
        <w:tc>
          <w:tcPr>
            <w:tcW w:w="1276"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0.0390</w:t>
            </w:r>
          </w:p>
        </w:tc>
        <w:tc>
          <w:tcPr>
            <w:tcW w:w="1701"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0.0031</w:t>
            </w:r>
          </w:p>
        </w:tc>
        <w:tc>
          <w:tcPr>
            <w:tcW w:w="152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0.0045</w:t>
            </w:r>
          </w:p>
        </w:tc>
        <w:tc>
          <w:tcPr>
            <w:tcW w:w="1774"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lang w:val="en-US" w:eastAsia="zh-CN"/>
              </w:rPr>
              <w:t>0.03</w:t>
            </w:r>
            <w:r>
              <w:rPr>
                <w:rFonts w:hint="eastAsia" w:cs="Times New Roman"/>
                <w:sz w:val="21"/>
                <w:szCs w:val="21"/>
                <w:lang w:val="en-US" w:eastAsia="zh-CN"/>
              </w:rPr>
              <w:t>6</w:t>
            </w:r>
            <w:r>
              <w:rPr>
                <w:rFonts w:hint="eastAsia" w:ascii="Times New Roman" w:hAnsi="Times New Roman" w:eastAsia="宋体" w:cs="Times New Roman"/>
                <w:sz w:val="21"/>
                <w:szCs w:val="21"/>
                <w:lang w:val="en-US" w:eastAsia="zh-CN"/>
              </w:rPr>
              <w:t>4</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3"/>
              <w:spacing w:beforeLines="0" w:afterLines="0" w:line="240" w:lineRule="auto"/>
              <w:rPr>
                <w:rFonts w:hint="eastAsia" w:ascii="Times New Roman" w:hAnsi="Times New Roman" w:eastAsia="宋体" w:cs="Times New Roman"/>
                <w:snapToGrid w:val="0"/>
                <w:color w:val="000000"/>
                <w:kern w:val="21"/>
                <w:sz w:val="21"/>
                <w:szCs w:val="21"/>
                <w:lang w:val="en-US" w:eastAsia="zh-CN"/>
              </w:rPr>
            </w:pPr>
            <w:r>
              <w:rPr>
                <w:rFonts w:hint="eastAsia" w:ascii="Times New Roman" w:cs="Times New Roman"/>
                <w:snapToGrid w:val="0"/>
                <w:color w:val="000000"/>
                <w:kern w:val="21"/>
                <w:sz w:val="21"/>
                <w:szCs w:val="21"/>
                <w:lang w:val="en-US" w:eastAsia="zh-CN"/>
              </w:rPr>
              <w:t>废水</w:t>
            </w:r>
          </w:p>
        </w:tc>
        <w:tc>
          <w:tcPr>
            <w:tcW w:w="1417" w:type="dxa"/>
            <w:noWrap w:val="0"/>
            <w:vAlign w:val="center"/>
          </w:tcPr>
          <w:p>
            <w:pPr>
              <w:pStyle w:val="59"/>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sz w:val="21"/>
                <w:szCs w:val="21"/>
                <w:highlight w:val="none"/>
              </w:rPr>
              <w:t>COD</w:t>
            </w:r>
          </w:p>
        </w:tc>
        <w:tc>
          <w:tcPr>
            <w:tcW w:w="1701" w:type="dxa"/>
            <w:noWrap w:val="0"/>
            <w:vAlign w:val="center"/>
          </w:tcPr>
          <w:p>
            <w:pPr>
              <w:pStyle w:val="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 w:val="21"/>
                <w:szCs w:val="21"/>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74"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243"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1417" w:type="dxa"/>
            <w:noWrap w:val="0"/>
            <w:vAlign w:val="center"/>
          </w:tcPr>
          <w:p>
            <w:pPr>
              <w:pStyle w:val="59"/>
              <w:keepNext w:val="0"/>
              <w:keepLines w:val="0"/>
              <w:pageBreakBefore w:val="0"/>
              <w:widowControl w:val="0"/>
              <w:kinsoku/>
              <w:wordWrap/>
              <w:overflowPunct/>
              <w:topLinePunct w:val="0"/>
              <w:autoSpaceDE/>
              <w:autoSpaceDN/>
              <w:bidi w:val="0"/>
              <w:snapToGrid w:val="0"/>
              <w:spacing w:line="240" w:lineRule="auto"/>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sz w:val="21"/>
                <w:szCs w:val="21"/>
                <w:highlight w:val="none"/>
              </w:rPr>
              <w:t>氨氮</w:t>
            </w:r>
          </w:p>
        </w:tc>
        <w:tc>
          <w:tcPr>
            <w:tcW w:w="1701" w:type="dxa"/>
            <w:noWrap w:val="0"/>
            <w:vAlign w:val="center"/>
          </w:tcPr>
          <w:p>
            <w:pPr>
              <w:pStyle w:val="43"/>
              <w:keepNext w:val="0"/>
              <w:keepLines w:val="0"/>
              <w:pageBreakBefore w:val="0"/>
              <w:widowControl w:val="0"/>
              <w:kinsoku/>
              <w:wordWrap/>
              <w:overflowPunct/>
              <w:topLinePunct w:val="0"/>
              <w:autoSpaceDE/>
              <w:autoSpaceDN/>
              <w:bidi w:val="0"/>
              <w:snapToGrid w:val="0"/>
              <w:spacing w:beforeLines="0" w:afterLines="0"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napToGrid w:val="0"/>
                <w:color w:val="000000"/>
                <w:kern w:val="21"/>
                <w:sz w:val="21"/>
                <w:szCs w:val="21"/>
                <w:lang w:val="en-US" w:eastAsia="zh-CN" w:bidi="ar-SA"/>
              </w:rPr>
              <w:t>/</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74"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243"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一般工业</w:t>
            </w:r>
          </w:p>
          <w:p>
            <w:pPr>
              <w:pStyle w:val="43"/>
              <w:spacing w:beforeLines="0" w:afterLines="0" w:line="240" w:lineRule="auto"/>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固体废物</w:t>
            </w:r>
          </w:p>
        </w:tc>
        <w:tc>
          <w:tcPr>
            <w:tcW w:w="1417" w:type="dxa"/>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sz w:val="21"/>
                <w:szCs w:val="21"/>
                <w:lang w:val="en-US" w:eastAsia="zh-CN"/>
              </w:rPr>
              <w:t>废边角料、</w:t>
            </w:r>
            <w:r>
              <w:rPr>
                <w:rFonts w:hint="default" w:ascii="Times New Roman" w:hAnsi="Times New Roman" w:eastAsia="宋体" w:cs="Times New Roman"/>
                <w:bCs/>
                <w:color w:val="000000"/>
                <w:sz w:val="21"/>
                <w:szCs w:val="21"/>
                <w:highlight w:val="none"/>
                <w:lang w:val="en-US" w:eastAsia="zh-CN"/>
              </w:rPr>
              <w:t>不合格产品</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44</w:t>
            </w:r>
            <w:r>
              <w:rPr>
                <w:rFonts w:hint="default" w:ascii="Times New Roman" w:hAnsi="Times New Roman" w:eastAsia="宋体" w:cs="Times New Roman"/>
                <w:kern w:val="2"/>
                <w:sz w:val="21"/>
                <w:szCs w:val="21"/>
                <w:highlight w:val="none"/>
                <w:lang w:val="en-US" w:eastAsia="zh-CN" w:bidi="ar-SA"/>
              </w:rPr>
              <w:t>t/a</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color w:val="auto"/>
                <w:sz w:val="21"/>
                <w:szCs w:val="21"/>
                <w:highlight w:val="none"/>
                <w:lang w:val="en-US" w:eastAsia="zh-CN"/>
              </w:rPr>
              <w:t>75</w:t>
            </w:r>
            <w:r>
              <w:rPr>
                <w:rFonts w:hint="default" w:ascii="Times New Roman" w:hAnsi="Times New Roman" w:eastAsia="宋体" w:cs="Times New Roman"/>
                <w:color w:val="auto"/>
                <w:sz w:val="21"/>
                <w:szCs w:val="21"/>
                <w:highlight w:val="none"/>
                <w:lang w:val="en-US" w:eastAsia="zh-CN"/>
              </w:rPr>
              <w:t>t/a</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7.9</w:t>
            </w:r>
            <w:r>
              <w:rPr>
                <w:rFonts w:hint="eastAsia" w:cs="Times New Roman"/>
                <w:sz w:val="21"/>
                <w:szCs w:val="21"/>
                <w:highlight w:val="none"/>
                <w:lang w:val="en-US" w:eastAsia="zh-CN"/>
              </w:rPr>
              <w:t>t/a</w:t>
            </w:r>
          </w:p>
        </w:tc>
        <w:tc>
          <w:tcPr>
            <w:tcW w:w="1774"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111.1</w:t>
            </w:r>
            <w:r>
              <w:rPr>
                <w:rFonts w:hint="default" w:ascii="Times New Roman" w:hAnsi="Times New Roman" w:eastAsia="宋体" w:cs="Times New Roman"/>
                <w:kern w:val="2"/>
                <w:sz w:val="21"/>
                <w:szCs w:val="21"/>
                <w:highlight w:val="none"/>
                <w:lang w:val="en-US" w:eastAsia="zh-CN" w:bidi="ar-SA"/>
              </w:rPr>
              <w:t>t/a</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r>
              <w:rPr>
                <w:rFonts w:hint="eastAsia" w:ascii="Times New Roman" w:cs="Times New Roman"/>
                <w:kern w:val="0"/>
                <w:sz w:val="21"/>
                <w:szCs w:val="21"/>
                <w:highlight w:val="none"/>
                <w:lang w:val="en-US" w:eastAsia="zh-CN" w:bidi="ar-SA"/>
              </w:rPr>
              <w:t>67.1</w:t>
            </w:r>
            <w:r>
              <w:rPr>
                <w:rFonts w:hint="default" w:ascii="Times New Roman" w:hAnsi="Times New Roman" w:eastAsia="宋体" w:cs="Times New Roman"/>
                <w:kern w:val="0"/>
                <w:sz w:val="21"/>
                <w:szCs w:val="21"/>
                <w:highlight w:val="none"/>
                <w:lang w:val="en-US" w:eastAsia="zh-CN" w:bidi="ar-S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1417" w:type="dxa"/>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eastAsia="zh-CN"/>
              </w:rPr>
              <w:t>废包装</w:t>
            </w:r>
            <w:r>
              <w:rPr>
                <w:rFonts w:hint="eastAsia" w:cs="Times New Roman"/>
                <w:bCs/>
                <w:color w:val="000000"/>
                <w:sz w:val="21"/>
                <w:szCs w:val="21"/>
                <w:highlight w:val="none"/>
                <w:lang w:val="en-US" w:eastAsia="zh-CN"/>
              </w:rPr>
              <w:t>袋</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1.16</w:t>
            </w:r>
            <w:r>
              <w:rPr>
                <w:rFonts w:hint="default" w:ascii="Times New Roman" w:hAnsi="Times New Roman" w:eastAsia="宋体" w:cs="Times New Roman"/>
                <w:kern w:val="2"/>
                <w:sz w:val="21"/>
                <w:szCs w:val="21"/>
                <w:highlight w:val="none"/>
                <w:lang w:val="en-US" w:eastAsia="zh-CN" w:bidi="ar-SA"/>
              </w:rPr>
              <w:t>t/a</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t/a</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0.08</w:t>
            </w:r>
            <w:r>
              <w:rPr>
                <w:rFonts w:hint="eastAsia" w:cs="Times New Roman"/>
                <w:sz w:val="21"/>
                <w:szCs w:val="21"/>
                <w:highlight w:val="none"/>
                <w:lang w:val="en-US" w:eastAsia="zh-CN"/>
              </w:rPr>
              <w:t>t/a</w:t>
            </w:r>
          </w:p>
        </w:tc>
        <w:tc>
          <w:tcPr>
            <w:tcW w:w="1774"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2"/>
                <w:sz w:val="21"/>
                <w:szCs w:val="21"/>
                <w:highlight w:val="none"/>
                <w:lang w:val="en-US" w:eastAsia="zh-CN" w:bidi="ar-SA"/>
              </w:rPr>
              <w:t>4.08</w:t>
            </w:r>
            <w:r>
              <w:rPr>
                <w:rFonts w:hint="default" w:ascii="Times New Roman" w:hAnsi="Times New Roman" w:eastAsia="宋体" w:cs="Times New Roman"/>
                <w:kern w:val="2"/>
                <w:sz w:val="21"/>
                <w:szCs w:val="21"/>
                <w:highlight w:val="none"/>
                <w:lang w:val="en-US" w:eastAsia="zh-CN" w:bidi="ar-SA"/>
              </w:rPr>
              <w:t>t/a</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r>
              <w:rPr>
                <w:rFonts w:hint="eastAsia" w:ascii="Times New Roman" w:cs="Times New Roman"/>
                <w:kern w:val="0"/>
                <w:sz w:val="21"/>
                <w:szCs w:val="21"/>
                <w:highlight w:val="none"/>
                <w:lang w:val="en-US" w:eastAsia="zh-CN" w:bidi="ar-SA"/>
              </w:rPr>
              <w:t>2.92</w:t>
            </w:r>
            <w:r>
              <w:rPr>
                <w:rFonts w:hint="default" w:ascii="Times New Roman" w:hAnsi="Times New Roman" w:eastAsia="宋体" w:cs="Times New Roman"/>
                <w:kern w:val="0"/>
                <w:sz w:val="21"/>
                <w:szCs w:val="21"/>
                <w:highlight w:val="none"/>
                <w:lang w:val="en-US" w:eastAsia="zh-CN" w:bidi="ar-S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1417" w:type="dxa"/>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kern w:val="2"/>
                <w:sz w:val="21"/>
                <w:szCs w:val="21"/>
                <w:highlight w:val="none"/>
                <w:lang w:val="en-US" w:eastAsia="zh-CN" w:bidi="ar-SA"/>
              </w:rPr>
            </w:pPr>
            <w:r>
              <w:rPr>
                <w:rFonts w:hint="eastAsia" w:cs="Times New Roman"/>
                <w:bCs/>
                <w:color w:val="000000"/>
                <w:sz w:val="21"/>
                <w:szCs w:val="21"/>
                <w:highlight w:val="none"/>
                <w:lang w:val="en-US" w:eastAsia="zh-CN"/>
              </w:rPr>
              <w:t>袋式除尘器</w:t>
            </w:r>
            <w:r>
              <w:rPr>
                <w:rFonts w:hint="default" w:ascii="Times New Roman" w:hAnsi="Times New Roman" w:eastAsia="宋体" w:cs="Times New Roman"/>
                <w:bCs/>
                <w:color w:val="000000"/>
                <w:sz w:val="21"/>
                <w:szCs w:val="21"/>
                <w:highlight w:val="none"/>
                <w:lang w:eastAsia="zh-CN"/>
              </w:rPr>
              <w:t>收集粉尘</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w:t>
            </w:r>
            <w:r>
              <w:rPr>
                <w:rFonts w:hint="default" w:ascii="Times New Roman" w:hAnsi="Times New Roman" w:eastAsia="宋体" w:cs="Times New Roman"/>
                <w:color w:val="auto"/>
                <w:kern w:val="2"/>
                <w:sz w:val="21"/>
                <w:szCs w:val="21"/>
                <w:highlight w:val="none"/>
                <w:lang w:val="en-US" w:eastAsia="zh-CN" w:bidi="ar-SA"/>
              </w:rPr>
              <w:t>t/a</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val="en-US" w:eastAsia="zh-CN"/>
              </w:rPr>
              <w:t>281</w:t>
            </w:r>
            <w:r>
              <w:rPr>
                <w:rFonts w:hint="default" w:ascii="Times New Roman" w:hAnsi="Times New Roman" w:eastAsia="宋体" w:cs="Times New Roman"/>
                <w:color w:val="auto"/>
                <w:sz w:val="21"/>
                <w:szCs w:val="21"/>
                <w:highlight w:val="none"/>
                <w:lang w:val="en-US" w:eastAsia="zh-CN"/>
              </w:rPr>
              <w:t>t/a</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0.078</w:t>
            </w:r>
            <w:r>
              <w:rPr>
                <w:rFonts w:hint="eastAsia" w:cs="Times New Roman"/>
                <w:sz w:val="21"/>
                <w:szCs w:val="21"/>
                <w:highlight w:val="none"/>
                <w:lang w:val="en-US" w:eastAsia="zh-CN"/>
              </w:rPr>
              <w:t>t/a</w:t>
            </w:r>
          </w:p>
        </w:tc>
        <w:tc>
          <w:tcPr>
            <w:tcW w:w="1774"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0.3501</w:t>
            </w:r>
            <w:r>
              <w:rPr>
                <w:rFonts w:hint="default" w:ascii="Times New Roman" w:hAnsi="Times New Roman" w:eastAsia="宋体" w:cs="Times New Roman"/>
                <w:kern w:val="2"/>
                <w:sz w:val="21"/>
                <w:szCs w:val="21"/>
                <w:highlight w:val="none"/>
                <w:lang w:val="en-US" w:eastAsia="zh-CN" w:bidi="ar-SA"/>
              </w:rPr>
              <w:t>t/a</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cs="Times New Roman"/>
                <w:kern w:val="0"/>
                <w:sz w:val="21"/>
                <w:szCs w:val="21"/>
                <w:highlight w:val="none"/>
                <w:lang w:val="en-US" w:eastAsia="zh-CN" w:bidi="ar-SA"/>
              </w:rPr>
              <w:t>-0.0499</w:t>
            </w:r>
            <w:r>
              <w:rPr>
                <w:rFonts w:hint="default" w:ascii="Times New Roman" w:hAnsi="Times New Roman" w:eastAsia="宋体" w:cs="Times New Roman"/>
                <w:kern w:val="0"/>
                <w:sz w:val="21"/>
                <w:szCs w:val="21"/>
                <w:highlight w:val="none"/>
                <w:lang w:val="en-US" w:eastAsia="zh-CN" w:bidi="ar-S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1417" w:type="dxa"/>
            <w:noWrap w:val="0"/>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val="en-US" w:eastAsia="zh-CN"/>
              </w:rPr>
              <w:t>废催化剂</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276"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noWrap w:val="0"/>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559" w:type="dxa"/>
            <w:noWrap w:val="0"/>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0.5t/5a</w:t>
            </w:r>
          </w:p>
        </w:tc>
        <w:tc>
          <w:tcPr>
            <w:tcW w:w="1529"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w:t>
            </w:r>
          </w:p>
        </w:tc>
        <w:tc>
          <w:tcPr>
            <w:tcW w:w="1774" w:type="dxa"/>
            <w:noWrap w:val="0"/>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0.5t/5a</w:t>
            </w:r>
          </w:p>
        </w:tc>
        <w:tc>
          <w:tcPr>
            <w:tcW w:w="1243" w:type="dxa"/>
            <w:noWrap w:val="0"/>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p>
            <w:pPr>
              <w:pStyle w:val="43"/>
              <w:spacing w:beforeLines="0" w:afterLines="0" w:line="240" w:lineRule="auto"/>
              <w:rPr>
                <w:rFonts w:hint="default" w:ascii="Times New Roman" w:hAnsi="Times New Roman" w:eastAsia="宋体" w:cs="Times New Roman"/>
                <w:snapToGrid w:val="0"/>
                <w:color w:val="000000"/>
                <w:kern w:val="21"/>
                <w:sz w:val="21"/>
                <w:szCs w:val="21"/>
              </w:rPr>
            </w:pPr>
          </w:p>
          <w:p>
            <w:pPr>
              <w:pStyle w:val="43"/>
              <w:spacing w:beforeLines="0" w:afterLines="0" w:line="240" w:lineRule="auto"/>
              <w:rPr>
                <w:rFonts w:hint="default" w:ascii="Times New Roman" w:hAnsi="Times New Roman" w:eastAsia="宋体" w:cs="Times New Roman"/>
                <w:snapToGrid w:val="0"/>
                <w:color w:val="000000"/>
                <w:kern w:val="21"/>
                <w:sz w:val="21"/>
                <w:szCs w:val="21"/>
              </w:rPr>
            </w:pPr>
          </w:p>
          <w:p>
            <w:pPr>
              <w:pStyle w:val="43"/>
              <w:spacing w:beforeLines="0" w:afterLines="0" w:line="240" w:lineRule="auto"/>
              <w:rPr>
                <w:rFonts w:hint="default" w:ascii="Times New Roman" w:hAnsi="Times New Roman" w:eastAsia="宋体" w:cs="Times New Roman"/>
                <w:snapToGrid w:val="0"/>
                <w:color w:val="000000"/>
                <w:kern w:val="21"/>
                <w:sz w:val="21"/>
                <w:szCs w:val="21"/>
              </w:rPr>
            </w:pPr>
          </w:p>
          <w:p>
            <w:pPr>
              <w:pStyle w:val="43"/>
              <w:spacing w:beforeLines="0" w:afterLines="0" w:line="240" w:lineRule="auto"/>
              <w:rPr>
                <w:rFonts w:hint="default" w:ascii="Times New Roman" w:hAnsi="Times New Roman" w:eastAsia="宋体" w:cs="Times New Roman"/>
                <w:snapToGrid w:val="0"/>
                <w:color w:val="000000"/>
                <w:kern w:val="21"/>
                <w:sz w:val="21"/>
                <w:szCs w:val="21"/>
              </w:rPr>
            </w:pPr>
            <w:r>
              <w:rPr>
                <w:rFonts w:hint="default" w:ascii="Times New Roman" w:hAnsi="Times New Roman" w:eastAsia="宋体" w:cs="Times New Roman"/>
                <w:snapToGrid w:val="0"/>
                <w:color w:val="000000"/>
                <w:kern w:val="21"/>
                <w:sz w:val="21"/>
                <w:szCs w:val="21"/>
              </w:rPr>
              <w:t>危险废物</w:t>
            </w:r>
          </w:p>
        </w:tc>
        <w:tc>
          <w:tcPr>
            <w:tcW w:w="0" w:type="auto"/>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color w:val="000000"/>
                <w:sz w:val="21"/>
                <w:szCs w:val="21"/>
                <w:highlight w:val="none"/>
                <w:lang w:eastAsia="zh-CN"/>
              </w:rPr>
              <w:t>废活性炭</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3.6</w:t>
            </w:r>
            <w:r>
              <w:rPr>
                <w:rFonts w:hint="default" w:ascii="Times New Roman" w:hAnsi="Times New Roman" w:eastAsia="宋体" w:cs="Times New Roman"/>
                <w:kern w:val="2"/>
                <w:sz w:val="21"/>
                <w:szCs w:val="21"/>
                <w:highlight w:val="none"/>
                <w:lang w:val="en-US" w:eastAsia="zh-CN" w:bidi="ar-SA"/>
              </w:rPr>
              <w:t>t/a</w:t>
            </w:r>
          </w:p>
        </w:tc>
        <w:tc>
          <w:tcPr>
            <w:tcW w:w="1276"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0" w:type="auto"/>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2.75t/2a</w:t>
            </w:r>
          </w:p>
        </w:tc>
        <w:tc>
          <w:tcPr>
            <w:tcW w:w="152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0.75</w:t>
            </w:r>
            <w:r>
              <w:rPr>
                <w:rFonts w:hint="eastAsia" w:cs="Times New Roman"/>
                <w:sz w:val="21"/>
                <w:szCs w:val="21"/>
                <w:highlight w:val="none"/>
                <w:lang w:val="en-US" w:eastAsia="zh-CN"/>
              </w:rPr>
              <w:t>t/a</w:t>
            </w:r>
          </w:p>
        </w:tc>
        <w:tc>
          <w:tcPr>
            <w:tcW w:w="177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cs="Times New Roman"/>
                <w:kern w:val="0"/>
                <w:sz w:val="21"/>
                <w:szCs w:val="21"/>
                <w:highlight w:val="none"/>
                <w:lang w:val="en-US" w:eastAsia="zh-CN" w:bidi="ar-SA"/>
              </w:rPr>
              <w:t>4.225</w:t>
            </w:r>
            <w:r>
              <w:rPr>
                <w:rFonts w:hint="default" w:ascii="Times New Roman" w:hAnsi="Times New Roman" w:eastAsia="宋体" w:cs="Times New Roman"/>
                <w:kern w:val="0"/>
                <w:sz w:val="21"/>
                <w:szCs w:val="21"/>
                <w:highlight w:val="none"/>
                <w:lang w:val="en-US" w:eastAsia="zh-CN" w:bidi="ar-SA"/>
              </w:rPr>
              <w:t>t/a</w:t>
            </w:r>
          </w:p>
        </w:tc>
        <w:tc>
          <w:tcPr>
            <w:tcW w:w="1243" w:type="dxa"/>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r>
              <w:rPr>
                <w:rFonts w:hint="eastAsia" w:ascii="Times New Roman" w:cs="Times New Roman"/>
                <w:kern w:val="0"/>
                <w:sz w:val="21"/>
                <w:szCs w:val="21"/>
                <w:highlight w:val="none"/>
                <w:lang w:val="en-US" w:eastAsia="zh-CN" w:bidi="ar-SA"/>
              </w:rPr>
              <w:t>0.625</w:t>
            </w:r>
            <w:r>
              <w:rPr>
                <w:rFonts w:hint="default" w:ascii="Times New Roman" w:hAnsi="Times New Roman" w:eastAsia="宋体" w:cs="Times New Roman"/>
                <w:kern w:val="0"/>
                <w:sz w:val="21"/>
                <w:szCs w:val="21"/>
                <w:highlight w:val="none"/>
                <w:lang w:val="en-US" w:eastAsia="zh-CN" w:bidi="ar-SA"/>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88" w:type="dxa"/>
            <w:vMerge w:val="continue"/>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0" w:type="auto"/>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废导热油</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7.5</w:t>
            </w:r>
            <w:r>
              <w:rPr>
                <w:rFonts w:hint="default" w:ascii="Times New Roman" w:hAnsi="Times New Roman" w:eastAsia="宋体" w:cs="Times New Roman"/>
                <w:color w:val="auto"/>
                <w:kern w:val="2"/>
                <w:sz w:val="21"/>
                <w:szCs w:val="21"/>
                <w:highlight w:val="none"/>
                <w:lang w:val="en-US" w:eastAsia="zh-CN" w:bidi="ar-SA"/>
              </w:rPr>
              <w:t>t/6a</w:t>
            </w:r>
          </w:p>
        </w:tc>
        <w:tc>
          <w:tcPr>
            <w:tcW w:w="1276"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0" w:type="auto"/>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152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1.31t/6a</w:t>
            </w:r>
          </w:p>
        </w:tc>
        <w:tc>
          <w:tcPr>
            <w:tcW w:w="177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6.19</w:t>
            </w:r>
            <w:r>
              <w:rPr>
                <w:rFonts w:hint="default" w:ascii="Times New Roman" w:hAnsi="Times New Roman" w:eastAsia="宋体" w:cs="Times New Roman"/>
                <w:sz w:val="21"/>
                <w:szCs w:val="21"/>
                <w:highlight w:val="none"/>
                <w:lang w:val="en-US" w:eastAsia="zh-CN"/>
              </w:rPr>
              <w:t>t/6a</w:t>
            </w:r>
          </w:p>
        </w:tc>
        <w:tc>
          <w:tcPr>
            <w:tcW w:w="1243" w:type="dxa"/>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cs="Times New Roman"/>
                <w:sz w:val="21"/>
                <w:szCs w:val="21"/>
                <w:highlight w:val="none"/>
                <w:lang w:val="en-US" w:eastAsia="zh-CN"/>
              </w:rPr>
              <w:t>-1.31t/6a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588" w:type="dxa"/>
            <w:vMerge w:val="continue"/>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0" w:type="auto"/>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废UV灯管</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t/a</w:t>
            </w:r>
          </w:p>
        </w:tc>
        <w:tc>
          <w:tcPr>
            <w:tcW w:w="1276"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0" w:type="auto"/>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152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0.0019t/a</w:t>
            </w:r>
          </w:p>
        </w:tc>
        <w:tc>
          <w:tcPr>
            <w:tcW w:w="177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kern w:val="0"/>
                <w:sz w:val="21"/>
                <w:szCs w:val="21"/>
                <w:highlight w:val="none"/>
                <w:lang w:val="en-US" w:eastAsia="zh-CN" w:bidi="ar-SA"/>
              </w:rPr>
              <w:t>0.0081</w:t>
            </w:r>
            <w:r>
              <w:rPr>
                <w:rFonts w:hint="default" w:ascii="Times New Roman" w:hAnsi="Times New Roman" w:eastAsia="宋体" w:cs="Times New Roman"/>
                <w:kern w:val="0"/>
                <w:sz w:val="21"/>
                <w:szCs w:val="21"/>
                <w:highlight w:val="none"/>
                <w:lang w:val="en-US" w:eastAsia="zh-CN" w:bidi="ar-SA"/>
              </w:rPr>
              <w:t>t/a</w:t>
            </w:r>
          </w:p>
        </w:tc>
        <w:tc>
          <w:tcPr>
            <w:tcW w:w="1243" w:type="dxa"/>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cs="Times New Roman"/>
                <w:sz w:val="21"/>
                <w:szCs w:val="21"/>
                <w:highlight w:val="none"/>
                <w:lang w:val="en-US" w:eastAsia="zh-CN"/>
              </w:rPr>
              <w:t>-0.0019t/a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588" w:type="dxa"/>
            <w:vMerge w:val="continue"/>
          </w:tcPr>
          <w:p>
            <w:pPr>
              <w:pStyle w:val="43"/>
              <w:spacing w:beforeLines="0" w:afterLines="0" w:line="240" w:lineRule="auto"/>
              <w:rPr>
                <w:rFonts w:hint="default" w:ascii="Times New Roman" w:hAnsi="Times New Roman" w:eastAsia="宋体" w:cs="Times New Roman"/>
                <w:snapToGrid w:val="0"/>
                <w:color w:val="000000"/>
                <w:kern w:val="21"/>
                <w:sz w:val="21"/>
                <w:szCs w:val="21"/>
              </w:rPr>
            </w:pPr>
          </w:p>
        </w:tc>
        <w:tc>
          <w:tcPr>
            <w:tcW w:w="0" w:type="auto"/>
            <w:vAlign w:val="center"/>
          </w:tcPr>
          <w:p>
            <w:pPr>
              <w:pStyle w:val="49"/>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导热油空桶</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48</w:t>
            </w:r>
            <w:r>
              <w:rPr>
                <w:rFonts w:hint="default" w:ascii="Times New Roman" w:hAnsi="Times New Roman" w:eastAsia="宋体" w:cs="Times New Roman"/>
                <w:color w:val="auto"/>
                <w:kern w:val="2"/>
                <w:sz w:val="21"/>
                <w:szCs w:val="21"/>
                <w:highlight w:val="none"/>
                <w:lang w:val="en-US" w:eastAsia="zh-CN" w:bidi="ar-SA"/>
              </w:rPr>
              <w:t>个/6a</w:t>
            </w:r>
          </w:p>
        </w:tc>
        <w:tc>
          <w:tcPr>
            <w:tcW w:w="1276"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w:t>
            </w:r>
          </w:p>
        </w:tc>
        <w:tc>
          <w:tcPr>
            <w:tcW w:w="1701" w:type="dxa"/>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0" w:type="auto"/>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0"/>
                <w:sz w:val="21"/>
                <w:szCs w:val="21"/>
                <w:highlight w:val="none"/>
                <w:lang w:val="en-US" w:eastAsia="zh-CN" w:bidi="ar-SA"/>
              </w:rPr>
              <w:t>/</w:t>
            </w:r>
          </w:p>
        </w:tc>
        <w:tc>
          <w:tcPr>
            <w:tcW w:w="1529"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9</w:t>
            </w:r>
            <w:r>
              <w:rPr>
                <w:rFonts w:hint="default" w:ascii="Times New Roman" w:hAnsi="Times New Roman" w:eastAsia="宋体" w:cs="Times New Roman"/>
                <w:color w:val="auto"/>
                <w:kern w:val="2"/>
                <w:sz w:val="21"/>
                <w:szCs w:val="21"/>
                <w:highlight w:val="none"/>
                <w:lang w:val="en-US" w:eastAsia="zh-CN" w:bidi="ar-SA"/>
              </w:rPr>
              <w:t>个/6a</w:t>
            </w:r>
          </w:p>
        </w:tc>
        <w:tc>
          <w:tcPr>
            <w:tcW w:w="1774" w:type="dxa"/>
            <w:vAlign w:val="center"/>
          </w:tcPr>
          <w:p>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39</w:t>
            </w:r>
            <w:r>
              <w:rPr>
                <w:rFonts w:hint="default" w:ascii="Times New Roman" w:hAnsi="Times New Roman" w:eastAsia="宋体" w:cs="Times New Roman"/>
                <w:sz w:val="21"/>
                <w:szCs w:val="21"/>
                <w:highlight w:val="none"/>
                <w:lang w:val="en-US" w:eastAsia="zh-CN"/>
              </w:rPr>
              <w:t>个/6a</w:t>
            </w:r>
          </w:p>
        </w:tc>
        <w:tc>
          <w:tcPr>
            <w:tcW w:w="1243" w:type="dxa"/>
            <w:vAlign w:val="center"/>
          </w:tcPr>
          <w:p>
            <w:pPr>
              <w:pStyle w:val="43"/>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cs="Times New Roman"/>
                <w:sz w:val="21"/>
                <w:szCs w:val="21"/>
                <w:highlight w:val="none"/>
                <w:lang w:val="en-US" w:eastAsia="zh-CN"/>
              </w:rPr>
              <w:t>-9</w:t>
            </w:r>
            <w:r>
              <w:rPr>
                <w:rFonts w:hint="default" w:ascii="Times New Roman" w:hAnsi="Times New Roman" w:eastAsia="宋体" w:cs="Times New Roman"/>
                <w:color w:val="auto"/>
                <w:kern w:val="2"/>
                <w:sz w:val="21"/>
                <w:szCs w:val="21"/>
                <w:highlight w:val="none"/>
                <w:lang w:val="en-US" w:eastAsia="zh-CN" w:bidi="ar-SA"/>
              </w:rPr>
              <w:t>个/6a</w:t>
            </w:r>
          </w:p>
        </w:tc>
      </w:tr>
    </w:tbl>
    <w:p>
      <w:pPr>
        <w:pStyle w:val="43"/>
        <w:spacing w:before="192" w:beforeLines="80" w:after="24"/>
        <w:jc w:val="left"/>
        <w:rPr>
          <w:rFonts w:hint="eastAsia"/>
        </w:rPr>
        <w:sectPr>
          <w:footerReference r:id="rId8" w:type="default"/>
          <w:pgSz w:w="16838" w:h="11906" w:orient="landscape"/>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jc w:val="center"/>
        <w:rPr>
          <w:rFonts w:hint="eastAsia" w:eastAsia="宋体"/>
          <w:lang w:eastAsia="zh-CN"/>
        </w:rPr>
      </w:pPr>
      <w:r>
        <w:rPr>
          <w:sz w:val="28"/>
        </w:rPr>
        <mc:AlternateContent>
          <mc:Choice Requires="wps">
            <w:drawing>
              <wp:anchor distT="0" distB="0" distL="114300" distR="114300" simplePos="0" relativeHeight="251667456" behindDoc="0" locked="0" layoutInCell="1" allowOverlap="1">
                <wp:simplePos x="0" y="0"/>
                <wp:positionH relativeFrom="column">
                  <wp:posOffset>4434205</wp:posOffset>
                </wp:positionH>
                <wp:positionV relativeFrom="paragraph">
                  <wp:posOffset>386715</wp:posOffset>
                </wp:positionV>
                <wp:extent cx="1125220" cy="1679575"/>
                <wp:effectExtent l="0" t="0" r="0" b="0"/>
                <wp:wrapNone/>
                <wp:docPr id="25" name="文本框 25"/>
                <wp:cNvGraphicFramePr/>
                <a:graphic xmlns:a="http://schemas.openxmlformats.org/drawingml/2006/main">
                  <a:graphicData uri="http://schemas.microsoft.com/office/word/2010/wordprocessingShape">
                    <wps:wsp>
                      <wps:cNvSpPr txBox="1"/>
                      <wps:spPr>
                        <a:xfrm>
                          <a:off x="5527675" y="1388110"/>
                          <a:ext cx="1125220" cy="167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default" w:eastAsia="宋体"/>
                                <w:b/>
                                <w:bCs/>
                                <w:color w:val="C00000"/>
                                <w:sz w:val="28"/>
                                <w:szCs w:val="28"/>
                                <w:lang w:val="en-US" w:eastAsia="zh-CN"/>
                              </w:rPr>
                            </w:pPr>
                            <w:r>
                              <w:rPr>
                                <w:rFonts w:hint="eastAsia"/>
                                <w:b/>
                                <w:bCs/>
                                <w:color w:val="C00000"/>
                                <w:sz w:val="28"/>
                                <w:szCs w:val="28"/>
                                <w:lang w:val="en-US" w:eastAsia="zh-CN"/>
                              </w:rPr>
                              <w:t xml:space="preserve">        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9.15pt;margin-top:30.45pt;height:132.25pt;width:88.6pt;z-index:251667456;mso-width-relative:page;mso-height-relative:page;" filled="f" stroked="f" coordsize="21600,21600" o:gfxdata="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kZNdj3AAAAAoBAAAPAAAAAAAA&#10;AAEAIAAAACIAAABkcnMvZG93bnJldi54bWxQSwECFAAUAAAACACHTuJAftj3jUcCAAB1BAAADgAA&#10;AAAAAAABACAAAAArAQAAZHJzL2Uyb0RvYy54bWxQSwUGAAAAAAYABgBZAQAA5AUAAAAA&#10;">
                <v:fill on="f" focussize="0,0"/>
                <v:stroke on="f" weight="0.5pt"/>
                <v:imagedata o:title=""/>
                <o:lock v:ext="edit" aspectratio="f"/>
                <v:textbox>
                  <w:txbxContent>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eastAsia"/>
                          <w:b/>
                          <w:bCs/>
                          <w:color w:val="4F81BD" w:themeColor="accent1"/>
                          <w:sz w:val="28"/>
                          <w:szCs w:val="28"/>
                          <w:lang w:val="en-US" w:eastAsia="zh-CN"/>
                          <w14:textFill>
                            <w14:solidFill>
                              <w14:schemeClr w14:val="accent1"/>
                            </w14:solidFill>
                          </w14:textFill>
                        </w:rPr>
                      </w:pPr>
                    </w:p>
                    <w:p>
                      <w:pPr>
                        <w:jc w:val="center"/>
                        <w:rPr>
                          <w:rFonts w:hint="default" w:eastAsia="宋体"/>
                          <w:b/>
                          <w:bCs/>
                          <w:color w:val="C00000"/>
                          <w:sz w:val="28"/>
                          <w:szCs w:val="28"/>
                          <w:lang w:val="en-US" w:eastAsia="zh-CN"/>
                        </w:rPr>
                      </w:pPr>
                      <w:r>
                        <w:rPr>
                          <w:rFonts w:hint="eastAsia"/>
                          <w:b/>
                          <w:bCs/>
                          <w:color w:val="C00000"/>
                          <w:sz w:val="28"/>
                          <w:szCs w:val="28"/>
                          <w:lang w:val="en-US" w:eastAsia="zh-CN"/>
                        </w:rPr>
                        <w:t xml:space="preserve">        北</w:t>
                      </w:r>
                    </w:p>
                  </w:txbxContent>
                </v:textbox>
              </v:shape>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4858385</wp:posOffset>
                </wp:positionH>
                <wp:positionV relativeFrom="paragraph">
                  <wp:posOffset>342265</wp:posOffset>
                </wp:positionV>
                <wp:extent cx="510540" cy="1073785"/>
                <wp:effectExtent l="12700" t="12700" r="29210" b="18415"/>
                <wp:wrapNone/>
                <wp:docPr id="20" name="上箭头 20"/>
                <wp:cNvGraphicFramePr/>
                <a:graphic xmlns:a="http://schemas.openxmlformats.org/drawingml/2006/main">
                  <a:graphicData uri="http://schemas.microsoft.com/office/word/2010/wordprocessingShape">
                    <wps:wsp>
                      <wps:cNvSpPr/>
                      <wps:spPr>
                        <a:xfrm>
                          <a:off x="6003925" y="1595755"/>
                          <a:ext cx="510540" cy="1073785"/>
                        </a:xfrm>
                        <a:prstGeom prst="upArrow">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82.55pt;margin-top:26.95pt;height:84.55pt;width:40.2pt;z-index:251666432;v-text-anchor:middle;mso-width-relative:page;mso-height-relative:page;" fillcolor="#4F81BD [3204]" filled="t" stroked="t" coordsize="21600,21600" o:gfxdata="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R9M2rZAAAACgEAAA8AAAAAAAAAAQAgAAAA&#10;IgAAAGRycy9kb3ducmV2LnhtbFBLAQIUABQAAAAIAIdO4kB3J/ejfAIAAPEEAAAOAAAAAAAAAAEA&#10;IAAAACgBAABkcnMvZTJvRG9jLnhtbFBLBQYAAAAABgAGAFkBAAAWBgAAAAA=&#10;" adj="5134,5400">
                <v:fill on="t" focussize="0,0"/>
                <v:stroke weight="2pt" color="#FFFFFF [3212]" joinstyle="round"/>
                <v:imagedata o:title=""/>
                <o:lock v:ext="edit" aspectratio="f"/>
              </v:shape>
            </w:pict>
          </mc:Fallback>
        </mc:AlternateContent>
      </w:r>
      <w:r>
        <w:rPr>
          <w:sz w:val="28"/>
        </w:rPr>
        <mc:AlternateContent>
          <mc:Choice Requires="wps">
            <w:drawing>
              <wp:anchor distT="0" distB="0" distL="114300" distR="114300" simplePos="0" relativeHeight="251665408" behindDoc="0" locked="0" layoutInCell="1" allowOverlap="1">
                <wp:simplePos x="0" y="0"/>
                <wp:positionH relativeFrom="column">
                  <wp:posOffset>814705</wp:posOffset>
                </wp:positionH>
                <wp:positionV relativeFrom="paragraph">
                  <wp:posOffset>1891665</wp:posOffset>
                </wp:positionV>
                <wp:extent cx="1125855" cy="779780"/>
                <wp:effectExtent l="0" t="0" r="17145" b="115570"/>
                <wp:wrapNone/>
                <wp:docPr id="12" name="椭圆形标注 12"/>
                <wp:cNvGraphicFramePr/>
                <a:graphic xmlns:a="http://schemas.openxmlformats.org/drawingml/2006/main">
                  <a:graphicData uri="http://schemas.microsoft.com/office/word/2010/wordprocessingShape">
                    <wps:wsp>
                      <wps:cNvSpPr/>
                      <wps:spPr>
                        <a:xfrm>
                          <a:off x="2080895" y="3110865"/>
                          <a:ext cx="1125855" cy="779780"/>
                        </a:xfrm>
                        <a:prstGeom prst="wedgeEllipseCallou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sz w:val="30"/>
                                <w:szCs w:val="30"/>
                                <w:lang w:val="en-US" w:eastAsia="zh-CN"/>
                              </w:rPr>
                            </w:pPr>
                            <w:r>
                              <w:rPr>
                                <w:rFonts w:hint="eastAsia"/>
                                <w:sz w:val="30"/>
                                <w:szCs w:val="3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64.15pt;margin-top:148.95pt;height:61.4pt;width:88.65pt;z-index:251665408;v-text-anchor:middle;mso-width-relative:page;mso-height-relative:page;" fillcolor="#4F81BD [3204]" filled="t" stroked="f" coordsize="21600,21600" o:gfxdata="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1DfobNsAAAALAQAADwAAAAAAAAABACAAAAAiAAAAZHJzL2Rvd25yZXYueG1sUEsBAhQAFAAAAAgA&#10;h07iQDJXRzWUAgAA5QQAAA4AAAAAAAAAAQAgAAAAKgEAAGRycy9lMm9Eb2MueG1sUEsFBgAAAAAG&#10;AAYAWQEAADAGAAAAAA==&#10;" adj="6300,24300">
                <v:fill on="t" focussize="0,0"/>
                <v:stroke on="f" weight="2pt"/>
                <v:imagedata o:title=""/>
                <o:lock v:ext="edit" aspectratio="f"/>
                <v:textbox>
                  <w:txbxContent>
                    <w:p>
                      <w:pPr>
                        <w:jc w:val="center"/>
                        <w:rPr>
                          <w:rFonts w:hint="eastAsia" w:eastAsia="宋体"/>
                          <w:sz w:val="30"/>
                          <w:szCs w:val="30"/>
                          <w:lang w:val="en-US" w:eastAsia="zh-CN"/>
                        </w:rPr>
                      </w:pPr>
                      <w:r>
                        <w:rPr>
                          <w:rFonts w:hint="eastAsia"/>
                          <w:sz w:val="30"/>
                          <w:szCs w:val="30"/>
                          <w:lang w:val="en-US" w:eastAsia="zh-CN"/>
                        </w:rPr>
                        <w:t>本项目</w:t>
                      </w:r>
                    </w:p>
                  </w:txbxContent>
                </v:textbox>
              </v:shap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1186815</wp:posOffset>
                </wp:positionH>
                <wp:positionV relativeFrom="paragraph">
                  <wp:posOffset>2108835</wp:posOffset>
                </wp:positionV>
                <wp:extent cx="914400" cy="438785"/>
                <wp:effectExtent l="0" t="0" r="0" b="0"/>
                <wp:wrapNone/>
                <wp:docPr id="6" name="文本框 6"/>
                <wp:cNvGraphicFramePr/>
                <a:graphic xmlns:a="http://schemas.openxmlformats.org/drawingml/2006/main">
                  <a:graphicData uri="http://schemas.microsoft.com/office/word/2010/wordprocessingShape">
                    <wps:wsp>
                      <wps:cNvSpPr txBox="1"/>
                      <wps:spPr>
                        <a:xfrm>
                          <a:off x="2289175" y="3622040"/>
                          <a:ext cx="914400" cy="438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000000" w:themeColor="text1"/>
                                <w:sz w:val="36"/>
                                <w:szCs w:val="36"/>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45pt;margin-top:166.05pt;height:34.55pt;width:72pt;z-index:251664384;mso-width-relative:page;mso-height-relative:page;" filled="f" stroked="f" coordsize="21600,21600" o:gfxdata="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Ky2JNsAAAALAQAADwAAAAAAAAAB&#10;ACAAAAAiAAAAZHJzL2Rvd25yZXYueG1sUEsBAhQAFAAAAAgAh07iQDCRXlRGAgAAcQQAAA4AAAAA&#10;AAAAAQAgAAAAKgEAAGRycy9lMm9Eb2MueG1sUEsFBgAAAAAGAAYAWQEAAOIFAAAAAA==&#10;">
                <v:fill on="f" focussize="0,0"/>
                <v:stroke on="f" weight="0.5pt"/>
                <v:imagedata o:title=""/>
                <o:lock v:ext="edit" aspectratio="f"/>
                <v:textbox>
                  <w:txbxContent>
                    <w:p>
                      <w:pPr>
                        <w:rPr>
                          <w:rFonts w:hint="eastAsia" w:eastAsia="宋体"/>
                          <w:b/>
                          <w:bCs/>
                          <w:color w:val="000000" w:themeColor="text1"/>
                          <w:sz w:val="36"/>
                          <w:szCs w:val="36"/>
                          <w:lang w:val="en-US" w:eastAsia="zh-CN"/>
                          <w14:textFill>
                            <w14:solidFill>
                              <w14:schemeClr w14:val="tx1"/>
                            </w14:solidFill>
                          </w14:textFill>
                        </w:rPr>
                      </w:pPr>
                    </w:p>
                  </w:txbxContent>
                </v:textbox>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1047750</wp:posOffset>
                </wp:positionH>
                <wp:positionV relativeFrom="paragraph">
                  <wp:posOffset>2732405</wp:posOffset>
                </wp:positionV>
                <wp:extent cx="110490" cy="136525"/>
                <wp:effectExtent l="12700" t="12700" r="29210" b="22225"/>
                <wp:wrapNone/>
                <wp:docPr id="4" name="五角星 4"/>
                <wp:cNvGraphicFramePr/>
                <a:graphic xmlns:a="http://schemas.openxmlformats.org/drawingml/2006/main">
                  <a:graphicData uri="http://schemas.microsoft.com/office/word/2010/wordprocessingShape">
                    <wps:wsp>
                      <wps:cNvSpPr/>
                      <wps:spPr>
                        <a:xfrm>
                          <a:off x="2054860" y="3864610"/>
                          <a:ext cx="110490" cy="136525"/>
                        </a:xfrm>
                        <a:prstGeom prst="star5">
                          <a:avLst>
                            <a:gd name="adj" fmla="val 25178"/>
                            <a:gd name="hf" fmla="val 105146"/>
                            <a:gd name="vf" fmla="val 110557"/>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2.5pt;margin-top:215.15pt;height:10.75pt;width:8.7pt;z-index:251663360;v-text-anchor:middle;mso-width-relative:page;mso-height-relative:page;" fillcolor="#C00000" filled="t" stroked="t" coordsize="110490,136525" o:gfxdata="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Pv+vz9kAAAALAQAADwAAAAAAAAABACAAAAAiAAAAZHJzL2Rvd25yZXYueG1sUEsB&#10;AhQAFAAAAAgAh07iQDyTsxKfAgAAXgUAAA4AAAAAAAAAAQAgAAAAKAEAAGRycy9lMm9Eb2MueG1s&#10;UEsFBgAAAAAGAAYAWQEAADkGAAAAAA==&#10;" path="m0,52147l38051,44723,55245,0,72438,44723,110489,52147,83064,87212,89388,136524,55245,113472,21101,136524,27425,87212xe">
                <v:path o:connectlocs="55245,0;0,52147;21101,136524;89388,136524;110489,52147" o:connectangles="247,164,82,82,0"/>
                <v:fill on="t" focussize="0,0"/>
                <v:stroke weight="2pt" color="#C00000 [3204]" joinstyle="round"/>
                <v:imagedata o:title=""/>
                <o:lock v:ext="edit" aspectratio="f"/>
              </v:shape>
            </w:pict>
          </mc:Fallback>
        </mc:AlternateContent>
      </w:r>
      <w:r>
        <w:rPr>
          <w:rFonts w:hint="eastAsia" w:ascii="宋体" w:hAnsi="宋体" w:cs="宋体"/>
          <w:b/>
          <w:bCs/>
          <w:sz w:val="28"/>
          <w:szCs w:val="28"/>
          <w:lang w:val="en-US" w:eastAsia="zh-CN"/>
        </w:rPr>
        <w:drawing>
          <wp:inline distT="0" distB="0" distL="114300" distR="114300">
            <wp:extent cx="5614035" cy="8113395"/>
            <wp:effectExtent l="0" t="0" r="5715" b="1905"/>
            <wp:docPr id="3" name="图片 3" descr="地理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地理位置"/>
                    <pic:cNvPicPr>
                      <a:picLocks noChangeAspect="1"/>
                    </pic:cNvPicPr>
                  </pic:nvPicPr>
                  <pic:blipFill>
                    <a:blip r:embed="rId24"/>
                    <a:stretch>
                      <a:fillRect/>
                    </a:stretch>
                  </pic:blipFill>
                  <pic:spPr>
                    <a:xfrm>
                      <a:off x="0" y="0"/>
                      <a:ext cx="5614035" cy="8113395"/>
                    </a:xfrm>
                    <a:prstGeom prst="rect">
                      <a:avLst/>
                    </a:prstGeom>
                  </pic:spPr>
                </pic:pic>
              </a:graphicData>
            </a:graphic>
          </wp:inline>
        </w:drawing>
      </w:r>
      <w:r>
        <w:rPr>
          <w:rFonts w:hint="eastAsia" w:ascii="宋体" w:hAnsi="宋体" w:cs="宋体"/>
          <w:b/>
          <w:bCs/>
          <w:sz w:val="28"/>
          <w:szCs w:val="28"/>
          <w:lang w:val="en-US" w:eastAsia="zh-CN"/>
        </w:rPr>
        <w:t xml:space="preserve">附图 </w:t>
      </w:r>
      <w:r>
        <w:rPr>
          <w:rFonts w:hint="default" w:ascii="Times New Roman" w:hAnsi="Times New Roman" w:cs="Times New Roman"/>
          <w:b/>
          <w:bCs/>
          <w:sz w:val="28"/>
          <w:szCs w:val="28"/>
          <w:lang w:val="en-US" w:eastAsia="zh-CN"/>
        </w:rPr>
        <w:t>1</w:t>
      </w:r>
      <w:r>
        <w:rPr>
          <w:rFonts w:hint="eastAsia" w:ascii="Times New Roman" w:hAnsi="Times New Roman" w:cs="Times New Roman"/>
          <w:b/>
          <w:bCs/>
          <w:sz w:val="28"/>
          <w:szCs w:val="28"/>
          <w:lang w:val="en-US" w:eastAsia="zh-CN"/>
        </w:rPr>
        <w:t xml:space="preserve">  项目地理位置图</w:t>
      </w:r>
      <w:r>
        <w:rPr>
          <w:rFonts w:hint="eastAsia"/>
          <w:lang w:val="en-US" w:eastAsia="zh-CN"/>
        </w:rPr>
        <w:br w:type="page"/>
      </w:r>
    </w:p>
    <w:p>
      <w:pPr>
        <w:pStyle w:val="13"/>
        <w:spacing w:line="240" w:lineRule="auto"/>
        <w:rPr>
          <w:rFonts w:hint="eastAsia" w:eastAsia="宋体"/>
          <w:lang w:eastAsia="zh-CN"/>
        </w:rPr>
      </w:pPr>
      <w:r>
        <w:rPr>
          <w:rFonts w:hint="eastAsia" w:eastAsia="宋体"/>
          <w:lang w:eastAsia="zh-CN"/>
        </w:rPr>
        <w:drawing>
          <wp:inline distT="0" distB="0" distL="114300" distR="114300">
            <wp:extent cx="5607050" cy="3645535"/>
            <wp:effectExtent l="0" t="0" r="12700" b="12065"/>
            <wp:docPr id="40" name="图片 40" descr="平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平面"/>
                    <pic:cNvPicPr>
                      <a:picLocks noChangeAspect="1"/>
                    </pic:cNvPicPr>
                  </pic:nvPicPr>
                  <pic:blipFill>
                    <a:blip r:embed="rId25"/>
                    <a:stretch>
                      <a:fillRect/>
                    </a:stretch>
                  </pic:blipFill>
                  <pic:spPr>
                    <a:xfrm>
                      <a:off x="0" y="0"/>
                      <a:ext cx="5607050" cy="3645535"/>
                    </a:xfrm>
                    <a:prstGeom prst="rect">
                      <a:avLst/>
                    </a:prstGeom>
                  </pic:spPr>
                </pic:pic>
              </a:graphicData>
            </a:graphic>
          </wp:inline>
        </w:drawing>
      </w:r>
    </w:p>
    <w:p>
      <w:pPr>
        <w:pStyle w:val="13"/>
        <w:spacing w:line="240" w:lineRule="auto"/>
        <w:jc w:val="center"/>
        <w:rPr>
          <w:rFonts w:hint="eastAsia" w:ascii="宋体" w:hAnsi="宋体" w:eastAsia="黑体"/>
          <w:lang w:eastAsia="zh-CN"/>
        </w:rPr>
      </w:pPr>
      <w:r>
        <w:rPr>
          <w:rFonts w:hint="default" w:ascii="Times New Roman" w:hAnsi="Times New Roman" w:eastAsia="宋体" w:cs="Times New Roman"/>
          <w:b/>
          <w:bCs/>
          <w:sz w:val="28"/>
          <w:szCs w:val="28"/>
          <w:lang w:val="en-US" w:eastAsia="zh-CN"/>
        </w:rPr>
        <w:t>附图 2   本项目厂区平面布置图</w:t>
      </w:r>
      <w:r>
        <w:rPr>
          <w:rFonts w:hint="eastAsia" w:ascii="Times New Roman" w:hAnsi="Times New Roman" w:eastAsia="宋体" w:cs="Times New Roman"/>
          <w:b/>
          <w:bCs/>
          <w:sz w:val="32"/>
          <w:szCs w:val="32"/>
          <w:lang w:val="en-US" w:eastAsia="zh-CN"/>
        </w:rPr>
        <w:t xml:space="preserve">  </w:t>
      </w:r>
    </w:p>
    <w:p>
      <w:pPr>
        <w:jc w:val="center"/>
        <w:rPr>
          <w:rFonts w:hint="eastAsia" w:cs="Times New Roman"/>
          <w:b/>
          <w:bCs/>
          <w:sz w:val="28"/>
          <w:szCs w:val="28"/>
          <w:lang w:val="en-US" w:eastAsia="zh-CN"/>
        </w:rPr>
        <w:sectPr>
          <w:footerReference r:id="rId9" w:type="default"/>
          <w:pgSz w:w="11906" w:h="16838"/>
          <w:pgMar w:top="1701" w:right="1531" w:bottom="1701" w:left="1531" w:header="851" w:footer="1134" w:gutter="0"/>
          <w:pgBorders>
            <w:top w:val="none" w:sz="0" w:space="0"/>
            <w:left w:val="none" w:sz="0" w:space="0"/>
            <w:bottom w:val="none" w:sz="0" w:space="0"/>
            <w:right w:val="none" w:sz="0" w:space="0"/>
          </w:pgBorders>
          <w:pgNumType w:fmt="decimal"/>
          <w:cols w:space="0" w:num="1"/>
          <w:rtlGutter w:val="0"/>
          <w:docGrid w:linePitch="312" w:charSpace="0"/>
        </w:sectPr>
      </w:pPr>
      <w:r>
        <w:rPr>
          <w:sz w:val="32"/>
        </w:rPr>
        <mc:AlternateContent>
          <mc:Choice Requires="wps">
            <w:drawing>
              <wp:anchor distT="0" distB="0" distL="114300" distR="114300" simplePos="0" relativeHeight="251675648" behindDoc="0" locked="0" layoutInCell="1" allowOverlap="1">
                <wp:simplePos x="0" y="0"/>
                <wp:positionH relativeFrom="column">
                  <wp:posOffset>5118735</wp:posOffset>
                </wp:positionH>
                <wp:positionV relativeFrom="paragraph">
                  <wp:posOffset>874395</wp:posOffset>
                </wp:positionV>
                <wp:extent cx="528320" cy="408305"/>
                <wp:effectExtent l="0" t="0" r="0" b="0"/>
                <wp:wrapNone/>
                <wp:docPr id="51" name="文本框 51"/>
                <wp:cNvGraphicFramePr/>
                <a:graphic xmlns:a="http://schemas.openxmlformats.org/drawingml/2006/main">
                  <a:graphicData uri="http://schemas.microsoft.com/office/word/2010/wordprocessingShape">
                    <wps:wsp>
                      <wps:cNvSpPr txBox="1"/>
                      <wps:spPr>
                        <a:xfrm>
                          <a:off x="5856605" y="2851150"/>
                          <a:ext cx="528320" cy="408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val="en-US" w:eastAsia="zh-CN"/>
                              </w:rPr>
                            </w:pPr>
                            <w:r>
                              <w:rPr>
                                <w:rFonts w:hint="eastAsia"/>
                                <w:b/>
                                <w:bCs/>
                                <w:sz w:val="28"/>
                                <w:szCs w:val="28"/>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05pt;margin-top:68.85pt;height:32.15pt;width:41.6pt;z-index:251675648;mso-width-relative:page;mso-height-relative:page;" filled="f" stroked="f" coordsize="21600,21600" o:gfxdata="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bVlo4dsAAAALAQAADwAAAAAAAAAB&#10;ACAAAAAiAAAAZHJzL2Rvd25yZXYueG1sUEsBAhQAFAAAAAgAh07iQLPz/OZGAgAAcwQAAA4AAAAA&#10;AAAAAQAgAAAAKgEAAGRycy9lMm9Eb2MueG1sUEsFBgAAAAAGAAYAWQEAAOIFAAAAAA==&#10;">
                <v:fill on="f" focussize="0,0"/>
                <v:stroke on="f" weight="0.5pt"/>
                <v:imagedata o:title=""/>
                <o:lock v:ext="edit" aspectratio="f"/>
                <v:textbox>
                  <w:txbxContent>
                    <w:p>
                      <w:pPr>
                        <w:rPr>
                          <w:rFonts w:hint="eastAsia" w:eastAsia="宋体"/>
                          <w:b/>
                          <w:bCs/>
                          <w:sz w:val="28"/>
                          <w:szCs w:val="28"/>
                          <w:lang w:val="en-US" w:eastAsia="zh-CN"/>
                        </w:rPr>
                      </w:pPr>
                      <w:r>
                        <w:rPr>
                          <w:rFonts w:hint="eastAsia"/>
                          <w:b/>
                          <w:bCs/>
                          <w:sz w:val="28"/>
                          <w:szCs w:val="28"/>
                          <w:lang w:val="en-US" w:eastAsia="zh-CN"/>
                        </w:rPr>
                        <w:t>北</w:t>
                      </w:r>
                    </w:p>
                  </w:txbxContent>
                </v:textbox>
              </v:shape>
            </w:pict>
          </mc:Fallback>
        </mc:AlternateContent>
      </w:r>
      <w:r>
        <w:rPr>
          <w:sz w:val="32"/>
        </w:rPr>
        <mc:AlternateContent>
          <mc:Choice Requires="wps">
            <w:drawing>
              <wp:anchor distT="0" distB="0" distL="114300" distR="114300" simplePos="0" relativeHeight="251674624" behindDoc="0" locked="0" layoutInCell="1" allowOverlap="1">
                <wp:simplePos x="0" y="0"/>
                <wp:positionH relativeFrom="column">
                  <wp:posOffset>4935855</wp:posOffset>
                </wp:positionH>
                <wp:positionV relativeFrom="paragraph">
                  <wp:posOffset>621030</wp:posOffset>
                </wp:positionV>
                <wp:extent cx="355600" cy="648970"/>
                <wp:effectExtent l="12700" t="12700" r="12700" b="24130"/>
                <wp:wrapNone/>
                <wp:docPr id="50" name="上箭头 50"/>
                <wp:cNvGraphicFramePr/>
                <a:graphic xmlns:a="http://schemas.openxmlformats.org/drawingml/2006/main">
                  <a:graphicData uri="http://schemas.microsoft.com/office/word/2010/wordprocessingShape">
                    <wps:wsp>
                      <wps:cNvSpPr/>
                      <wps:spPr>
                        <a:xfrm>
                          <a:off x="5864860" y="2227580"/>
                          <a:ext cx="355600" cy="6489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88.65pt;margin-top:48.9pt;height:51.1pt;width:28pt;z-index:251674624;v-text-anchor:middle;mso-width-relative:page;mso-height-relative:page;" fillcolor="#4F81BD [3204]" filled="t" stroked="t" coordsize="21600,21600" o:gfxdata="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lGfmNtkAAAAKAQAA&#10;DwAAAAAAAAABACAAAAAiAAAAZHJzL2Rvd25yZXYueG1sUEsBAhQAFAAAAAgAh07iQPSLV1eKAgAA&#10;EQUAAA4AAAAAAAAAAQAgAAAAKAEAAGRycy9lMm9Eb2MueG1sUEsFBgAAAAAGAAYAWQEAACQGAAAA&#10;AA==&#10;" adj="5917,5400">
                <v:fill on="t" focussize="0,0"/>
                <v:stroke weight="2pt" color="#385D8A [3204]" joinstyle="round"/>
                <v:imagedata o:title=""/>
                <o:lock v:ext="edit" aspectratio="f"/>
              </v:shape>
            </w:pict>
          </mc:Fallback>
        </mc:AlternateContent>
      </w:r>
      <w:r>
        <w:rPr>
          <w:sz w:val="32"/>
        </w:rPr>
        <mc:AlternateContent>
          <mc:Choice Requires="wps">
            <w:drawing>
              <wp:anchor distT="0" distB="0" distL="114300" distR="114300" simplePos="0" relativeHeight="251677696" behindDoc="0" locked="0" layoutInCell="1" allowOverlap="1">
                <wp:simplePos x="0" y="0"/>
                <wp:positionH relativeFrom="column">
                  <wp:posOffset>3575685</wp:posOffset>
                </wp:positionH>
                <wp:positionV relativeFrom="paragraph">
                  <wp:posOffset>2256155</wp:posOffset>
                </wp:positionV>
                <wp:extent cx="1142365" cy="683895"/>
                <wp:effectExtent l="12700" t="12700" r="26035" b="103505"/>
                <wp:wrapNone/>
                <wp:docPr id="5" name="椭圆形标注 5"/>
                <wp:cNvGraphicFramePr/>
                <a:graphic xmlns:a="http://schemas.openxmlformats.org/drawingml/2006/main">
                  <a:graphicData uri="http://schemas.microsoft.com/office/word/2010/wordprocessingShape">
                    <wps:wsp>
                      <wps:cNvSpPr/>
                      <wps:spPr>
                        <a:xfrm>
                          <a:off x="4930140" y="3731260"/>
                          <a:ext cx="1142365" cy="683895"/>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sz w:val="28"/>
                                <w:szCs w:val="28"/>
                                <w:lang w:val="en-US" w:eastAsia="zh-CN"/>
                              </w:rPr>
                            </w:pPr>
                            <w:r>
                              <w:rPr>
                                <w:rFonts w:hint="eastAsia"/>
                                <w:b/>
                                <w:bCs/>
                                <w:sz w:val="28"/>
                                <w:szCs w:val="28"/>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281.55pt;margin-top:177.65pt;height:53.85pt;width:89.95pt;z-index:251677696;v-text-anchor:middle;mso-width-relative:page;mso-height-relative:page;" fillcolor="#4F81BD [3204]" filled="t" stroked="t" coordsize="21600,21600" o:gfxdata="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Oxiel2QAAAAsBAAAPAAAAAAAAAAEAIAAAACIAAABkcnMvZG93bnJl&#10;di54bWxQSwECFAAUAAAACACHTuJA03fQe6cCAAAtBQAADgAAAAAAAAABACAAAAAoAQAAZHJzL2Uy&#10;b0RvYy54bWxQSwUGAAAAAAYABgBZAQAAQQYAAAAA&#10;" adj="6300,24300">
                <v:fill on="t" focussize="0,0"/>
                <v:stroke weight="2pt" color="#385D8A [3204]" joinstyle="round"/>
                <v:imagedata o:title=""/>
                <o:lock v:ext="edit" aspectratio="f"/>
                <v:textbox>
                  <w:txbxContent>
                    <w:p>
                      <w:pPr>
                        <w:jc w:val="center"/>
                        <w:rPr>
                          <w:rFonts w:hint="eastAsia" w:eastAsia="宋体"/>
                          <w:b/>
                          <w:bCs/>
                          <w:sz w:val="28"/>
                          <w:szCs w:val="28"/>
                          <w:lang w:val="en-US" w:eastAsia="zh-CN"/>
                        </w:rPr>
                      </w:pPr>
                      <w:r>
                        <w:rPr>
                          <w:rFonts w:hint="eastAsia"/>
                          <w:b/>
                          <w:bCs/>
                          <w:sz w:val="28"/>
                          <w:szCs w:val="28"/>
                          <w:lang w:val="en-US" w:eastAsia="zh-CN"/>
                        </w:rPr>
                        <w:t>本项目</w:t>
                      </w:r>
                    </w:p>
                  </w:txbxContent>
                </v:textbox>
              </v:shape>
            </w:pict>
          </mc:Fallback>
        </mc:AlternateContent>
      </w:r>
      <w:r>
        <w:rPr>
          <w:sz w:val="32"/>
        </w:rPr>
        <mc:AlternateContent>
          <mc:Choice Requires="wps">
            <w:drawing>
              <wp:anchor distT="0" distB="0" distL="114300" distR="114300" simplePos="0" relativeHeight="251676672" behindDoc="0" locked="0" layoutInCell="1" allowOverlap="1">
                <wp:simplePos x="0" y="0"/>
                <wp:positionH relativeFrom="column">
                  <wp:posOffset>3844925</wp:posOffset>
                </wp:positionH>
                <wp:positionV relativeFrom="paragraph">
                  <wp:posOffset>3043555</wp:posOffset>
                </wp:positionV>
                <wp:extent cx="92710" cy="76200"/>
                <wp:effectExtent l="12700" t="12700" r="27940" b="25400"/>
                <wp:wrapNone/>
                <wp:docPr id="2" name="五角星 2"/>
                <wp:cNvGraphicFramePr/>
                <a:graphic xmlns:a="http://schemas.openxmlformats.org/drawingml/2006/main">
                  <a:graphicData uri="http://schemas.microsoft.com/office/word/2010/wordprocessingShape">
                    <wps:wsp>
                      <wps:cNvSpPr/>
                      <wps:spPr>
                        <a:xfrm>
                          <a:off x="4895215" y="4510405"/>
                          <a:ext cx="92710" cy="7620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2.75pt;margin-top:239.65pt;height:6pt;width:7.3pt;z-index:251676672;v-text-anchor:middle;mso-width-relative:page;mso-height-relative:page;" fillcolor="#4F81BD [3204]" filled="t" stroked="t" coordsize="92710,76200" o:gfxdata="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7cct62QAAAAsBAAAPAAAA&#10;AAAAAAEAIAAAACIAAABkcnMvZG93bnJldi54bWxQSwECFAAUAAAACACHTuJAPdUBjYYCAAALBQAA&#10;DgAAAAAAAAABACAAAAAoAQAAZHJzL2Uyb0RvYy54bWxQSwUGAAAAAAYABgBZAQAAIAYAAAAA&#10;" path="m0,29105l35412,29105,46355,0,57297,29105,92709,29105,64060,47093,75003,76199,46355,58211,17706,76199,28649,47093xe">
                <v:path o:connectlocs="46355,0;0,29105;17706,76199;75003,76199;92709,29105" o:connectangles="247,164,82,82,0"/>
                <v:fill on="t" focussize="0,0"/>
                <v:stroke weight="2pt" color="#385D8A [3204]" joinstyle="round"/>
                <v:imagedata o:title=""/>
                <o:lock v:ext="edit" aspectratio="f"/>
              </v:shape>
            </w:pict>
          </mc:Fallback>
        </mc:AlternateContent>
      </w:r>
      <w:r>
        <w:rPr>
          <w:rFonts w:hint="default" w:ascii="Times New Roman" w:hAnsi="Times New Roman" w:eastAsia="宋体" w:cs="Times New Roman"/>
          <w:b/>
          <w:bCs/>
          <w:sz w:val="28"/>
          <w:szCs w:val="28"/>
          <w:lang w:val="en-US" w:eastAsia="zh-CN"/>
        </w:rPr>
        <w:drawing>
          <wp:inline distT="0" distB="0" distL="114300" distR="114300">
            <wp:extent cx="5594350" cy="5861050"/>
            <wp:effectExtent l="0" t="0" r="6350" b="6350"/>
            <wp:docPr id="7" name="图片 7" descr="合河乡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合河乡土地利用"/>
                    <pic:cNvPicPr>
                      <a:picLocks noChangeAspect="1"/>
                    </pic:cNvPicPr>
                  </pic:nvPicPr>
                  <pic:blipFill>
                    <a:blip r:embed="rId26"/>
                    <a:stretch>
                      <a:fillRect/>
                    </a:stretch>
                  </pic:blipFill>
                  <pic:spPr>
                    <a:xfrm>
                      <a:off x="0" y="0"/>
                      <a:ext cx="5594350" cy="5861050"/>
                    </a:xfrm>
                    <a:prstGeom prst="rect">
                      <a:avLst/>
                    </a:prstGeom>
                  </pic:spPr>
                </pic:pic>
              </a:graphicData>
            </a:graphic>
          </wp:inline>
        </w:drawing>
      </w:r>
      <w:r>
        <w:rPr>
          <w:rFonts w:hint="default" w:ascii="Times New Roman" w:hAnsi="Times New Roman" w:eastAsia="宋体" w:cs="Times New Roman"/>
          <w:b/>
          <w:bCs/>
          <w:sz w:val="28"/>
          <w:szCs w:val="28"/>
          <w:lang w:val="en-US" w:eastAsia="zh-CN"/>
        </w:rPr>
        <w:t>附图</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 xml:space="preserve">3 </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新乡县合河乡</w:t>
      </w:r>
      <w:r>
        <w:rPr>
          <w:rFonts w:hint="eastAsia" w:cs="Times New Roman"/>
          <w:b/>
          <w:bCs/>
          <w:sz w:val="28"/>
          <w:szCs w:val="28"/>
          <w:lang w:val="en-US" w:eastAsia="zh-CN"/>
        </w:rPr>
        <w:t>土地利用图</w:t>
      </w:r>
    </w:p>
    <w:p>
      <w:pPr>
        <w:pStyle w:val="2"/>
        <w:rPr>
          <w:rFonts w:hint="eastAsia"/>
          <w:lang w:val="en-US" w:eastAsia="zh-CN"/>
        </w:rPr>
      </w:pPr>
      <w:r>
        <w:rPr>
          <w:sz w:val="30"/>
        </w:rPr>
        <mc:AlternateContent>
          <mc:Choice Requires="wps">
            <w:drawing>
              <wp:anchor distT="0" distB="0" distL="114300" distR="114300" simplePos="0" relativeHeight="251681792" behindDoc="0" locked="0" layoutInCell="1" allowOverlap="1">
                <wp:simplePos x="0" y="0"/>
                <wp:positionH relativeFrom="column">
                  <wp:posOffset>3529965</wp:posOffset>
                </wp:positionH>
                <wp:positionV relativeFrom="paragraph">
                  <wp:posOffset>1906270</wp:posOffset>
                </wp:positionV>
                <wp:extent cx="103505" cy="86995"/>
                <wp:effectExtent l="12700" t="12700" r="17145" b="14605"/>
                <wp:wrapNone/>
                <wp:docPr id="76" name="五角星 76"/>
                <wp:cNvGraphicFramePr/>
                <a:graphic xmlns:a="http://schemas.openxmlformats.org/drawingml/2006/main">
                  <a:graphicData uri="http://schemas.microsoft.com/office/word/2010/wordprocessingShape">
                    <wps:wsp>
                      <wps:cNvSpPr/>
                      <wps:spPr>
                        <a:xfrm>
                          <a:off x="4493895" y="3010535"/>
                          <a:ext cx="103505" cy="8699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7.95pt;margin-top:150.1pt;height:6.85pt;width:8.15pt;z-index:251681792;v-text-anchor:middle;mso-width-relative:page;mso-height-relative:page;" fillcolor="#FF0000" filled="t" stroked="t" coordsize="103505,86995" o:gfxdata="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c+infcAAAACwEAAA8AAAAAAAAAAQAgAAAAIgAAAGRy&#10;cy9kb3ducmV2LnhtbFBLAQIUABQAAAAIAIdO4kAoxctWcwIAAO0EAAAOAAAAAAAAAAEAIAAAACsB&#10;AABkcnMvZTJvRG9jLnhtbFBLBQYAAAAABgAGAFkBAAAQBgAAAAA=&#10;" path="m0,33229l39535,33229,51752,0,63969,33229,103504,33229,71519,53765,83737,86994,51752,66457,19767,86994,31985,53765xe">
                <v:path o:connectlocs="51752,0;0,33229;19767,86994;83737,86994;103504,33229" o:connectangles="247,164,82,82,0"/>
                <v:fill on="t" focussize="0,0"/>
                <v:stroke weight="2pt" color="#FF0000 [2404]" joinstyle="round"/>
                <v:imagedata o:title=""/>
                <o:lock v:ext="edit" aspectratio="f"/>
              </v:shape>
            </w:pict>
          </mc:Fallback>
        </mc:AlternateContent>
      </w:r>
      <w:r>
        <w:rPr>
          <w:sz w:val="30"/>
        </w:rPr>
        <mc:AlternateContent>
          <mc:Choice Requires="wps">
            <w:drawing>
              <wp:anchor distT="0" distB="0" distL="114300" distR="114300" simplePos="0" relativeHeight="251683840" behindDoc="0" locked="0" layoutInCell="1" allowOverlap="1">
                <wp:simplePos x="0" y="0"/>
                <wp:positionH relativeFrom="column">
                  <wp:posOffset>3561715</wp:posOffset>
                </wp:positionH>
                <wp:positionV relativeFrom="paragraph">
                  <wp:posOffset>5209540</wp:posOffset>
                </wp:positionV>
                <wp:extent cx="832485" cy="304800"/>
                <wp:effectExtent l="0" t="0" r="5715" b="0"/>
                <wp:wrapNone/>
                <wp:docPr id="78" name="文本框 78"/>
                <wp:cNvGraphicFramePr/>
                <a:graphic xmlns:a="http://schemas.openxmlformats.org/drawingml/2006/main">
                  <a:graphicData uri="http://schemas.microsoft.com/office/word/2010/wordprocessingShape">
                    <wps:wsp>
                      <wps:cNvSpPr txBox="1"/>
                      <wps:spPr>
                        <a:xfrm>
                          <a:off x="4692650" y="6376035"/>
                          <a:ext cx="83248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45pt;margin-top:410.2pt;height:24pt;width:65.55pt;z-index:251683840;mso-width-relative:page;mso-height-relative:page;" filled="f" stroked="f" coordsize="21600,21600" o:gfxdata="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rJmJrbAAAACwEAAA8AAAAAAAAA&#10;AQAgAAAAIgAAAGRycy9kb3ducmV2LnhtbFBLAQIUABQAAAAIAIdO4kA9Wv7NRwIAAHMEAAAOAAAA&#10;AAAAAAEAIAAAACoBAABkcnMvZTJvRG9jLnhtbFBLBQYAAAAABgAGAFkBAADjBQAAAAA=&#10;">
                <v:fill on="f" focussize="0,0"/>
                <v:stroke on="f" weight="0.5pt"/>
                <v:imagedata o:title=""/>
                <o:lock v:ext="edit" aspectratio="f"/>
                <v:textbox>
                  <w:txbxContent>
                    <w:p>
                      <w:pPr>
                        <w:rPr>
                          <w:rFonts w:hint="default" w:eastAsia="宋体"/>
                          <w:lang w:val="en-US" w:eastAsia="zh-CN"/>
                        </w:rPr>
                      </w:pPr>
                      <w:r>
                        <w:rPr>
                          <w:rFonts w:hint="eastAsia"/>
                          <w:lang w:val="en-US" w:eastAsia="zh-CN"/>
                        </w:rPr>
                        <w:t>项目位置</w:t>
                      </w:r>
                    </w:p>
                  </w:txbxContent>
                </v:textbox>
              </v:shape>
            </w:pict>
          </mc:Fallback>
        </mc:AlternateContent>
      </w:r>
      <w:r>
        <w:rPr>
          <w:sz w:val="30"/>
        </w:rPr>
        <mc:AlternateContent>
          <mc:Choice Requires="wps">
            <w:drawing>
              <wp:anchor distT="0" distB="0" distL="114300" distR="114300" simplePos="0" relativeHeight="251682816" behindDoc="0" locked="0" layoutInCell="1" allowOverlap="1">
                <wp:simplePos x="0" y="0"/>
                <wp:positionH relativeFrom="column">
                  <wp:posOffset>3505835</wp:posOffset>
                </wp:positionH>
                <wp:positionV relativeFrom="paragraph">
                  <wp:posOffset>5271770</wp:posOffset>
                </wp:positionV>
                <wp:extent cx="79375" cy="87630"/>
                <wp:effectExtent l="12700" t="12700" r="22225" b="13970"/>
                <wp:wrapNone/>
                <wp:docPr id="77" name="五角星 77"/>
                <wp:cNvGraphicFramePr/>
                <a:graphic xmlns:a="http://schemas.openxmlformats.org/drawingml/2006/main">
                  <a:graphicData uri="http://schemas.microsoft.com/office/word/2010/wordprocessingShape">
                    <wps:wsp>
                      <wps:cNvSpPr/>
                      <wps:spPr>
                        <a:xfrm>
                          <a:off x="4478020" y="6351905"/>
                          <a:ext cx="79375" cy="8763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6.05pt;margin-top:415.1pt;height:6.9pt;width:6.25pt;z-index:251682816;v-text-anchor:middle;mso-width-relative:page;mso-height-relative:page;" fillcolor="#FF0000" filled="t" stroked="t" coordsize="79375,87630" o:gfxdata="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&#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ttcxLZAAAACwEAAA8AAAAAAAAAAQAgAAAAIgAAAGRy&#10;cy9kb3ducmV2LnhtbFBLAQIUABQAAAAIAIdO4kC+xaCwdgIAAOwEAAAOAAAAAAAAAAEAIAAAACgB&#10;AABkcnMvZTJvRG9jLnhtbFBLBQYAAAAABgAGAFkBAAAQBgAAAAA=&#10;" path="m0,33471l30318,33471,39687,0,49056,33471,79374,33471,54846,54158,64215,87629,39687,66942,15159,87629,24528,54158xe">
                <v:path o:connectlocs="39687,0;0,33471;15159,87629;64215,87629;79374,33471" o:connectangles="247,164,82,82,0"/>
                <v:fill on="t" focussize="0,0"/>
                <v:stroke weight="2pt" color="#FF0000 [2404]" joinstyle="round"/>
                <v:imagedata o:title=""/>
                <o:lock v:ext="edit" aspectratio="f"/>
              </v:shape>
            </w:pict>
          </mc:Fallback>
        </mc:AlternateContent>
      </w:r>
      <w:r>
        <w:rPr>
          <w:sz w:val="30"/>
        </w:rPr>
        <mc:AlternateContent>
          <mc:Choice Requires="wps">
            <w:drawing>
              <wp:anchor distT="0" distB="0" distL="114300" distR="114300" simplePos="0" relativeHeight="251680768" behindDoc="0" locked="0" layoutInCell="1" allowOverlap="1">
                <wp:simplePos x="0" y="0"/>
                <wp:positionH relativeFrom="column">
                  <wp:posOffset>1315085</wp:posOffset>
                </wp:positionH>
                <wp:positionV relativeFrom="paragraph">
                  <wp:posOffset>1477645</wp:posOffset>
                </wp:positionV>
                <wp:extent cx="698500" cy="8255"/>
                <wp:effectExtent l="0" t="50165" r="6350" b="55880"/>
                <wp:wrapNone/>
                <wp:docPr id="75" name="直接箭头连接符 75"/>
                <wp:cNvGraphicFramePr/>
                <a:graphic xmlns:a="http://schemas.openxmlformats.org/drawingml/2006/main">
                  <a:graphicData uri="http://schemas.microsoft.com/office/word/2010/wordprocessingShape">
                    <wps:wsp>
                      <wps:cNvCnPr/>
                      <wps:spPr>
                        <a:xfrm>
                          <a:off x="2668270" y="2653030"/>
                          <a:ext cx="698500" cy="825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3.55pt;margin-top:116.35pt;height:0.65pt;width:55pt;z-index:251680768;mso-width-relative:page;mso-height-relative:page;" filled="f" stroked="t" coordsize="21600,21600" o:gfxdata="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BopidoAAAALAQAADwAAAAAAAAABACAA&#10;AAAiAAAAZHJzL2Rvd25yZXYueG1sUEsBAhQAFAAAAAgAh07iQAPCvuYLAgAA2AMAAA4AAAAAAAAA&#10;AQAgAAAAKQEAAGRycy9lMm9Eb2MueG1sUEsFBgAAAAAGAAYAWQEAAKYFAAAAAA==&#10;">
                <v:fill on="f" focussize="0,0"/>
                <v:stroke weight="2pt" color="#4F81BD [3204]" joinstyle="round" endarrow="open"/>
                <v:imagedata o:title=""/>
                <o:lock v:ext="edit" aspectratio="f"/>
              </v:shape>
            </w:pict>
          </mc:Fallback>
        </mc:AlternateContent>
      </w:r>
      <w:r>
        <w:rPr>
          <w:sz w:val="30"/>
        </w:rPr>
        <mc:AlternateContent>
          <mc:Choice Requires="wps">
            <w:drawing>
              <wp:anchor distT="0" distB="0" distL="114300" distR="114300" simplePos="0" relativeHeight="251679744" behindDoc="0" locked="0" layoutInCell="1" allowOverlap="1">
                <wp:simplePos x="0" y="0"/>
                <wp:positionH relativeFrom="column">
                  <wp:posOffset>2029460</wp:posOffset>
                </wp:positionH>
                <wp:positionV relativeFrom="paragraph">
                  <wp:posOffset>922020</wp:posOffset>
                </wp:positionV>
                <wp:extent cx="2499995" cy="1673860"/>
                <wp:effectExtent l="12700" t="12700" r="20955" b="27940"/>
                <wp:wrapNone/>
                <wp:docPr id="71" name="矩形 71"/>
                <wp:cNvGraphicFramePr/>
                <a:graphic xmlns:a="http://schemas.openxmlformats.org/drawingml/2006/main">
                  <a:graphicData uri="http://schemas.microsoft.com/office/word/2010/wordprocessingShape">
                    <wps:wsp>
                      <wps:cNvSpPr/>
                      <wps:spPr>
                        <a:xfrm>
                          <a:off x="2906395" y="2176780"/>
                          <a:ext cx="2499995" cy="167386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left"/>
                            </w:pPr>
                            <w:r>
                              <w:rPr>
                                <w:rFonts w:hint="eastAsia" w:eastAsia="宋体"/>
                                <w:lang w:eastAsia="zh-CN"/>
                              </w:rPr>
                              <w:drawing>
                                <wp:inline distT="0" distB="0" distL="114300" distR="114300">
                                  <wp:extent cx="2429510" cy="1459230"/>
                                  <wp:effectExtent l="0" t="0" r="8890" b="7620"/>
                                  <wp:docPr id="73" name="图片 73" descr="169139190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91391904397"/>
                                          <pic:cNvPicPr>
                                            <a:picLocks noChangeAspect="1"/>
                                          </pic:cNvPicPr>
                                        </pic:nvPicPr>
                                        <pic:blipFill>
                                          <a:blip r:embed="rId27"/>
                                          <a:stretch>
                                            <a:fillRect/>
                                          </a:stretch>
                                        </pic:blipFill>
                                        <pic:spPr>
                                          <a:xfrm>
                                            <a:off x="0" y="0"/>
                                            <a:ext cx="2429510" cy="1459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8pt;margin-top:72.6pt;height:131.8pt;width:196.85pt;z-index:251679744;v-text-anchor:middle;mso-width-relative:page;mso-height-relative:page;" fillcolor="#FFFFFF [3212]" filled="t" stroked="t" coordsize="21600,21600" o:gfxdata="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UNb+doAAAALAQAADwAAAAAAAAABACAAAAAiAAAA&#10;ZHJzL2Rvd25yZXYueG1sUEsBAhQAFAAAAAgAh07iQIRiDzx3AgAA9wQAAA4AAAAAAAAAAQAgAAAA&#10;KQEAAGRycy9lMm9Eb2MueG1sUEsFBgAAAAAGAAYAWQEAABIGAAAAAA==&#10;">
                <v:fill on="t" focussize="0,0"/>
                <v:stroke weight="2pt" color="#000000 [3213]" joinstyle="round"/>
                <v:imagedata o:title=""/>
                <o:lock v:ext="edit" aspectratio="f"/>
                <v:textbox>
                  <w:txbxContent>
                    <w:p>
                      <w:pPr>
                        <w:jc w:val="left"/>
                      </w:pPr>
                      <w:r>
                        <w:rPr>
                          <w:rFonts w:hint="eastAsia" w:eastAsia="宋体"/>
                          <w:lang w:eastAsia="zh-CN"/>
                        </w:rPr>
                        <w:drawing>
                          <wp:inline distT="0" distB="0" distL="114300" distR="114300">
                            <wp:extent cx="2429510" cy="1459230"/>
                            <wp:effectExtent l="0" t="0" r="8890" b="7620"/>
                            <wp:docPr id="73" name="图片 73" descr="169139190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91391904397"/>
                                    <pic:cNvPicPr>
                                      <a:picLocks noChangeAspect="1"/>
                                    </pic:cNvPicPr>
                                  </pic:nvPicPr>
                                  <pic:blipFill>
                                    <a:blip r:embed="rId27"/>
                                    <a:stretch>
                                      <a:fillRect/>
                                    </a:stretch>
                                  </pic:blipFill>
                                  <pic:spPr>
                                    <a:xfrm>
                                      <a:off x="0" y="0"/>
                                      <a:ext cx="2429510" cy="1459230"/>
                                    </a:xfrm>
                                    <a:prstGeom prst="rect">
                                      <a:avLst/>
                                    </a:prstGeom>
                                  </pic:spPr>
                                </pic:pic>
                              </a:graphicData>
                            </a:graphic>
                          </wp:inline>
                        </w:drawing>
                      </w:r>
                    </w:p>
                  </w:txbxContent>
                </v:textbox>
              </v:rect>
            </w:pict>
          </mc:Fallback>
        </mc:AlternateContent>
      </w:r>
      <w:r>
        <w:rPr>
          <w:rFonts w:hint="eastAsia"/>
          <w:lang w:val="en-US" w:eastAsia="zh-CN"/>
        </w:rPr>
        <w:drawing>
          <wp:inline distT="0" distB="0" distL="114300" distR="114300">
            <wp:extent cx="5615940" cy="6364605"/>
            <wp:effectExtent l="9525" t="9525" r="13335" b="26670"/>
            <wp:docPr id="58" name="图片 58" descr="1652151662661662-165215166267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652151662661662-1652151662679058"/>
                    <pic:cNvPicPr>
                      <a:picLocks noChangeAspect="1"/>
                    </pic:cNvPicPr>
                  </pic:nvPicPr>
                  <pic:blipFill>
                    <a:blip r:embed="rId28"/>
                    <a:stretch>
                      <a:fillRect/>
                    </a:stretch>
                  </pic:blipFill>
                  <pic:spPr>
                    <a:xfrm>
                      <a:off x="0" y="0"/>
                      <a:ext cx="5615940" cy="6364605"/>
                    </a:xfrm>
                    <a:prstGeom prst="rect">
                      <a:avLst/>
                    </a:prstGeom>
                    <a:ln>
                      <a:solidFill>
                        <a:srgbClr val="FF0000"/>
                      </a:solidFill>
                    </a:ln>
                  </pic:spPr>
                </pic:pic>
              </a:graphicData>
            </a:graphic>
          </wp:inline>
        </w:drawing>
      </w:r>
    </w:p>
    <w:p>
      <w:pPr>
        <w:rPr>
          <w:rFonts w:hint="eastAsia"/>
          <w:lang w:val="en-US" w:eastAsia="zh-CN"/>
        </w:rPr>
      </w:pPr>
    </w:p>
    <w:p>
      <w:pPr>
        <w:jc w:val="center"/>
        <w:rPr>
          <w:rFonts w:hint="eastAsia"/>
          <w:b/>
          <w:bCs/>
          <w:sz w:val="28"/>
          <w:szCs w:val="28"/>
          <w:lang w:val="en-US" w:eastAsia="zh-CN"/>
        </w:rPr>
        <w:sectPr>
          <w:pgSz w:w="11906" w:h="16838"/>
          <w:pgMar w:top="1701" w:right="1531" w:bottom="1701" w:left="1531" w:header="851" w:footer="1134" w:gutter="0"/>
          <w:pgBorders>
            <w:top w:val="none" w:sz="0" w:space="0"/>
            <w:left w:val="none" w:sz="0" w:space="0"/>
            <w:bottom w:val="none" w:sz="0" w:space="0"/>
            <w:right w:val="none" w:sz="0" w:space="0"/>
          </w:pgBorders>
          <w:pgNumType w:fmt="decimal"/>
          <w:cols w:space="0" w:num="1"/>
          <w:rtlGutter w:val="0"/>
          <w:docGrid w:linePitch="312" w:charSpace="0"/>
        </w:sectPr>
      </w:pPr>
      <w:r>
        <w:rPr>
          <w:rFonts w:hint="default" w:ascii="Times New Roman" w:hAnsi="Times New Roman" w:eastAsia="宋体" w:cs="Times New Roman"/>
          <w:b/>
          <w:bCs/>
          <w:sz w:val="28"/>
          <w:szCs w:val="28"/>
          <w:lang w:val="en-US" w:eastAsia="zh-CN"/>
        </w:rPr>
        <w:t>附图</w:t>
      </w:r>
      <w:r>
        <w:rPr>
          <w:rFonts w:hint="eastAsia" w:eastAsia="宋体" w:cs="Times New Roman"/>
          <w:b/>
          <w:bCs/>
          <w:sz w:val="28"/>
          <w:szCs w:val="28"/>
          <w:lang w:val="en-US" w:eastAsia="zh-CN"/>
        </w:rPr>
        <w:t>4</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 xml:space="preserve"> 新乡</w:t>
      </w:r>
      <w:r>
        <w:rPr>
          <w:rFonts w:hint="eastAsia" w:ascii="Times New Roman" w:hAnsi="Times New Roman" w:eastAsia="宋体" w:cs="Times New Roman"/>
          <w:b/>
          <w:bCs/>
          <w:sz w:val="28"/>
          <w:szCs w:val="28"/>
          <w:lang w:val="en-US" w:eastAsia="zh-CN"/>
        </w:rPr>
        <w:t>县土地利用总体规划图</w:t>
      </w:r>
    </w:p>
    <w:p>
      <w:pPr>
        <w:jc w:val="center"/>
        <w:rPr>
          <w:rFonts w:hint="default"/>
          <w:lang w:val="en-US"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1890395</wp:posOffset>
                </wp:positionH>
                <wp:positionV relativeFrom="paragraph">
                  <wp:posOffset>1875790</wp:posOffset>
                </wp:positionV>
                <wp:extent cx="1220470" cy="814070"/>
                <wp:effectExtent l="12700" t="12700" r="24130" b="125730"/>
                <wp:wrapNone/>
                <wp:docPr id="33" name="椭圆形标注 33"/>
                <wp:cNvGraphicFramePr/>
                <a:graphic xmlns:a="http://schemas.openxmlformats.org/drawingml/2006/main">
                  <a:graphicData uri="http://schemas.microsoft.com/office/word/2010/wordprocessingShape">
                    <wps:wsp>
                      <wps:cNvSpPr/>
                      <wps:spPr>
                        <a:xfrm>
                          <a:off x="3999865" y="5445760"/>
                          <a:ext cx="1220470" cy="81407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sz w:val="32"/>
                                <w:szCs w:val="32"/>
                                <w:lang w:val="en-US" w:eastAsia="zh-CN"/>
                              </w:rPr>
                            </w:pPr>
                            <w:r>
                              <w:rPr>
                                <w:rFonts w:hint="eastAsia"/>
                                <w:sz w:val="32"/>
                                <w:szCs w:val="32"/>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3" type="#_x0000_t63" style="position:absolute;left:0pt;margin-left:148.85pt;margin-top:147.7pt;height:64.1pt;width:96.1pt;z-index:251669504;v-text-anchor:middle;mso-width-relative:page;mso-height-relative:page;" fillcolor="#4F81BD [3204]" filled="t" stroked="t" coordsize="21600,21600" o:gfxdata="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t1z7O2QAAAAsBAAAPAAAAAAAAAAEAIAAAACIAAABkcnMvZG93bnJl&#10;di54bWxQSwECFAAUAAAACACHTuJAA6EHxKcCAAAvBQAADgAAAAAAAAABACAAAAAoAQAAZHJzL2Uy&#10;b0RvYy54bWxQSwUGAAAAAAYABgBZAQAAQQYAAAAA&#10;" adj="6300,24300">
                <v:fill on="t" focussize="0,0"/>
                <v:stroke weight="2pt" color="#385D8A [3204]" joinstyle="round"/>
                <v:imagedata o:title=""/>
                <o:lock v:ext="edit" aspectratio="f"/>
                <v:textbox>
                  <w:txbxContent>
                    <w:p>
                      <w:pPr>
                        <w:jc w:val="center"/>
                        <w:rPr>
                          <w:rFonts w:hint="eastAsia" w:eastAsia="宋体"/>
                          <w:sz w:val="32"/>
                          <w:szCs w:val="32"/>
                          <w:lang w:val="en-US" w:eastAsia="zh-CN"/>
                        </w:rPr>
                      </w:pPr>
                      <w:r>
                        <w:rPr>
                          <w:rFonts w:hint="eastAsia"/>
                          <w:sz w:val="32"/>
                          <w:szCs w:val="32"/>
                          <w:lang w:val="en-US" w:eastAsia="zh-CN"/>
                        </w:rPr>
                        <w:t>本项目</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2177415</wp:posOffset>
                </wp:positionH>
                <wp:positionV relativeFrom="paragraph">
                  <wp:posOffset>2785745</wp:posOffset>
                </wp:positionV>
                <wp:extent cx="85090" cy="100965"/>
                <wp:effectExtent l="12700" t="12700" r="16510" b="19685"/>
                <wp:wrapNone/>
                <wp:docPr id="32" name="五角星 32"/>
                <wp:cNvGraphicFramePr/>
                <a:graphic xmlns:a="http://schemas.openxmlformats.org/drawingml/2006/main">
                  <a:graphicData uri="http://schemas.microsoft.com/office/word/2010/wordprocessingShape">
                    <wps:wsp>
                      <wps:cNvSpPr/>
                      <wps:spPr>
                        <a:xfrm>
                          <a:off x="3965575" y="6467475"/>
                          <a:ext cx="85090" cy="100965"/>
                        </a:xfrm>
                        <a:prstGeom prst="star5">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1.45pt;margin-top:219.35pt;height:7.95pt;width:6.7pt;z-index:251668480;v-text-anchor:middle;mso-width-relative:page;mso-height-relative:page;" fillcolor="#C00000" filled="t" stroked="t" coordsize="85090,100965" o:gfxdata="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9zArl3AAAAAsBAAAPAAAAAAAAAAEAIAAAACIAAABkcnMv&#10;ZG93bnJldi54bWxQSwECFAAUAAAACACHTuJAFfVWIXECAADtBAAADgAAAAAAAAABACAAAAArAQAA&#10;ZHJzL2Uyb0RvYy54bWxQSwUGAAAAAAYABgBZAQAADgYAAAAA&#10;" path="m0,38565l32501,38565,42545,0,52588,38565,85089,38565,58795,62399,68839,100964,42545,77129,16250,100964,26294,62399xe">
                <v:path o:connectlocs="42545,0;0,38565;16250,100964;68839,100964;85089,38565" o:connectangles="247,164,82,82,0"/>
                <v:fill on="t" focussize="0,0"/>
                <v:stroke weight="2pt" color="#C00000 [3204]" joinstyle="round"/>
                <v:imagedata o:title=""/>
                <o:lock v:ext="edit" aspectratio="f"/>
              </v:shape>
            </w:pict>
          </mc:Fallback>
        </mc:AlternateContent>
      </w:r>
      <w:r>
        <w:rPr>
          <w:rFonts w:hint="default"/>
          <w:lang w:val="en-US" w:eastAsia="zh-CN"/>
        </w:rPr>
        <w:drawing>
          <wp:inline distT="0" distB="0" distL="114300" distR="114300">
            <wp:extent cx="7795895" cy="5318760"/>
            <wp:effectExtent l="0" t="0" r="14605" b="15240"/>
            <wp:docPr id="31" name="图片 31" descr="新乡市生态保护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新乡市生态保护红线图"/>
                    <pic:cNvPicPr>
                      <a:picLocks noChangeAspect="1"/>
                    </pic:cNvPicPr>
                  </pic:nvPicPr>
                  <pic:blipFill>
                    <a:blip r:embed="rId29"/>
                    <a:stretch>
                      <a:fillRect/>
                    </a:stretch>
                  </pic:blipFill>
                  <pic:spPr>
                    <a:xfrm>
                      <a:off x="0" y="0"/>
                      <a:ext cx="7795895" cy="5318760"/>
                    </a:xfrm>
                    <a:prstGeom prst="rect">
                      <a:avLst/>
                    </a:prstGeom>
                  </pic:spPr>
                </pic:pic>
              </a:graphicData>
            </a:graphic>
          </wp:inline>
        </w:drawing>
      </w:r>
    </w:p>
    <w:p>
      <w:pPr>
        <w:pStyle w:val="2"/>
        <w:spacing w:before="0" w:after="0" w:line="240" w:lineRule="auto"/>
        <w:ind w:left="0" w:firstLine="0"/>
        <w:jc w:val="center"/>
        <w:rPr>
          <w:rFonts w:hint="default"/>
          <w:lang w:val="en-US" w:eastAsia="zh-CN"/>
        </w:rPr>
        <w:sectPr>
          <w:pgSz w:w="16838" w:h="11906" w:orient="landscape"/>
          <w:pgMar w:top="1531" w:right="1701" w:bottom="1531" w:left="1701" w:header="851" w:footer="1134" w:gutter="0"/>
          <w:pgBorders>
            <w:top w:val="none" w:sz="0" w:space="0"/>
            <w:left w:val="none" w:sz="0" w:space="0"/>
            <w:bottom w:val="none" w:sz="0" w:space="0"/>
            <w:right w:val="none" w:sz="0" w:space="0"/>
          </w:pgBorders>
          <w:pgNumType w:fmt="decimal"/>
          <w:cols w:space="0" w:num="1"/>
          <w:rtlGutter w:val="0"/>
          <w:docGrid w:linePitch="312" w:charSpace="0"/>
        </w:sectPr>
      </w:pPr>
      <w:r>
        <w:rPr>
          <w:rFonts w:hint="default" w:ascii="Times New Roman" w:hAnsi="Times New Roman" w:eastAsia="宋体" w:cs="Times New Roman"/>
          <w:sz w:val="28"/>
          <w:szCs w:val="28"/>
          <w:lang w:val="en-US" w:eastAsia="zh-CN"/>
        </w:rPr>
        <w:t>附图</w:t>
      </w:r>
      <w:r>
        <w:rPr>
          <w:rFonts w:hint="eastAsia" w:eastAsia="宋体" w:cs="Times New Roman"/>
          <w:sz w:val="28"/>
          <w:szCs w:val="28"/>
          <w:lang w:val="en-US" w:eastAsia="zh-CN"/>
        </w:rPr>
        <w:t>5</w:t>
      </w:r>
      <w:r>
        <w:rPr>
          <w:rFonts w:hint="eastAsia" w:ascii="Times New Roman" w:hAnsi="Times New Roman" w:eastAsia="宋体" w:cs="Times New Roman"/>
          <w:sz w:val="28"/>
          <w:szCs w:val="28"/>
          <w:lang w:val="en-US" w:eastAsia="zh-CN"/>
        </w:rPr>
        <w:t xml:space="preserve"> </w:t>
      </w:r>
      <w:r>
        <w:rPr>
          <w:rFonts w:hint="default" w:ascii="Times New Roman" w:hAnsi="Times New Roman" w:eastAsia="宋体" w:cs="Times New Roman"/>
          <w:sz w:val="28"/>
          <w:szCs w:val="28"/>
          <w:lang w:val="en-US" w:eastAsia="zh-CN"/>
        </w:rPr>
        <w:t xml:space="preserve"> 新乡市生态保护红</w:t>
      </w:r>
      <w:r>
        <w:rPr>
          <w:rFonts w:hint="eastAsia" w:ascii="Times New Roman" w:hAnsi="Times New Roman" w:eastAsia="宋体" w:cs="Times New Roman"/>
          <w:sz w:val="28"/>
          <w:szCs w:val="28"/>
          <w:lang w:val="en-US" w:eastAsia="zh-CN"/>
        </w:rPr>
        <w:t>线图</w:t>
      </w:r>
    </w:p>
    <w:p>
      <w:pPr>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32"/>
          <w:szCs w:val="32"/>
          <w:lang w:val="en-US" w:eastAsia="zh-CN"/>
        </w:rPr>
        <w:drawing>
          <wp:inline distT="0" distB="0" distL="114300" distR="114300">
            <wp:extent cx="5568315" cy="4635500"/>
            <wp:effectExtent l="0" t="0" r="13335" b="12700"/>
            <wp:docPr id="13" name="图片 13" descr="微信图片_2023060614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30606142404"/>
                    <pic:cNvPicPr>
                      <a:picLocks noChangeAspect="1"/>
                    </pic:cNvPicPr>
                  </pic:nvPicPr>
                  <pic:blipFill>
                    <a:blip r:embed="rId30"/>
                    <a:stretch>
                      <a:fillRect/>
                    </a:stretch>
                  </pic:blipFill>
                  <pic:spPr>
                    <a:xfrm>
                      <a:off x="0" y="0"/>
                      <a:ext cx="5568315" cy="4635500"/>
                    </a:xfrm>
                    <a:prstGeom prst="rect">
                      <a:avLst/>
                    </a:prstGeom>
                  </pic:spPr>
                </pic:pic>
              </a:graphicData>
            </a:graphic>
          </wp:inline>
        </w:drawing>
      </w:r>
    </w:p>
    <w:p>
      <w:pPr>
        <w:jc w:val="center"/>
        <w:rPr>
          <w:rFonts w:hint="eastAsia" w:cs="Times New Roman"/>
          <w:b/>
          <w:bCs/>
          <w:sz w:val="28"/>
          <w:szCs w:val="28"/>
          <w:lang w:val="en-US" w:eastAsia="zh-CN"/>
        </w:rPr>
      </w:pPr>
      <w:r>
        <w:rPr>
          <w:rFonts w:hint="eastAsia" w:cs="Times New Roman"/>
          <w:b/>
          <w:bCs/>
          <w:sz w:val="28"/>
          <w:szCs w:val="28"/>
          <w:lang w:val="en-US" w:eastAsia="zh-CN"/>
        </w:rPr>
        <w:t xml:space="preserve"> 附图6  项目周边敏感点示意图</w:t>
      </w:r>
    </w:p>
    <w:p>
      <w:pPr>
        <w:rPr>
          <w:rFonts w:hint="eastAsia" w:cs="Times New Roman"/>
          <w:b/>
          <w:bCs/>
          <w:sz w:val="32"/>
          <w:szCs w:val="32"/>
          <w:lang w:val="en-US" w:eastAsia="zh-CN"/>
        </w:rPr>
      </w:pPr>
      <w:r>
        <w:rPr>
          <w:rFonts w:hint="eastAsia" w:cs="Times New Roman"/>
          <w:b/>
          <w:bCs/>
          <w:sz w:val="32"/>
          <w:szCs w:val="32"/>
          <w:lang w:val="en-US" w:eastAsia="zh-CN"/>
        </w:rPr>
        <w:br w:type="page"/>
      </w:r>
    </w:p>
    <w:p>
      <w:pPr>
        <w:jc w:val="center"/>
        <w:rPr>
          <w:rFonts w:hint="eastAsia" w:cs="Times New Roman"/>
          <w:b/>
          <w:bCs/>
          <w:sz w:val="32"/>
          <w:szCs w:val="32"/>
          <w:lang w:val="en-US" w:eastAsia="zh-CN"/>
        </w:rPr>
      </w:pPr>
      <w:r>
        <w:rPr>
          <w:sz w:val="32"/>
        </w:rPr>
        <mc:AlternateContent>
          <mc:Choice Requires="wps">
            <w:drawing>
              <wp:anchor distT="0" distB="0" distL="114300" distR="114300" simplePos="0" relativeHeight="251673600" behindDoc="0" locked="0" layoutInCell="1" allowOverlap="1">
                <wp:simplePos x="0" y="0"/>
                <wp:positionH relativeFrom="column">
                  <wp:posOffset>719455</wp:posOffset>
                </wp:positionH>
                <wp:positionV relativeFrom="paragraph">
                  <wp:posOffset>3725545</wp:posOffset>
                </wp:positionV>
                <wp:extent cx="848995" cy="440690"/>
                <wp:effectExtent l="0" t="0" r="0" b="0"/>
                <wp:wrapNone/>
                <wp:docPr id="39" name="文本框 39"/>
                <wp:cNvGraphicFramePr/>
                <a:graphic xmlns:a="http://schemas.openxmlformats.org/drawingml/2006/main">
                  <a:graphicData uri="http://schemas.microsoft.com/office/word/2010/wordprocessingShape">
                    <wps:wsp>
                      <wps:cNvSpPr txBox="1"/>
                      <wps:spPr>
                        <a:xfrm>
                          <a:off x="1397000" y="4329430"/>
                          <a:ext cx="848995" cy="440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val="en-US" w:eastAsia="zh-CN"/>
                              </w:rPr>
                            </w:pPr>
                            <w:r>
                              <w:rPr>
                                <w:rFonts w:hint="eastAsia"/>
                                <w:b/>
                                <w:bCs/>
                                <w:sz w:val="28"/>
                                <w:szCs w:val="28"/>
                                <w:lang w:val="en-US" w:eastAsia="zh-CN"/>
                              </w:rPr>
                              <w:t>胡韦线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65pt;margin-top:293.35pt;height:34.7pt;width:66.85pt;z-index:251673600;mso-width-relative:page;mso-height-relative:page;" filled="f" stroked="f" coordsize="21600,21600" o:gfxdata="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R9u1vbAAAACwEAAA8AAAAAAAAA&#10;AQAgAAAAIgAAAGRycy9kb3ducmV2LnhtbFBLAQIUABQAAAAIAIdO4kA/1CayRwIAAHMEAAAOAAAA&#10;AAAAAAEAIAAAACoBAABkcnMvZTJvRG9jLnhtbFBLBQYAAAAABgAGAFkBAADjBQAAAAA=&#10;">
                <v:fill on="f" focussize="0,0"/>
                <v:stroke on="f" weight="0.5pt"/>
                <v:imagedata o:title=""/>
                <o:lock v:ext="edit" aspectratio="f"/>
                <v:textbox>
                  <w:txbxContent>
                    <w:p>
                      <w:pPr>
                        <w:rPr>
                          <w:rFonts w:hint="eastAsia" w:eastAsia="宋体"/>
                          <w:b/>
                          <w:bCs/>
                          <w:sz w:val="28"/>
                          <w:szCs w:val="28"/>
                          <w:lang w:val="en-US" w:eastAsia="zh-CN"/>
                        </w:rPr>
                      </w:pPr>
                      <w:r>
                        <w:rPr>
                          <w:rFonts w:hint="eastAsia"/>
                          <w:b/>
                          <w:bCs/>
                          <w:sz w:val="28"/>
                          <w:szCs w:val="28"/>
                          <w:lang w:val="en-US" w:eastAsia="zh-CN"/>
                        </w:rPr>
                        <w:t>胡韦线</w:t>
                      </w:r>
                    </w:p>
                  </w:txbxContent>
                </v:textbox>
              </v:shape>
            </w:pict>
          </mc:Fallback>
        </mc:AlternateContent>
      </w:r>
      <w:r>
        <w:rPr>
          <w:sz w:val="32"/>
        </w:rPr>
        <mc:AlternateContent>
          <mc:Choice Requires="wps">
            <w:drawing>
              <wp:anchor distT="0" distB="0" distL="114300" distR="114300" simplePos="0" relativeHeight="251672576" behindDoc="0" locked="0" layoutInCell="1" allowOverlap="1">
                <wp:simplePos x="0" y="0"/>
                <wp:positionH relativeFrom="column">
                  <wp:posOffset>2598420</wp:posOffset>
                </wp:positionH>
                <wp:positionV relativeFrom="paragraph">
                  <wp:posOffset>4931410</wp:posOffset>
                </wp:positionV>
                <wp:extent cx="787400" cy="346075"/>
                <wp:effectExtent l="0" t="0" r="12700" b="15875"/>
                <wp:wrapNone/>
                <wp:docPr id="37" name="文本框 37"/>
                <wp:cNvGraphicFramePr/>
                <a:graphic xmlns:a="http://schemas.openxmlformats.org/drawingml/2006/main">
                  <a:graphicData uri="http://schemas.microsoft.com/office/word/2010/wordprocessingShape">
                    <wps:wsp>
                      <wps:cNvSpPr txBox="1"/>
                      <wps:spPr>
                        <a:xfrm>
                          <a:off x="2315210" y="5414010"/>
                          <a:ext cx="787400" cy="3460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auto"/>
                                <w:sz w:val="28"/>
                                <w:szCs w:val="28"/>
                                <w:lang w:val="en-US" w:eastAsia="zh-CN"/>
                              </w:rPr>
                            </w:pPr>
                            <w:r>
                              <w:rPr>
                                <w:rFonts w:hint="eastAsia"/>
                                <w:b/>
                                <w:bCs/>
                                <w:color w:val="auto"/>
                                <w:sz w:val="28"/>
                                <w:szCs w:val="28"/>
                                <w:lang w:val="en-US" w:eastAsia="zh-CN"/>
                              </w:rPr>
                              <w:t>新王线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6pt;margin-top:388.3pt;height:27.25pt;width:62pt;z-index:251672576;mso-width-relative:page;mso-height-relative:page;" filled="f" stroked="f" coordsize="21600,21600" o:gfxdata="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Pw9tLdAAAACwEAAA8AAAAA&#10;AAAAAQAgAAAAIgAAAGRycy9kb3ducmV2LnhtbFBLAQIUABQAAAAIAIdO4kA0hKKqSAIAAHMEAAAO&#10;AAAAAAAAAAEAIAAAACwBAABkcnMvZTJvRG9jLnhtbFBLBQYAAAAABgAGAFkBAADmBQAAAAA=&#10;">
                <v:fill on="f" focussize="0,0"/>
                <v:stroke on="f" weight="0.5pt"/>
                <v:imagedata o:title=""/>
                <o:lock v:ext="edit" aspectratio="f"/>
                <v:textbox>
                  <w:txbxContent>
                    <w:p>
                      <w:pPr>
                        <w:rPr>
                          <w:rFonts w:hint="eastAsia" w:eastAsia="宋体"/>
                          <w:b/>
                          <w:bCs/>
                          <w:color w:val="auto"/>
                          <w:sz w:val="28"/>
                          <w:szCs w:val="28"/>
                          <w:lang w:val="en-US" w:eastAsia="zh-CN"/>
                        </w:rPr>
                      </w:pPr>
                      <w:r>
                        <w:rPr>
                          <w:rFonts w:hint="eastAsia"/>
                          <w:b/>
                          <w:bCs/>
                          <w:color w:val="auto"/>
                          <w:sz w:val="28"/>
                          <w:szCs w:val="28"/>
                          <w:lang w:val="en-US" w:eastAsia="zh-CN"/>
                        </w:rPr>
                        <w:t>新王线</w:t>
                      </w:r>
                    </w:p>
                  </w:txbxContent>
                </v:textbox>
              </v:shape>
            </w:pict>
          </mc:Fallback>
        </mc:AlternateContent>
      </w:r>
      <w:r>
        <w:rPr>
          <w:rFonts w:hint="eastAsia" w:cs="Times New Roman"/>
          <w:b/>
          <w:bCs/>
          <w:sz w:val="32"/>
          <w:szCs w:val="32"/>
          <w:lang w:val="en-US" w:eastAsia="zh-CN"/>
        </w:rPr>
        <w:drawing>
          <wp:inline distT="0" distB="0" distL="114300" distR="114300">
            <wp:extent cx="5744210" cy="5213985"/>
            <wp:effectExtent l="0" t="0" r="8890" b="5715"/>
            <wp:docPr id="14" name="图片 14" descr="微信图片_202306061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30606144151"/>
                    <pic:cNvPicPr>
                      <a:picLocks noChangeAspect="1"/>
                    </pic:cNvPicPr>
                  </pic:nvPicPr>
                  <pic:blipFill>
                    <a:blip r:embed="rId31"/>
                    <a:stretch>
                      <a:fillRect/>
                    </a:stretch>
                  </pic:blipFill>
                  <pic:spPr>
                    <a:xfrm>
                      <a:off x="0" y="0"/>
                      <a:ext cx="5744210" cy="5213985"/>
                    </a:xfrm>
                    <a:prstGeom prst="rect">
                      <a:avLst/>
                    </a:prstGeom>
                  </pic:spPr>
                </pic:pic>
              </a:graphicData>
            </a:graphic>
          </wp:inline>
        </w:drawing>
      </w:r>
      <w:r>
        <w:rPr>
          <w:sz w:val="32"/>
        </w:rPr>
        <mc:AlternateContent>
          <mc:Choice Requires="wps">
            <w:drawing>
              <wp:anchor distT="0" distB="0" distL="114300" distR="114300" simplePos="0" relativeHeight="251671552" behindDoc="0" locked="0" layoutInCell="1" allowOverlap="1">
                <wp:simplePos x="0" y="0"/>
                <wp:positionH relativeFrom="column">
                  <wp:posOffset>5420995</wp:posOffset>
                </wp:positionH>
                <wp:positionV relativeFrom="paragraph">
                  <wp:posOffset>822960</wp:posOffset>
                </wp:positionV>
                <wp:extent cx="588645" cy="320675"/>
                <wp:effectExtent l="0" t="0" r="0" b="0"/>
                <wp:wrapNone/>
                <wp:docPr id="36" name="文本框 36"/>
                <wp:cNvGraphicFramePr/>
                <a:graphic xmlns:a="http://schemas.openxmlformats.org/drawingml/2006/main">
                  <a:graphicData uri="http://schemas.microsoft.com/office/word/2010/wordprocessingShape">
                    <wps:wsp>
                      <wps:cNvSpPr txBox="1"/>
                      <wps:spPr>
                        <a:xfrm>
                          <a:off x="6090285" y="2249805"/>
                          <a:ext cx="588645" cy="320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val="en-US" w:eastAsia="zh-CN"/>
                              </w:rPr>
                            </w:pPr>
                            <w:r>
                              <w:rPr>
                                <w:rFonts w:hint="eastAsia"/>
                                <w:b/>
                                <w:bCs/>
                                <w:sz w:val="28"/>
                                <w:szCs w:val="28"/>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85pt;margin-top:64.8pt;height:25.25pt;width:46.35pt;z-index:251671552;mso-width-relative:page;mso-height-relative:page;" filled="f" stroked="f" coordsize="21600,21600" o:gfxdata="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qiPma3AAAAAsBAAAPAAAA&#10;AAAAAAEAIAAAACIAAABkcnMvZG93bnJldi54bWxQSwECFAAUAAAACACHTuJApK+9U0oCAABzBAAA&#10;DgAAAAAAAAABACAAAAArAQAAZHJzL2Uyb0RvYy54bWxQSwUGAAAAAAYABgBZAQAA5wUAAAAA&#10;">
                <v:fill on="f" focussize="0,0"/>
                <v:stroke on="f" weight="0.5pt"/>
                <v:imagedata o:title=""/>
                <o:lock v:ext="edit" aspectratio="f"/>
                <v:textbox>
                  <w:txbxContent>
                    <w:p>
                      <w:pPr>
                        <w:rPr>
                          <w:rFonts w:hint="eastAsia" w:eastAsia="宋体"/>
                          <w:b/>
                          <w:bCs/>
                          <w:sz w:val="28"/>
                          <w:szCs w:val="28"/>
                          <w:lang w:val="en-US" w:eastAsia="zh-CN"/>
                        </w:rPr>
                      </w:pPr>
                      <w:r>
                        <w:rPr>
                          <w:rFonts w:hint="eastAsia"/>
                          <w:b/>
                          <w:bCs/>
                          <w:sz w:val="28"/>
                          <w:szCs w:val="28"/>
                          <w:lang w:val="en-US" w:eastAsia="zh-CN"/>
                        </w:rPr>
                        <w:t>北</w:t>
                      </w:r>
                    </w:p>
                  </w:txbxContent>
                </v:textbox>
              </v:shape>
            </w:pict>
          </mc:Fallback>
        </mc:AlternateContent>
      </w:r>
      <w:r>
        <w:rPr>
          <w:sz w:val="32"/>
        </w:rPr>
        <mc:AlternateContent>
          <mc:Choice Requires="wps">
            <w:drawing>
              <wp:anchor distT="0" distB="0" distL="114300" distR="114300" simplePos="0" relativeHeight="251670528" behindDoc="0" locked="0" layoutInCell="1" allowOverlap="1">
                <wp:simplePos x="0" y="0"/>
                <wp:positionH relativeFrom="column">
                  <wp:posOffset>5118100</wp:posOffset>
                </wp:positionH>
                <wp:positionV relativeFrom="paragraph">
                  <wp:posOffset>269240</wp:posOffset>
                </wp:positionV>
                <wp:extent cx="545465" cy="909320"/>
                <wp:effectExtent l="12700" t="12700" r="13335" b="30480"/>
                <wp:wrapNone/>
                <wp:docPr id="35" name="上箭头 35"/>
                <wp:cNvGraphicFramePr/>
                <a:graphic xmlns:a="http://schemas.openxmlformats.org/drawingml/2006/main">
                  <a:graphicData uri="http://schemas.microsoft.com/office/word/2010/wordprocessingShape">
                    <wps:wsp>
                      <wps:cNvSpPr/>
                      <wps:spPr>
                        <a:xfrm>
                          <a:off x="6090285" y="1349375"/>
                          <a:ext cx="545465" cy="9093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403pt;margin-top:21.2pt;height:71.6pt;width:42.95pt;z-index:251670528;v-text-anchor:middle;mso-width-relative:page;mso-height-relative:page;" fillcolor="#4F81BD [3204]" filled="t" stroked="t" coordsize="21600,21600" o:gfxdata="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gEuKn1gAAAAoB&#10;AAAPAAAAAAAAAAEAIAAAACIAAABkcnMvZG93bnJldi54bWxQSwECFAAUAAAACACHTuJASPSF0o8C&#10;AAARBQAADgAAAAAAAAABACAAAAAlAQAAZHJzL2Uyb0RvYy54bWxQSwUGAAAAAAYABgBZAQAAJgYA&#10;AAAA&#10;" adj="6478,5400">
                <v:fill on="t" focussize="0,0"/>
                <v:stroke weight="2pt" color="#385D8A [3204]" joinstyle="round"/>
                <v:imagedata o:title=""/>
                <o:lock v:ext="edit" aspectratio="f"/>
              </v:shape>
            </w:pict>
          </mc:Fallback>
        </mc:AlternateContent>
      </w:r>
    </w:p>
    <w:p>
      <w:pPr>
        <w:jc w:val="center"/>
        <w:rPr>
          <w:rFonts w:hint="default" w:cs="Times New Roman"/>
          <w:b/>
          <w:bCs/>
          <w:sz w:val="32"/>
          <w:szCs w:val="32"/>
          <w:lang w:val="en-US" w:eastAsia="zh-CN"/>
        </w:rPr>
      </w:pPr>
      <w:r>
        <w:rPr>
          <w:rFonts w:hint="eastAsia" w:cs="Times New Roman"/>
          <w:b/>
          <w:bCs/>
          <w:sz w:val="28"/>
          <w:szCs w:val="28"/>
          <w:lang w:val="en-US" w:eastAsia="zh-CN"/>
        </w:rPr>
        <w:t>附图7  企业周边环境示意图</w:t>
      </w:r>
      <w:r>
        <w:rPr>
          <w:rFonts w:hint="eastAsia" w:cs="Times New Roman"/>
          <w:b/>
          <w:bCs/>
          <w:sz w:val="32"/>
          <w:szCs w:val="32"/>
          <w:lang w:val="en-US" w:eastAsia="zh-CN"/>
        </w:rPr>
        <w:br w:type="page"/>
      </w:r>
      <w:r>
        <w:rPr>
          <w:rFonts w:hint="eastAsia" w:cs="Times New Roman"/>
          <w:b/>
          <w:bCs/>
          <w:sz w:val="32"/>
          <w:szCs w:val="32"/>
          <w:lang w:val="en-US" w:eastAsia="zh-CN"/>
        </w:rPr>
        <w:t xml:space="preserve"> </w:t>
      </w:r>
    </w:p>
    <w:p>
      <w:pPr>
        <w:rPr>
          <w:rFonts w:hint="default" w:cs="Times New Roman"/>
          <w:b/>
          <w:bCs/>
          <w:sz w:val="32"/>
          <w:szCs w:val="32"/>
          <w:lang w:val="en-US" w:eastAsia="zh-CN"/>
        </w:rPr>
      </w:pPr>
      <w:r>
        <w:rPr>
          <w:rFonts w:hint="default" w:cs="Times New Roman"/>
          <w:b/>
          <w:bCs/>
          <w:sz w:val="32"/>
          <w:szCs w:val="32"/>
          <w:lang w:val="en-US" w:eastAsia="zh-CN"/>
        </w:rPr>
        <w:drawing>
          <wp:inline distT="0" distB="0" distL="114300" distR="114300">
            <wp:extent cx="5608320" cy="5608320"/>
            <wp:effectExtent l="0" t="0" r="11430" b="11430"/>
            <wp:docPr id="23" name="图片 23" descr="空厂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空厂房"/>
                    <pic:cNvPicPr>
                      <a:picLocks noChangeAspect="1"/>
                    </pic:cNvPicPr>
                  </pic:nvPicPr>
                  <pic:blipFill>
                    <a:blip r:embed="rId32"/>
                    <a:stretch>
                      <a:fillRect/>
                    </a:stretch>
                  </pic:blipFill>
                  <pic:spPr>
                    <a:xfrm>
                      <a:off x="0" y="0"/>
                      <a:ext cx="5608320" cy="5608320"/>
                    </a:xfrm>
                    <a:prstGeom prst="rect">
                      <a:avLst/>
                    </a:prstGeom>
                  </pic:spPr>
                </pic:pic>
              </a:graphicData>
            </a:graphic>
          </wp:inline>
        </w:drawing>
      </w:r>
    </w:p>
    <w:p>
      <w:pPr>
        <w:jc w:val="center"/>
        <w:rPr>
          <w:rFonts w:hint="eastAsia" w:cs="Times New Roman"/>
          <w:b/>
          <w:bCs/>
          <w:sz w:val="28"/>
          <w:szCs w:val="28"/>
          <w:lang w:val="en-US" w:eastAsia="zh-CN"/>
        </w:rPr>
      </w:pPr>
      <w:r>
        <w:rPr>
          <w:rFonts w:hint="eastAsia" w:cs="Times New Roman"/>
          <w:b/>
          <w:bCs/>
          <w:sz w:val="28"/>
          <w:szCs w:val="28"/>
          <w:lang w:val="en-US" w:eastAsia="zh-CN"/>
        </w:rPr>
        <w:t>附图8  本项目车间现状照片</w:t>
      </w:r>
    </w:p>
    <w:p>
      <w:pPr>
        <w:rPr>
          <w:rFonts w:hint="eastAsia"/>
          <w:lang w:val="en-US" w:eastAsia="zh-CN"/>
        </w:rPr>
      </w:pPr>
      <w:r>
        <w:rPr>
          <w:rFonts w:hint="eastAsia" w:cs="Times New Roman"/>
          <w:b/>
          <w:bCs/>
          <w:sz w:val="32"/>
          <w:szCs w:val="32"/>
          <w:lang w:val="en-US" w:eastAsia="zh-CN"/>
        </w:rPr>
        <w:br w:type="page"/>
      </w:r>
    </w:p>
    <w:p>
      <w:pPr>
        <w:jc w:val="right"/>
        <w:rPr>
          <w:rFonts w:hint="eastAsia"/>
          <w:sz w:val="28"/>
          <w:szCs w:val="28"/>
          <w:lang w:eastAsia="zh-CN"/>
        </w:rPr>
      </w:pPr>
      <w:r>
        <w:rPr>
          <w:rFonts w:hint="eastAsia" w:cs="Times New Roman"/>
          <w:b/>
          <w:bCs/>
          <w:sz w:val="28"/>
          <w:szCs w:val="28"/>
          <w:lang w:val="en-US" w:eastAsia="zh-CN"/>
        </w:rPr>
        <w:t>附件1</w:t>
      </w:r>
    </w:p>
    <w:p>
      <w:pPr>
        <w:jc w:val="center"/>
        <w:rPr>
          <w:rFonts w:hint="eastAsia"/>
          <w:lang w:eastAsia="zh-CN"/>
        </w:rPr>
      </w:pPr>
      <w:r>
        <w:rPr>
          <w:rFonts w:hint="eastAsia"/>
          <w:lang w:eastAsia="zh-CN"/>
        </w:rPr>
        <w:drawing>
          <wp:inline distT="0" distB="0" distL="114300" distR="114300">
            <wp:extent cx="5090795" cy="8274685"/>
            <wp:effectExtent l="0" t="0" r="14605" b="12065"/>
            <wp:docPr id="26" name="图片 26" descr="永丰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永丰备案"/>
                    <pic:cNvPicPr>
                      <a:picLocks noChangeAspect="1"/>
                    </pic:cNvPicPr>
                  </pic:nvPicPr>
                  <pic:blipFill>
                    <a:blip r:embed="rId33"/>
                    <a:stretch>
                      <a:fillRect/>
                    </a:stretch>
                  </pic:blipFill>
                  <pic:spPr>
                    <a:xfrm>
                      <a:off x="0" y="0"/>
                      <a:ext cx="5090795" cy="8274685"/>
                    </a:xfrm>
                    <a:prstGeom prst="rect">
                      <a:avLst/>
                    </a:prstGeom>
                  </pic:spPr>
                </pic:pic>
              </a:graphicData>
            </a:graphic>
          </wp:inline>
        </w:drawing>
      </w:r>
    </w:p>
    <w:p>
      <w:pPr>
        <w:pStyle w:val="21"/>
        <w:ind w:left="0" w:leftChars="0" w:firstLine="0" w:firstLineChars="0"/>
        <w:jc w:val="right"/>
        <w:rPr>
          <w:rFonts w:hint="default"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附件2</w:t>
      </w:r>
    </w:p>
    <w:p>
      <w:pPr>
        <w:jc w:val="center"/>
        <w:rPr>
          <w:rFonts w:hint="eastAsia"/>
          <w:lang w:eastAsia="zh-CN"/>
        </w:rPr>
      </w:pPr>
      <w:r>
        <w:rPr>
          <w:rFonts w:hint="eastAsia"/>
          <w:lang w:eastAsia="zh-CN"/>
        </w:rPr>
        <w:drawing>
          <wp:inline distT="0" distB="0" distL="114300" distR="114300">
            <wp:extent cx="4959985" cy="8161020"/>
            <wp:effectExtent l="0" t="0" r="12065" b="11430"/>
            <wp:docPr id="17" name="图片 17" descr="永丰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永丰委托书"/>
                    <pic:cNvPicPr>
                      <a:picLocks noChangeAspect="1"/>
                    </pic:cNvPicPr>
                  </pic:nvPicPr>
                  <pic:blipFill>
                    <a:blip r:embed="rId34"/>
                    <a:stretch>
                      <a:fillRect/>
                    </a:stretch>
                  </pic:blipFill>
                  <pic:spPr>
                    <a:xfrm>
                      <a:off x="0" y="0"/>
                      <a:ext cx="4959985" cy="8161020"/>
                    </a:xfrm>
                    <a:prstGeom prst="rect">
                      <a:avLst/>
                    </a:prstGeom>
                  </pic:spPr>
                </pic:pic>
              </a:graphicData>
            </a:graphic>
          </wp:inline>
        </w:drawing>
      </w:r>
      <w:r>
        <w:rPr>
          <w:rFonts w:hint="eastAsia"/>
          <w:lang w:eastAsia="zh-CN"/>
        </w:rPr>
        <w:br w:type="page"/>
      </w:r>
    </w:p>
    <w:p>
      <w:pPr>
        <w:pStyle w:val="21"/>
        <w:ind w:left="0" w:leftChars="0" w:firstLine="0" w:firstLineChars="0"/>
        <w:jc w:val="right"/>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val="en-US" w:eastAsia="zh-CN"/>
        </w:rPr>
        <w:t>附件</w:t>
      </w:r>
      <w:r>
        <w:rPr>
          <w:rFonts w:hint="eastAsia" w:cs="Times New Roman"/>
          <w:b/>
          <w:bCs/>
          <w:sz w:val="28"/>
          <w:szCs w:val="28"/>
          <w:lang w:val="en-US" w:eastAsia="zh-CN"/>
        </w:rPr>
        <w:t>3</w:t>
      </w:r>
    </w:p>
    <w:p>
      <w:pPr>
        <w:pStyle w:val="21"/>
        <w:ind w:left="0" w:leftChars="0" w:firstLine="0" w:firstLineChars="0"/>
        <w:jc w:val="center"/>
        <w:rPr>
          <w:rFonts w:hint="eastAsia"/>
          <w:lang w:eastAsia="zh-CN"/>
        </w:rPr>
      </w:pPr>
      <w:r>
        <w:rPr>
          <w:rFonts w:hint="eastAsia"/>
          <w:lang w:eastAsia="zh-CN"/>
        </w:rPr>
        <w:drawing>
          <wp:inline distT="0" distB="0" distL="114300" distR="114300">
            <wp:extent cx="5513070" cy="7809230"/>
            <wp:effectExtent l="0" t="0" r="11430" b="1270"/>
            <wp:docPr id="8" name="图片 8" descr="第一次环评批复（永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第一次环评批复（永丰）"/>
                    <pic:cNvPicPr>
                      <a:picLocks noChangeAspect="1"/>
                    </pic:cNvPicPr>
                  </pic:nvPicPr>
                  <pic:blipFill>
                    <a:blip r:embed="rId35"/>
                    <a:stretch>
                      <a:fillRect/>
                    </a:stretch>
                  </pic:blipFill>
                  <pic:spPr>
                    <a:xfrm>
                      <a:off x="0" y="0"/>
                      <a:ext cx="5513070" cy="7809230"/>
                    </a:xfrm>
                    <a:prstGeom prst="rect">
                      <a:avLst/>
                    </a:prstGeom>
                  </pic:spPr>
                </pic:pic>
              </a:graphicData>
            </a:graphic>
          </wp:inline>
        </w:drawing>
      </w:r>
      <w:r>
        <w:rPr>
          <w:rFonts w:hint="eastAsia"/>
          <w:lang w:eastAsia="zh-CN"/>
        </w:rPr>
        <w:drawing>
          <wp:inline distT="0" distB="0" distL="114300" distR="114300">
            <wp:extent cx="5584825" cy="7910830"/>
            <wp:effectExtent l="0" t="0" r="15875" b="13970"/>
            <wp:docPr id="28" name="图片 28" descr="第一次环评批复2（永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第一次环评批复2（永丰）"/>
                    <pic:cNvPicPr>
                      <a:picLocks noChangeAspect="1"/>
                    </pic:cNvPicPr>
                  </pic:nvPicPr>
                  <pic:blipFill>
                    <a:blip r:embed="rId36"/>
                    <a:stretch>
                      <a:fillRect/>
                    </a:stretch>
                  </pic:blipFill>
                  <pic:spPr>
                    <a:xfrm>
                      <a:off x="0" y="0"/>
                      <a:ext cx="5584825" cy="7910830"/>
                    </a:xfrm>
                    <a:prstGeom prst="rect">
                      <a:avLst/>
                    </a:prstGeom>
                  </pic:spPr>
                </pic:pic>
              </a:graphicData>
            </a:graphic>
          </wp:inline>
        </w:drawing>
      </w:r>
    </w:p>
    <w:p>
      <w:pPr>
        <w:pStyle w:val="21"/>
        <w:ind w:left="0" w:leftChars="0" w:firstLine="0" w:firstLineChars="0"/>
        <w:jc w:val="center"/>
        <w:rPr>
          <w:rFonts w:hint="eastAsia"/>
          <w:lang w:eastAsia="zh-CN"/>
        </w:rPr>
      </w:pPr>
    </w:p>
    <w:p>
      <w:pPr>
        <w:pStyle w:val="21"/>
        <w:ind w:left="0" w:leftChars="0" w:firstLine="0" w:firstLineChars="0"/>
        <w:jc w:val="center"/>
        <w:rPr>
          <w:rFonts w:hint="eastAsia"/>
          <w:lang w:eastAsia="zh-CN"/>
        </w:rPr>
      </w:pPr>
    </w:p>
    <w:p>
      <w:pPr>
        <w:pStyle w:val="21"/>
        <w:ind w:left="0" w:leftChars="0" w:firstLine="0" w:firstLineChars="0"/>
        <w:jc w:val="right"/>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28"/>
          <w:szCs w:val="28"/>
          <w:lang w:val="en-US" w:eastAsia="zh-CN"/>
        </w:rPr>
        <w:t>附件</w:t>
      </w:r>
      <w:r>
        <w:rPr>
          <w:rFonts w:hint="eastAsia" w:cs="Times New Roman"/>
          <w:b/>
          <w:bCs/>
          <w:sz w:val="28"/>
          <w:szCs w:val="28"/>
          <w:lang w:val="en-US" w:eastAsia="zh-CN"/>
        </w:rPr>
        <w:t>4</w:t>
      </w:r>
    </w:p>
    <w:p>
      <w:pPr>
        <w:pStyle w:val="21"/>
        <w:ind w:left="0" w:leftChars="0" w:firstLine="0" w:firstLineChars="0"/>
        <w:jc w:val="center"/>
        <w:rPr>
          <w:rFonts w:hint="default"/>
          <w:lang w:val="en-US" w:eastAsia="zh-CN"/>
        </w:rPr>
      </w:pPr>
      <w:r>
        <w:rPr>
          <w:rFonts w:hint="default"/>
          <w:lang w:val="en-US" w:eastAsia="zh-CN"/>
        </w:rPr>
        <w:drawing>
          <wp:inline distT="0" distB="0" distL="114300" distR="114300">
            <wp:extent cx="5606415" cy="7895590"/>
            <wp:effectExtent l="0" t="0" r="13335" b="10160"/>
            <wp:docPr id="18" name="图片 18" descr="批复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批复2.1"/>
                    <pic:cNvPicPr>
                      <a:picLocks noChangeAspect="1"/>
                    </pic:cNvPicPr>
                  </pic:nvPicPr>
                  <pic:blipFill>
                    <a:blip r:embed="rId37"/>
                    <a:stretch>
                      <a:fillRect/>
                    </a:stretch>
                  </pic:blipFill>
                  <pic:spPr>
                    <a:xfrm>
                      <a:off x="0" y="0"/>
                      <a:ext cx="5606415" cy="7895590"/>
                    </a:xfrm>
                    <a:prstGeom prst="rect">
                      <a:avLst/>
                    </a:prstGeom>
                  </pic:spPr>
                </pic:pic>
              </a:graphicData>
            </a:graphic>
          </wp:inline>
        </w:drawing>
      </w:r>
      <w:r>
        <w:rPr>
          <w:rFonts w:hint="default"/>
          <w:lang w:val="en-US" w:eastAsia="zh-CN"/>
        </w:rPr>
        <w:drawing>
          <wp:inline distT="0" distB="0" distL="114300" distR="114300">
            <wp:extent cx="5606415" cy="7978775"/>
            <wp:effectExtent l="0" t="0" r="13335" b="3175"/>
            <wp:docPr id="22" name="图片 22" descr="批复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批复2.2"/>
                    <pic:cNvPicPr>
                      <a:picLocks noChangeAspect="1"/>
                    </pic:cNvPicPr>
                  </pic:nvPicPr>
                  <pic:blipFill>
                    <a:blip r:embed="rId38"/>
                    <a:stretch>
                      <a:fillRect/>
                    </a:stretch>
                  </pic:blipFill>
                  <pic:spPr>
                    <a:xfrm>
                      <a:off x="0" y="0"/>
                      <a:ext cx="5606415" cy="7978775"/>
                    </a:xfrm>
                    <a:prstGeom prst="rect">
                      <a:avLst/>
                    </a:prstGeom>
                  </pic:spPr>
                </pic:pic>
              </a:graphicData>
            </a:graphic>
          </wp:inline>
        </w:drawing>
      </w:r>
      <w:r>
        <w:rPr>
          <w:rFonts w:hint="default"/>
          <w:lang w:val="en-US" w:eastAsia="zh-CN"/>
        </w:rPr>
        <w:drawing>
          <wp:inline distT="0" distB="0" distL="114300" distR="114300">
            <wp:extent cx="5606415" cy="7558405"/>
            <wp:effectExtent l="0" t="0" r="13335" b="4445"/>
            <wp:docPr id="24" name="图片 24" descr="批复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批复2.3"/>
                    <pic:cNvPicPr>
                      <a:picLocks noChangeAspect="1"/>
                    </pic:cNvPicPr>
                  </pic:nvPicPr>
                  <pic:blipFill>
                    <a:blip r:embed="rId39"/>
                    <a:stretch>
                      <a:fillRect/>
                    </a:stretch>
                  </pic:blipFill>
                  <pic:spPr>
                    <a:xfrm>
                      <a:off x="0" y="0"/>
                      <a:ext cx="5606415" cy="7558405"/>
                    </a:xfrm>
                    <a:prstGeom prst="rect">
                      <a:avLst/>
                    </a:prstGeom>
                  </pic:spPr>
                </pic:pic>
              </a:graphicData>
            </a:graphic>
          </wp:inline>
        </w:drawing>
      </w:r>
    </w:p>
    <w:p>
      <w:pPr>
        <w:rPr>
          <w:rFonts w:hint="default"/>
          <w:lang w:val="en-US" w:eastAsia="zh-CN"/>
        </w:rPr>
      </w:pPr>
    </w:p>
    <w:p>
      <w:pPr>
        <w:pStyle w:val="2"/>
        <w:jc w:val="right"/>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附件</w:t>
      </w:r>
      <w:r>
        <w:rPr>
          <w:rFonts w:hint="eastAsia" w:eastAsia="宋体" w:cs="Times New Roman"/>
          <w:sz w:val="28"/>
          <w:szCs w:val="28"/>
          <w:lang w:val="en-US" w:eastAsia="zh-CN"/>
        </w:rPr>
        <w:t>5</w:t>
      </w:r>
    </w:p>
    <w:p>
      <w:pPr>
        <w:pStyle w:val="21"/>
        <w:ind w:left="0" w:leftChars="0" w:firstLine="0" w:firstLineChars="0"/>
        <w:jc w:val="center"/>
        <w:rPr>
          <w:rFonts w:hint="eastAsia"/>
          <w:lang w:eastAsia="zh-CN"/>
        </w:rPr>
      </w:pPr>
      <w:r>
        <w:rPr>
          <w:rFonts w:hint="eastAsia"/>
          <w:lang w:eastAsia="zh-CN"/>
        </w:rPr>
        <w:drawing>
          <wp:inline distT="0" distB="0" distL="114300" distR="114300">
            <wp:extent cx="5584825" cy="7910830"/>
            <wp:effectExtent l="0" t="0" r="15875" b="13970"/>
            <wp:docPr id="29" name="图片 29" descr="第一次验收（永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第一次验收（永丰）"/>
                    <pic:cNvPicPr>
                      <a:picLocks noChangeAspect="1"/>
                    </pic:cNvPicPr>
                  </pic:nvPicPr>
                  <pic:blipFill>
                    <a:blip r:embed="rId40"/>
                    <a:stretch>
                      <a:fillRect/>
                    </a:stretch>
                  </pic:blipFill>
                  <pic:spPr>
                    <a:xfrm>
                      <a:off x="0" y="0"/>
                      <a:ext cx="5584825" cy="7910830"/>
                    </a:xfrm>
                    <a:prstGeom prst="rect">
                      <a:avLst/>
                    </a:prstGeom>
                  </pic:spPr>
                </pic:pic>
              </a:graphicData>
            </a:graphic>
          </wp:inline>
        </w:drawing>
      </w:r>
      <w:r>
        <w:rPr>
          <w:rFonts w:hint="eastAsia"/>
          <w:lang w:eastAsia="zh-CN"/>
        </w:rPr>
        <w:drawing>
          <wp:inline distT="0" distB="0" distL="114300" distR="114300">
            <wp:extent cx="5584825" cy="7910830"/>
            <wp:effectExtent l="0" t="0" r="15875" b="13970"/>
            <wp:docPr id="19" name="图片 19" descr="第一次验收2（永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第一次验收2（永丰）"/>
                    <pic:cNvPicPr>
                      <a:picLocks noChangeAspect="1"/>
                    </pic:cNvPicPr>
                  </pic:nvPicPr>
                  <pic:blipFill>
                    <a:blip r:embed="rId41"/>
                    <a:stretch>
                      <a:fillRect/>
                    </a:stretch>
                  </pic:blipFill>
                  <pic:spPr>
                    <a:xfrm>
                      <a:off x="0" y="0"/>
                      <a:ext cx="5584825" cy="7910830"/>
                    </a:xfrm>
                    <a:prstGeom prst="rect">
                      <a:avLst/>
                    </a:prstGeom>
                  </pic:spPr>
                </pic:pic>
              </a:graphicData>
            </a:graphic>
          </wp:inline>
        </w:drawing>
      </w:r>
      <w:r>
        <w:rPr>
          <w:rFonts w:hint="eastAsia"/>
          <w:lang w:eastAsia="zh-CN"/>
        </w:rPr>
        <w:drawing>
          <wp:inline distT="0" distB="0" distL="114300" distR="114300">
            <wp:extent cx="5584825" cy="7910830"/>
            <wp:effectExtent l="0" t="0" r="15875" b="13970"/>
            <wp:docPr id="30" name="图片 30" descr="第一次验收3（永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第一次验收3（永丰）"/>
                    <pic:cNvPicPr>
                      <a:picLocks noChangeAspect="1"/>
                    </pic:cNvPicPr>
                  </pic:nvPicPr>
                  <pic:blipFill>
                    <a:blip r:embed="rId42"/>
                    <a:stretch>
                      <a:fillRect/>
                    </a:stretch>
                  </pic:blipFill>
                  <pic:spPr>
                    <a:xfrm>
                      <a:off x="0" y="0"/>
                      <a:ext cx="5584825" cy="7910830"/>
                    </a:xfrm>
                    <a:prstGeom prst="rect">
                      <a:avLst/>
                    </a:prstGeom>
                  </pic:spPr>
                </pic:pic>
              </a:graphicData>
            </a:graphic>
          </wp:inline>
        </w:drawing>
      </w:r>
    </w:p>
    <w:p>
      <w:pPr>
        <w:rPr>
          <w:rFonts w:hint="eastAsia"/>
          <w:lang w:eastAsia="zh-CN"/>
        </w:rPr>
      </w:pPr>
      <w:r>
        <w:rPr>
          <w:rFonts w:hint="eastAsia"/>
          <w:lang w:eastAsia="zh-CN"/>
        </w:rPr>
        <w:br w:type="page"/>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附件</w:t>
      </w:r>
      <w:r>
        <w:rPr>
          <w:rFonts w:hint="eastAsia" w:cs="Times New Roman"/>
          <w:b/>
          <w:bCs/>
          <w:sz w:val="28"/>
          <w:szCs w:val="28"/>
          <w:lang w:val="en-US" w:eastAsia="zh-CN"/>
        </w:rPr>
        <w:t>6</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sz w:val="32"/>
          <w:szCs w:val="32"/>
          <w:lang w:val="en-US" w:eastAsia="zh-CN"/>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12715" cy="6950075"/>
            <wp:effectExtent l="0" t="0" r="6985" b="317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43"/>
                    <a:stretch>
                      <a:fillRect/>
                    </a:stretch>
                  </pic:blipFill>
                  <pic:spPr>
                    <a:xfrm>
                      <a:off x="0" y="0"/>
                      <a:ext cx="5212715" cy="6950075"/>
                    </a:xfrm>
                    <a:prstGeom prst="rect">
                      <a:avLst/>
                    </a:prstGeom>
                    <a:noFill/>
                    <a:ln w="9525">
                      <a:noFill/>
                    </a:ln>
                  </pic:spPr>
                </pic:pic>
              </a:graphicData>
            </a:graphic>
          </wp:inline>
        </w:drawing>
      </w:r>
    </w:p>
    <w:p>
      <w:pPr>
        <w:rPr>
          <w:rFonts w:hint="default"/>
          <w:lang w:val="en-US" w:eastAsia="zh-CN"/>
        </w:rPr>
      </w:pPr>
    </w:p>
    <w:p>
      <w:pPr>
        <w:keepNext w:val="0"/>
        <w:keepLines w:val="0"/>
        <w:widowControl/>
        <w:suppressLineNumbers w:val="0"/>
        <w:jc w:val="left"/>
      </w:pPr>
      <w:r>
        <w:rPr>
          <w:rFonts w:hint="eastAsia" w:eastAsia="宋体" w:cs="Times New Roman"/>
          <w:b/>
          <w:bCs/>
          <w:sz w:val="32"/>
          <w:szCs w:val="32"/>
          <w:lang w:val="en-US" w:eastAsia="zh-CN"/>
        </w:rPr>
        <w:br w:type="page"/>
      </w:r>
      <w:r>
        <w:rPr>
          <w:rFonts w:ascii="宋体" w:hAnsi="宋体" w:eastAsia="宋体" w:cs="宋体"/>
          <w:kern w:val="0"/>
          <w:sz w:val="24"/>
          <w:szCs w:val="24"/>
          <w:lang w:val="en-US" w:eastAsia="zh-CN" w:bidi="ar"/>
        </w:rPr>
        <w:drawing>
          <wp:inline distT="0" distB="0" distL="114300" distR="114300">
            <wp:extent cx="5379720" cy="7171690"/>
            <wp:effectExtent l="0" t="0" r="11430" b="10160"/>
            <wp:docPr id="1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6"/>
                    <pic:cNvPicPr>
                      <a:picLocks noChangeAspect="1"/>
                    </pic:cNvPicPr>
                  </pic:nvPicPr>
                  <pic:blipFill>
                    <a:blip r:embed="rId44"/>
                    <a:stretch>
                      <a:fillRect/>
                    </a:stretch>
                  </pic:blipFill>
                  <pic:spPr>
                    <a:xfrm>
                      <a:off x="0" y="0"/>
                      <a:ext cx="5379720" cy="71716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094605" cy="6791960"/>
            <wp:effectExtent l="0" t="0" r="10795" b="8890"/>
            <wp:docPr id="1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IMG_256"/>
                    <pic:cNvPicPr>
                      <a:picLocks noChangeAspect="1"/>
                    </pic:cNvPicPr>
                  </pic:nvPicPr>
                  <pic:blipFill>
                    <a:blip r:embed="rId45"/>
                    <a:stretch>
                      <a:fillRect/>
                    </a:stretch>
                  </pic:blipFill>
                  <pic:spPr>
                    <a:xfrm>
                      <a:off x="0" y="0"/>
                      <a:ext cx="5094605" cy="6791960"/>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13350" cy="6949440"/>
            <wp:effectExtent l="0" t="0" r="6350" b="3810"/>
            <wp:docPr id="1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IMG_256"/>
                    <pic:cNvPicPr>
                      <a:picLocks noChangeAspect="1"/>
                    </pic:cNvPicPr>
                  </pic:nvPicPr>
                  <pic:blipFill>
                    <a:blip r:embed="rId46"/>
                    <a:stretch>
                      <a:fillRect/>
                    </a:stretch>
                  </pic:blipFill>
                  <pic:spPr>
                    <a:xfrm>
                      <a:off x="0" y="0"/>
                      <a:ext cx="5213350" cy="6949440"/>
                    </a:xfrm>
                    <a:prstGeom prst="rect">
                      <a:avLst/>
                    </a:prstGeom>
                    <a:noFill/>
                    <a:ln w="9525">
                      <a:noFill/>
                    </a:ln>
                  </pic:spPr>
                </pic:pic>
              </a:graphicData>
            </a:graphic>
          </wp:inline>
        </w:drawing>
      </w:r>
    </w:p>
    <w:p>
      <w:pPr>
        <w:rPr>
          <w:rFonts w:hint="eastAsia" w:eastAsia="宋体" w:cs="Times New Roman"/>
          <w:b/>
          <w:bCs/>
          <w:sz w:val="32"/>
          <w:szCs w:val="32"/>
          <w:lang w:val="en-US" w:eastAsia="zh-CN"/>
        </w:rPr>
      </w:pPr>
    </w:p>
    <w:p/>
    <w:p>
      <w:pPr>
        <w:rPr>
          <w:rFonts w:hint="default"/>
          <w:lang w:val="en-US" w:eastAsia="zh-CN"/>
        </w:rPr>
      </w:pPr>
    </w:p>
    <w:p>
      <w:pPr>
        <w:rPr>
          <w:rFonts w:hint="default"/>
          <w:lang w:val="en-US" w:eastAsia="zh-CN"/>
        </w:rPr>
      </w:pPr>
    </w:p>
    <w:p/>
    <w:p>
      <w:pPr>
        <w:keepNext w:val="0"/>
        <w:keepLines w:val="0"/>
        <w:widowControl/>
        <w:suppressLineNumbers w:val="0"/>
        <w:jc w:val="left"/>
      </w:pPr>
    </w:p>
    <w:p>
      <w:pPr>
        <w:keepNext w:val="0"/>
        <w:keepLines w:val="0"/>
        <w:widowControl/>
        <w:suppressLineNumbers w:val="0"/>
        <w:jc w:val="left"/>
      </w:pPr>
    </w:p>
    <w:p>
      <w:pPr>
        <w:keepNext w:val="0"/>
        <w:keepLines w:val="0"/>
        <w:widowControl/>
        <w:suppressLineNumbers w:val="0"/>
        <w:jc w:val="left"/>
        <w:rPr>
          <w:rFonts w:hint="default"/>
          <w:lang w:val="en-US" w:eastAsia="zh-CN"/>
        </w:rPr>
      </w:pPr>
    </w:p>
    <w:p>
      <w:pPr>
        <w:rPr>
          <w:rFonts w:hint="default"/>
          <w:lang w:val="en-US" w:eastAsia="zh-CN"/>
        </w:rPr>
      </w:pPr>
    </w:p>
    <w:p>
      <w:pPr>
        <w:pStyle w:val="2"/>
        <w:jc w:val="right"/>
        <w:rPr>
          <w:rFonts w:hint="default" w:ascii="Times New Roman" w:hAnsi="Times New Roman" w:eastAsia="宋体" w:cs="Times New Roman"/>
          <w:sz w:val="28"/>
          <w:szCs w:val="28"/>
          <w:lang w:val="en-US" w:eastAsia="zh-CN"/>
        </w:rPr>
      </w:pPr>
      <w:r>
        <w:rPr>
          <w:rFonts w:hint="eastAsia" w:eastAsia="宋体" w:cs="Times New Roman"/>
          <w:sz w:val="28"/>
          <w:szCs w:val="28"/>
          <w:lang w:val="en-US" w:eastAsia="zh-CN"/>
        </w:rPr>
        <w:t>附件7</w:t>
      </w:r>
    </w:p>
    <w:p>
      <w:pPr>
        <w:pStyle w:val="2"/>
        <w:jc w:val="center"/>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749290" cy="7779385"/>
            <wp:effectExtent l="0" t="0" r="3810" b="12065"/>
            <wp:docPr id="4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IMG_256"/>
                    <pic:cNvPicPr>
                      <a:picLocks noChangeAspect="1"/>
                    </pic:cNvPicPr>
                  </pic:nvPicPr>
                  <pic:blipFill>
                    <a:blip r:embed="rId47"/>
                    <a:stretch>
                      <a:fillRect/>
                    </a:stretch>
                  </pic:blipFill>
                  <pic:spPr>
                    <a:xfrm>
                      <a:off x="0" y="0"/>
                      <a:ext cx="5749290" cy="77793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457190" cy="7718425"/>
            <wp:effectExtent l="0" t="0" r="10160" b="15875"/>
            <wp:docPr id="4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IMG_256"/>
                    <pic:cNvPicPr>
                      <a:picLocks noChangeAspect="1"/>
                    </pic:cNvPicPr>
                  </pic:nvPicPr>
                  <pic:blipFill>
                    <a:blip r:embed="rId48"/>
                    <a:stretch>
                      <a:fillRect/>
                    </a:stretch>
                  </pic:blipFill>
                  <pic:spPr>
                    <a:xfrm>
                      <a:off x="0" y="0"/>
                      <a:ext cx="5457190" cy="771842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552440" cy="7854315"/>
            <wp:effectExtent l="0" t="0" r="10160" b="13335"/>
            <wp:docPr id="2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IMG_256"/>
                    <pic:cNvPicPr>
                      <a:picLocks noChangeAspect="1"/>
                    </pic:cNvPicPr>
                  </pic:nvPicPr>
                  <pic:blipFill>
                    <a:blip r:embed="rId49"/>
                    <a:stretch>
                      <a:fillRect/>
                    </a:stretch>
                  </pic:blipFill>
                  <pic:spPr>
                    <a:xfrm>
                      <a:off x="0" y="0"/>
                      <a:ext cx="5552440" cy="78543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564505" cy="7870190"/>
            <wp:effectExtent l="0" t="0" r="17145" b="16510"/>
            <wp:docPr id="4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descr="IMG_256"/>
                    <pic:cNvPicPr>
                      <a:picLocks noChangeAspect="1"/>
                    </pic:cNvPicPr>
                  </pic:nvPicPr>
                  <pic:blipFill>
                    <a:blip r:embed="rId50"/>
                    <a:stretch>
                      <a:fillRect/>
                    </a:stretch>
                  </pic:blipFill>
                  <pic:spPr>
                    <a:xfrm>
                      <a:off x="0" y="0"/>
                      <a:ext cx="5564505" cy="78701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412105" cy="7654290"/>
            <wp:effectExtent l="0" t="0" r="17145" b="3810"/>
            <wp:docPr id="4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descr="IMG_256"/>
                    <pic:cNvPicPr>
                      <a:picLocks noChangeAspect="1"/>
                    </pic:cNvPicPr>
                  </pic:nvPicPr>
                  <pic:blipFill>
                    <a:blip r:embed="rId51"/>
                    <a:stretch>
                      <a:fillRect/>
                    </a:stretch>
                  </pic:blipFill>
                  <pic:spPr>
                    <a:xfrm>
                      <a:off x="0" y="0"/>
                      <a:ext cx="5412105" cy="76542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675630" cy="8027035"/>
            <wp:effectExtent l="0" t="0" r="1270" b="12065"/>
            <wp:docPr id="3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IMG_256"/>
                    <pic:cNvPicPr>
                      <a:picLocks noChangeAspect="1"/>
                    </pic:cNvPicPr>
                  </pic:nvPicPr>
                  <pic:blipFill>
                    <a:blip r:embed="rId52"/>
                    <a:stretch>
                      <a:fillRect/>
                    </a:stretch>
                  </pic:blipFill>
                  <pic:spPr>
                    <a:xfrm>
                      <a:off x="0" y="0"/>
                      <a:ext cx="5675630" cy="80270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562600" cy="8494395"/>
            <wp:effectExtent l="0" t="0" r="0" b="1905"/>
            <wp:docPr id="4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descr="IMG_256"/>
                    <pic:cNvPicPr>
                      <a:picLocks noChangeAspect="1"/>
                    </pic:cNvPicPr>
                  </pic:nvPicPr>
                  <pic:blipFill>
                    <a:blip r:embed="rId53"/>
                    <a:stretch>
                      <a:fillRect/>
                    </a:stretch>
                  </pic:blipFill>
                  <pic:spPr>
                    <a:xfrm>
                      <a:off x="0" y="0"/>
                      <a:ext cx="5562600" cy="849439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119370" cy="7742555"/>
            <wp:effectExtent l="0" t="0" r="5080" b="10795"/>
            <wp:docPr id="38"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descr="IMG_256"/>
                    <pic:cNvPicPr>
                      <a:picLocks noChangeAspect="1"/>
                    </pic:cNvPicPr>
                  </pic:nvPicPr>
                  <pic:blipFill>
                    <a:blip r:embed="rId54"/>
                    <a:stretch>
                      <a:fillRect/>
                    </a:stretch>
                  </pic:blipFill>
                  <pic:spPr>
                    <a:xfrm>
                      <a:off x="0" y="0"/>
                      <a:ext cx="5119370" cy="77425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308600" cy="8360410"/>
            <wp:effectExtent l="0" t="0" r="6350" b="2540"/>
            <wp:docPr id="4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descr="IMG_256"/>
                    <pic:cNvPicPr>
                      <a:picLocks noChangeAspect="1"/>
                    </pic:cNvPicPr>
                  </pic:nvPicPr>
                  <pic:blipFill>
                    <a:blip r:embed="rId55"/>
                    <a:stretch>
                      <a:fillRect/>
                    </a:stretch>
                  </pic:blipFill>
                  <pic:spPr>
                    <a:xfrm>
                      <a:off x="0" y="0"/>
                      <a:ext cx="5308600" cy="8360410"/>
                    </a:xfrm>
                    <a:prstGeom prst="rect">
                      <a:avLst/>
                    </a:prstGeom>
                    <a:noFill/>
                    <a:ln w="9525">
                      <a:noFill/>
                    </a:ln>
                  </pic:spPr>
                </pic:pic>
              </a:graphicData>
            </a:graphic>
          </wp:inline>
        </w:drawing>
      </w:r>
    </w:p>
    <w:p>
      <w:pPr>
        <w:rPr>
          <w:lang w:val="en-US" w:eastAsia="zh-CN"/>
        </w:rPr>
      </w:pPr>
      <w:r>
        <w:rPr>
          <w:rFonts w:ascii="宋体" w:hAnsi="宋体" w:eastAsia="宋体" w:cs="宋体"/>
          <w:kern w:val="0"/>
          <w:sz w:val="24"/>
          <w:szCs w:val="24"/>
          <w:lang w:val="en-US" w:eastAsia="zh-CN" w:bidi="ar"/>
        </w:rPr>
        <w:br w:type="page"/>
      </w:r>
    </w:p>
    <w:p>
      <w:pPr>
        <w:jc w:val="right"/>
        <w:rPr>
          <w:rFonts w:hint="default"/>
          <w:b/>
          <w:bCs/>
          <w:sz w:val="28"/>
          <w:szCs w:val="28"/>
          <w:lang w:val="en-US" w:eastAsia="zh-CN"/>
        </w:rPr>
      </w:pPr>
      <w:r>
        <w:rPr>
          <w:rFonts w:hint="eastAsia"/>
          <w:b/>
          <w:bCs/>
          <w:sz w:val="28"/>
          <w:szCs w:val="28"/>
          <w:lang w:val="en-US" w:eastAsia="zh-CN"/>
        </w:rPr>
        <w:t>附件8</w:t>
      </w:r>
    </w:p>
    <w:p>
      <w:pPr>
        <w:jc w:val="center"/>
        <w:rPr>
          <w:rFonts w:hint="default"/>
          <w:b/>
          <w:bCs/>
          <w:sz w:val="28"/>
          <w:szCs w:val="28"/>
          <w:lang w:val="en-US" w:eastAsia="zh-CN"/>
        </w:rPr>
      </w:pPr>
      <w:r>
        <w:rPr>
          <w:rFonts w:hint="default"/>
          <w:b/>
          <w:bCs/>
          <w:sz w:val="28"/>
          <w:szCs w:val="28"/>
          <w:lang w:val="en-US" w:eastAsia="zh-CN"/>
        </w:rPr>
        <w:drawing>
          <wp:inline distT="0" distB="0" distL="114300" distR="114300">
            <wp:extent cx="5152390" cy="8221345"/>
            <wp:effectExtent l="0" t="0" r="10160" b="8255"/>
            <wp:docPr id="9" name="图片 9" descr="排污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排污登记"/>
                    <pic:cNvPicPr>
                      <a:picLocks noChangeAspect="1"/>
                    </pic:cNvPicPr>
                  </pic:nvPicPr>
                  <pic:blipFill>
                    <a:blip r:embed="rId56"/>
                    <a:stretch>
                      <a:fillRect/>
                    </a:stretch>
                  </pic:blipFill>
                  <pic:spPr>
                    <a:xfrm>
                      <a:off x="0" y="0"/>
                      <a:ext cx="5152390" cy="8221345"/>
                    </a:xfrm>
                    <a:prstGeom prst="rect">
                      <a:avLst/>
                    </a:prstGeom>
                  </pic:spPr>
                </pic:pic>
              </a:graphicData>
            </a:graphic>
          </wp:inline>
        </w:drawing>
      </w:r>
    </w:p>
    <w:sectPr>
      <w:pgSz w:w="11906"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Georgia">
    <w:panose1 w:val="02040502050405020303"/>
    <w:charset w:val="00"/>
    <w:family w:val="roman"/>
    <w:pitch w:val="default"/>
    <w:sig w:usb0="00000287" w:usb1="00000000" w:usb2="00000000" w:usb3="00000000" w:csb0="2000009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Microsoft JhengHei Light">
    <w:panose1 w:val="020B0304030504040204"/>
    <w:charset w:val="88"/>
    <w:family w:val="swiss"/>
    <w:pitch w:val="default"/>
    <w:sig w:usb0="800002A7" w:usb1="28CF4400" w:usb2="00000016" w:usb3="00000000" w:csb0="00100009"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center" w:y="1"/>
      <w:rPr>
        <w:rStyle w:val="26"/>
      </w:rPr>
    </w:pPr>
    <w:r>
      <w:fldChar w:fldCharType="begin"/>
    </w:r>
    <w:r>
      <w:rPr>
        <w:rStyle w:val="26"/>
      </w:rPr>
      <w:instrText xml:space="preserve">PAGE  </w:instrText>
    </w:r>
    <w:r>
      <w:fldChar w:fldCharType="end"/>
    </w:r>
  </w:p>
  <w:p>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jc w:val="cente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FSExU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FSExU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jc w:val="both"/>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56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2D1AE1"/>
    <w:multiLevelType w:val="singleLevel"/>
    <w:tmpl w:val="992D1AE1"/>
    <w:lvl w:ilvl="0" w:tentative="0">
      <w:start w:val="1"/>
      <w:numFmt w:val="decimal"/>
      <w:suff w:val="nothing"/>
      <w:lvlText w:val="%1．"/>
      <w:lvlJc w:val="left"/>
      <w:pPr>
        <w:ind w:left="0" w:firstLine="400"/>
      </w:pPr>
      <w:rPr>
        <w:rFonts w:hint="default" w:ascii="Times New Roman" w:hAnsi="Times New Roman" w:eastAsia="宋体" w:cs="Times New Roman"/>
        <w:b/>
        <w:bCs/>
        <w:sz w:val="24"/>
        <w:szCs w:val="24"/>
      </w:rPr>
    </w:lvl>
  </w:abstractNum>
  <w:abstractNum w:abstractNumId="1">
    <w:nsid w:val="9F3D5315"/>
    <w:multiLevelType w:val="singleLevel"/>
    <w:tmpl w:val="9F3D5315"/>
    <w:lvl w:ilvl="0" w:tentative="0">
      <w:start w:val="1"/>
      <w:numFmt w:val="decimal"/>
      <w:suff w:val="nothing"/>
      <w:lvlText w:val="%1、"/>
      <w:lvlJc w:val="left"/>
      <w:pPr>
        <w:ind w:left="-60"/>
      </w:pPr>
      <w:rPr>
        <w:rFonts w:hint="default"/>
        <w:sz w:val="24"/>
        <w:szCs w:val="24"/>
      </w:rPr>
    </w:lvl>
  </w:abstractNum>
  <w:abstractNum w:abstractNumId="2">
    <w:nsid w:val="A7E38AB4"/>
    <w:multiLevelType w:val="singleLevel"/>
    <w:tmpl w:val="A7E38AB4"/>
    <w:lvl w:ilvl="0" w:tentative="0">
      <w:start w:val="1"/>
      <w:numFmt w:val="decimal"/>
      <w:lvlText w:val="%1)"/>
      <w:lvlJc w:val="left"/>
      <w:pPr>
        <w:ind w:left="1265" w:hanging="425"/>
      </w:pPr>
      <w:rPr>
        <w:rFonts w:hint="default"/>
        <w:sz w:val="24"/>
        <w:szCs w:val="24"/>
      </w:rPr>
    </w:lvl>
  </w:abstractNum>
  <w:abstractNum w:abstractNumId="3">
    <w:nsid w:val="C7E1F4A2"/>
    <w:multiLevelType w:val="singleLevel"/>
    <w:tmpl w:val="C7E1F4A2"/>
    <w:lvl w:ilvl="0" w:tentative="0">
      <w:start w:val="3"/>
      <w:numFmt w:val="chineseCounting"/>
      <w:suff w:val="nothing"/>
      <w:lvlText w:val="（%1）"/>
      <w:lvlJc w:val="left"/>
      <w:rPr>
        <w:rFonts w:hint="eastAsia"/>
        <w:sz w:val="24"/>
        <w:szCs w:val="24"/>
      </w:rPr>
    </w:lvl>
  </w:abstractNum>
  <w:abstractNum w:abstractNumId="4">
    <w:nsid w:val="D06158CD"/>
    <w:multiLevelType w:val="singleLevel"/>
    <w:tmpl w:val="D06158CD"/>
    <w:lvl w:ilvl="0" w:tentative="0">
      <w:start w:val="1"/>
      <w:numFmt w:val="decimal"/>
      <w:suff w:val="nothing"/>
      <w:lvlText w:val="（%1）"/>
      <w:lvlJc w:val="left"/>
      <w:rPr>
        <w:rFonts w:hint="default" w:ascii="Times New Roman" w:hAnsi="Times New Roman" w:cs="Times New Roman"/>
        <w:sz w:val="24"/>
        <w:szCs w:val="24"/>
      </w:rPr>
    </w:lvl>
  </w:abstractNum>
  <w:abstractNum w:abstractNumId="5">
    <w:nsid w:val="E1624D1D"/>
    <w:multiLevelType w:val="singleLevel"/>
    <w:tmpl w:val="E1624D1D"/>
    <w:lvl w:ilvl="0" w:tentative="0">
      <w:start w:val="2"/>
      <w:numFmt w:val="decimal"/>
      <w:suff w:val="nothing"/>
      <w:lvlText w:val="（%1）"/>
      <w:lvlJc w:val="left"/>
      <w:rPr>
        <w:rFonts w:hint="default" w:ascii="Times New Roman" w:hAnsi="Times New Roman" w:cs="Times New Roman"/>
        <w:sz w:val="24"/>
        <w:szCs w:val="24"/>
      </w:rPr>
    </w:lvl>
  </w:abstractNum>
  <w:abstractNum w:abstractNumId="6">
    <w:nsid w:val="E5F0984F"/>
    <w:multiLevelType w:val="singleLevel"/>
    <w:tmpl w:val="E5F0984F"/>
    <w:lvl w:ilvl="0" w:tentative="0">
      <w:start w:val="1"/>
      <w:numFmt w:val="lowerLetter"/>
      <w:lvlText w:val="%1."/>
      <w:lvlJc w:val="left"/>
      <w:pPr>
        <w:tabs>
          <w:tab w:val="left" w:pos="312"/>
        </w:tabs>
      </w:pPr>
    </w:lvl>
  </w:abstractNum>
  <w:abstractNum w:abstractNumId="7">
    <w:nsid w:val="F9AA9F27"/>
    <w:multiLevelType w:val="singleLevel"/>
    <w:tmpl w:val="F9AA9F27"/>
    <w:lvl w:ilvl="0" w:tentative="0">
      <w:start w:val="1"/>
      <w:numFmt w:val="decimal"/>
      <w:suff w:val="nothing"/>
      <w:lvlText w:val="（%1）"/>
      <w:lvlJc w:val="left"/>
      <w:rPr>
        <w:rFonts w:hint="default" w:ascii="Times New Roman" w:hAnsi="Times New Roman" w:cs="Times New Roman"/>
        <w:sz w:val="24"/>
        <w:szCs w:val="24"/>
      </w:rPr>
    </w:lvl>
  </w:abstractNum>
  <w:abstractNum w:abstractNumId="8">
    <w:nsid w:val="13B8E4B6"/>
    <w:multiLevelType w:val="singleLevel"/>
    <w:tmpl w:val="13B8E4B6"/>
    <w:lvl w:ilvl="0" w:tentative="0">
      <w:start w:val="8"/>
      <w:numFmt w:val="decimal"/>
      <w:suff w:val="nothing"/>
      <w:lvlText w:val="%1、"/>
      <w:lvlJc w:val="left"/>
    </w:lvl>
  </w:abstractNum>
  <w:abstractNum w:abstractNumId="9">
    <w:nsid w:val="2079F09B"/>
    <w:multiLevelType w:val="singleLevel"/>
    <w:tmpl w:val="2079F09B"/>
    <w:lvl w:ilvl="0" w:tentative="0">
      <w:start w:val="1"/>
      <w:numFmt w:val="decimal"/>
      <w:suff w:val="nothing"/>
      <w:lvlText w:val="%1、"/>
      <w:lvlJc w:val="left"/>
      <w:rPr>
        <w:rFonts w:hint="default"/>
        <w:sz w:val="24"/>
        <w:szCs w:val="24"/>
      </w:rPr>
    </w:lvl>
  </w:abstractNum>
  <w:abstractNum w:abstractNumId="10">
    <w:nsid w:val="2359CF85"/>
    <w:multiLevelType w:val="singleLevel"/>
    <w:tmpl w:val="2359CF85"/>
    <w:lvl w:ilvl="0" w:tentative="0">
      <w:start w:val="1"/>
      <w:numFmt w:val="decimal"/>
      <w:lvlText w:val="%1."/>
      <w:lvlJc w:val="left"/>
      <w:pPr>
        <w:ind w:left="425" w:hanging="425"/>
      </w:pPr>
      <w:rPr>
        <w:rFonts w:hint="default"/>
        <w:sz w:val="24"/>
        <w:szCs w:val="24"/>
      </w:rPr>
    </w:lvl>
  </w:abstractNum>
  <w:abstractNum w:abstractNumId="11">
    <w:nsid w:val="2D9297B8"/>
    <w:multiLevelType w:val="singleLevel"/>
    <w:tmpl w:val="2D9297B8"/>
    <w:lvl w:ilvl="0" w:tentative="0">
      <w:start w:val="1"/>
      <w:numFmt w:val="decimal"/>
      <w:suff w:val="nothing"/>
      <w:lvlText w:val="%1、"/>
      <w:lvlJc w:val="left"/>
      <w:rPr>
        <w:rFonts w:hint="default"/>
        <w:sz w:val="24"/>
        <w:szCs w:val="24"/>
      </w:rPr>
    </w:lvl>
  </w:abstractNum>
  <w:abstractNum w:abstractNumId="12">
    <w:nsid w:val="41F0AA23"/>
    <w:multiLevelType w:val="singleLevel"/>
    <w:tmpl w:val="41F0AA23"/>
    <w:lvl w:ilvl="0" w:tentative="0">
      <w:start w:val="1"/>
      <w:numFmt w:val="decimal"/>
      <w:suff w:val="nothing"/>
      <w:lvlText w:val="%1、"/>
      <w:lvlJc w:val="left"/>
      <w:rPr>
        <w:rFonts w:hint="default"/>
        <w:sz w:val="24"/>
        <w:szCs w:val="24"/>
      </w:rPr>
    </w:lvl>
  </w:abstractNum>
  <w:abstractNum w:abstractNumId="13">
    <w:nsid w:val="489B3B1A"/>
    <w:multiLevelType w:val="singleLevel"/>
    <w:tmpl w:val="489B3B1A"/>
    <w:lvl w:ilvl="0" w:tentative="0">
      <w:start w:val="1"/>
      <w:numFmt w:val="decimal"/>
      <w:lvlText w:val="%1)"/>
      <w:lvlJc w:val="left"/>
      <w:pPr>
        <w:ind w:left="845" w:hanging="425"/>
      </w:pPr>
      <w:rPr>
        <w:rFonts w:hint="default"/>
        <w:sz w:val="24"/>
        <w:szCs w:val="24"/>
      </w:rPr>
    </w:lvl>
  </w:abstractNum>
  <w:num w:numId="1">
    <w:abstractNumId w:val="3"/>
  </w:num>
  <w:num w:numId="2">
    <w:abstractNumId w:val="5"/>
  </w:num>
  <w:num w:numId="3">
    <w:abstractNumId w:val="11"/>
  </w:num>
  <w:num w:numId="4">
    <w:abstractNumId w:val="8"/>
  </w:num>
  <w:num w:numId="5">
    <w:abstractNumId w:val="7"/>
  </w:num>
  <w:num w:numId="6">
    <w:abstractNumId w:val="10"/>
  </w:num>
  <w:num w:numId="7">
    <w:abstractNumId w:val="13"/>
  </w:num>
  <w:num w:numId="8">
    <w:abstractNumId w:val="1"/>
  </w:num>
  <w:num w:numId="9">
    <w:abstractNumId w:val="0"/>
  </w:num>
  <w:num w:numId="10">
    <w:abstractNumId w:val="9"/>
  </w:num>
  <w:num w:numId="11">
    <w:abstractNumId w:val="12"/>
  </w:num>
  <w:num w:numId="12">
    <w:abstractNumId w:val="4"/>
  </w:num>
  <w:num w:numId="13">
    <w:abstractNumId w:val="2"/>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QwMzJiYzhmYjAyNGM0Y2E0MjVjYjA4NzBhNTlkMWI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3F39"/>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029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1922DD"/>
    <w:rsid w:val="01290F7E"/>
    <w:rsid w:val="015D1E09"/>
    <w:rsid w:val="01B7684F"/>
    <w:rsid w:val="02697903"/>
    <w:rsid w:val="02F96569"/>
    <w:rsid w:val="02FD4578"/>
    <w:rsid w:val="02FE2EDB"/>
    <w:rsid w:val="03874281"/>
    <w:rsid w:val="03D251BA"/>
    <w:rsid w:val="03EA7B21"/>
    <w:rsid w:val="04230BA7"/>
    <w:rsid w:val="04C904B8"/>
    <w:rsid w:val="050C0F23"/>
    <w:rsid w:val="058A40EC"/>
    <w:rsid w:val="05F83EAE"/>
    <w:rsid w:val="05FE23E4"/>
    <w:rsid w:val="061D1A22"/>
    <w:rsid w:val="062B7235"/>
    <w:rsid w:val="063E7D85"/>
    <w:rsid w:val="07293586"/>
    <w:rsid w:val="07295285"/>
    <w:rsid w:val="07636392"/>
    <w:rsid w:val="076E3F95"/>
    <w:rsid w:val="07770C56"/>
    <w:rsid w:val="07D81FFD"/>
    <w:rsid w:val="092217DD"/>
    <w:rsid w:val="0937627B"/>
    <w:rsid w:val="093A7294"/>
    <w:rsid w:val="096D1D28"/>
    <w:rsid w:val="0A176DAB"/>
    <w:rsid w:val="0A263993"/>
    <w:rsid w:val="0A2D3AC2"/>
    <w:rsid w:val="0A6A273E"/>
    <w:rsid w:val="0AA755DF"/>
    <w:rsid w:val="0B120D44"/>
    <w:rsid w:val="0B5C5C6D"/>
    <w:rsid w:val="0BD27BF6"/>
    <w:rsid w:val="0C3B3C7D"/>
    <w:rsid w:val="0C5C4056"/>
    <w:rsid w:val="0CAB2EAE"/>
    <w:rsid w:val="0D1150F2"/>
    <w:rsid w:val="0D246739"/>
    <w:rsid w:val="0D621C7D"/>
    <w:rsid w:val="0E73034D"/>
    <w:rsid w:val="0F13775A"/>
    <w:rsid w:val="0F19203C"/>
    <w:rsid w:val="0F5F45FE"/>
    <w:rsid w:val="0F612DE4"/>
    <w:rsid w:val="0F7B0575"/>
    <w:rsid w:val="0F9A112B"/>
    <w:rsid w:val="10052669"/>
    <w:rsid w:val="106D2F64"/>
    <w:rsid w:val="10A056A1"/>
    <w:rsid w:val="10B63710"/>
    <w:rsid w:val="10F10820"/>
    <w:rsid w:val="111C2F7A"/>
    <w:rsid w:val="11556CB7"/>
    <w:rsid w:val="11665CA1"/>
    <w:rsid w:val="11F052D6"/>
    <w:rsid w:val="13951726"/>
    <w:rsid w:val="14396509"/>
    <w:rsid w:val="14DD2C3C"/>
    <w:rsid w:val="151A5529"/>
    <w:rsid w:val="16087E1D"/>
    <w:rsid w:val="165B4E4B"/>
    <w:rsid w:val="176A5BB1"/>
    <w:rsid w:val="176B0D10"/>
    <w:rsid w:val="17701D14"/>
    <w:rsid w:val="17735226"/>
    <w:rsid w:val="189F624C"/>
    <w:rsid w:val="18CE30F5"/>
    <w:rsid w:val="19493263"/>
    <w:rsid w:val="19CB1D41"/>
    <w:rsid w:val="1A1C66C0"/>
    <w:rsid w:val="1A42393B"/>
    <w:rsid w:val="1AAD45DE"/>
    <w:rsid w:val="1B046F80"/>
    <w:rsid w:val="1B1B02CC"/>
    <w:rsid w:val="1B3267B5"/>
    <w:rsid w:val="1B395738"/>
    <w:rsid w:val="1B40161D"/>
    <w:rsid w:val="1B441859"/>
    <w:rsid w:val="1B6606B1"/>
    <w:rsid w:val="1C1D0EE7"/>
    <w:rsid w:val="1C286947"/>
    <w:rsid w:val="1C5E7925"/>
    <w:rsid w:val="1CC512ED"/>
    <w:rsid w:val="1CFD070F"/>
    <w:rsid w:val="1D5F6196"/>
    <w:rsid w:val="1D6132A5"/>
    <w:rsid w:val="1D7E2A0F"/>
    <w:rsid w:val="1D8E56D5"/>
    <w:rsid w:val="1DB559AC"/>
    <w:rsid w:val="1DBA2AE4"/>
    <w:rsid w:val="1DD81AFD"/>
    <w:rsid w:val="1DDF0C1B"/>
    <w:rsid w:val="1E396257"/>
    <w:rsid w:val="1E7A43DA"/>
    <w:rsid w:val="1F02489B"/>
    <w:rsid w:val="1FE7539E"/>
    <w:rsid w:val="20671BE0"/>
    <w:rsid w:val="20963CB8"/>
    <w:rsid w:val="20A81A1B"/>
    <w:rsid w:val="20B07FB6"/>
    <w:rsid w:val="20B646FB"/>
    <w:rsid w:val="210466A8"/>
    <w:rsid w:val="213B74B1"/>
    <w:rsid w:val="215A2310"/>
    <w:rsid w:val="21933351"/>
    <w:rsid w:val="21A537DC"/>
    <w:rsid w:val="21DE318A"/>
    <w:rsid w:val="21EF5B80"/>
    <w:rsid w:val="22564077"/>
    <w:rsid w:val="22576990"/>
    <w:rsid w:val="225E718D"/>
    <w:rsid w:val="226D49F2"/>
    <w:rsid w:val="22F47480"/>
    <w:rsid w:val="2306028A"/>
    <w:rsid w:val="23157AA3"/>
    <w:rsid w:val="23DE1C48"/>
    <w:rsid w:val="240210CD"/>
    <w:rsid w:val="246E5DB6"/>
    <w:rsid w:val="24BF09F7"/>
    <w:rsid w:val="24E12A9F"/>
    <w:rsid w:val="24EC6FDB"/>
    <w:rsid w:val="252D53FE"/>
    <w:rsid w:val="25341526"/>
    <w:rsid w:val="25445C0D"/>
    <w:rsid w:val="25651416"/>
    <w:rsid w:val="258D0C05"/>
    <w:rsid w:val="25925168"/>
    <w:rsid w:val="25A21A67"/>
    <w:rsid w:val="25EC2D81"/>
    <w:rsid w:val="25FA2770"/>
    <w:rsid w:val="26252678"/>
    <w:rsid w:val="26F126B3"/>
    <w:rsid w:val="272179FA"/>
    <w:rsid w:val="277057A2"/>
    <w:rsid w:val="27E76669"/>
    <w:rsid w:val="28247F79"/>
    <w:rsid w:val="28E026ED"/>
    <w:rsid w:val="29206EB8"/>
    <w:rsid w:val="292B142D"/>
    <w:rsid w:val="29595666"/>
    <w:rsid w:val="29874881"/>
    <w:rsid w:val="29BC550A"/>
    <w:rsid w:val="29E325E0"/>
    <w:rsid w:val="2A452503"/>
    <w:rsid w:val="2AD575B4"/>
    <w:rsid w:val="2BA936A8"/>
    <w:rsid w:val="2C315A5A"/>
    <w:rsid w:val="2C4B1C25"/>
    <w:rsid w:val="2C995D4B"/>
    <w:rsid w:val="2CA9412E"/>
    <w:rsid w:val="2D644BBE"/>
    <w:rsid w:val="2D9E56F5"/>
    <w:rsid w:val="2E0A6AEF"/>
    <w:rsid w:val="2E667F96"/>
    <w:rsid w:val="2E8226AB"/>
    <w:rsid w:val="2FD065E6"/>
    <w:rsid w:val="2FD96870"/>
    <w:rsid w:val="30580BC9"/>
    <w:rsid w:val="307D2DE9"/>
    <w:rsid w:val="30975AFB"/>
    <w:rsid w:val="30F05765"/>
    <w:rsid w:val="30FB7C80"/>
    <w:rsid w:val="311D7F21"/>
    <w:rsid w:val="311E2ED7"/>
    <w:rsid w:val="315619EE"/>
    <w:rsid w:val="315C449C"/>
    <w:rsid w:val="31B82709"/>
    <w:rsid w:val="31D05482"/>
    <w:rsid w:val="321D0F73"/>
    <w:rsid w:val="32400B34"/>
    <w:rsid w:val="329E6876"/>
    <w:rsid w:val="32A905B6"/>
    <w:rsid w:val="32D87995"/>
    <w:rsid w:val="32E4127B"/>
    <w:rsid w:val="333015F2"/>
    <w:rsid w:val="334B6320"/>
    <w:rsid w:val="33D934D4"/>
    <w:rsid w:val="33FE2F6A"/>
    <w:rsid w:val="33FE342B"/>
    <w:rsid w:val="340E07E5"/>
    <w:rsid w:val="34235BF7"/>
    <w:rsid w:val="3428494C"/>
    <w:rsid w:val="34632F27"/>
    <w:rsid w:val="34D52BCE"/>
    <w:rsid w:val="34F3441E"/>
    <w:rsid w:val="358C5FA8"/>
    <w:rsid w:val="35C15DF1"/>
    <w:rsid w:val="36074A7F"/>
    <w:rsid w:val="36923549"/>
    <w:rsid w:val="36B75FBF"/>
    <w:rsid w:val="36BD0C45"/>
    <w:rsid w:val="375173D7"/>
    <w:rsid w:val="378E4AC6"/>
    <w:rsid w:val="37E00298"/>
    <w:rsid w:val="38B302F9"/>
    <w:rsid w:val="38F12CD3"/>
    <w:rsid w:val="38F94775"/>
    <w:rsid w:val="392971ED"/>
    <w:rsid w:val="39325651"/>
    <w:rsid w:val="3A0474D4"/>
    <w:rsid w:val="3A872856"/>
    <w:rsid w:val="3AA9301E"/>
    <w:rsid w:val="3AD75CF5"/>
    <w:rsid w:val="3B054F97"/>
    <w:rsid w:val="3B0E1908"/>
    <w:rsid w:val="3B3763D1"/>
    <w:rsid w:val="3B4E588E"/>
    <w:rsid w:val="3BB82256"/>
    <w:rsid w:val="3C2F6E1E"/>
    <w:rsid w:val="3C4F64BA"/>
    <w:rsid w:val="3CDA245A"/>
    <w:rsid w:val="3D1E06B7"/>
    <w:rsid w:val="3D785F97"/>
    <w:rsid w:val="3DDD67A7"/>
    <w:rsid w:val="3DE954C1"/>
    <w:rsid w:val="3EDA0523"/>
    <w:rsid w:val="3F7B167E"/>
    <w:rsid w:val="3FF778C3"/>
    <w:rsid w:val="3FF80A14"/>
    <w:rsid w:val="40501D22"/>
    <w:rsid w:val="407A6407"/>
    <w:rsid w:val="40F868FC"/>
    <w:rsid w:val="41E657CA"/>
    <w:rsid w:val="4200449D"/>
    <w:rsid w:val="423A3BCC"/>
    <w:rsid w:val="424E57D2"/>
    <w:rsid w:val="42B26C49"/>
    <w:rsid w:val="42C817D4"/>
    <w:rsid w:val="42E67EAC"/>
    <w:rsid w:val="432509D4"/>
    <w:rsid w:val="433A6FE6"/>
    <w:rsid w:val="43480868"/>
    <w:rsid w:val="4350713C"/>
    <w:rsid w:val="436653E0"/>
    <w:rsid w:val="43B015DD"/>
    <w:rsid w:val="43C3509F"/>
    <w:rsid w:val="43C4431A"/>
    <w:rsid w:val="43E1097F"/>
    <w:rsid w:val="44321074"/>
    <w:rsid w:val="4436551A"/>
    <w:rsid w:val="44B951CC"/>
    <w:rsid w:val="44CD14E0"/>
    <w:rsid w:val="44F20B0B"/>
    <w:rsid w:val="450E7246"/>
    <w:rsid w:val="45225AF9"/>
    <w:rsid w:val="452B5995"/>
    <w:rsid w:val="452E5F4C"/>
    <w:rsid w:val="45612018"/>
    <w:rsid w:val="458946E9"/>
    <w:rsid w:val="45A47C0E"/>
    <w:rsid w:val="45FE5A42"/>
    <w:rsid w:val="46213FD6"/>
    <w:rsid w:val="46577FD6"/>
    <w:rsid w:val="46A61E2C"/>
    <w:rsid w:val="46D955A7"/>
    <w:rsid w:val="47133957"/>
    <w:rsid w:val="47411B55"/>
    <w:rsid w:val="47A07E0C"/>
    <w:rsid w:val="483E6094"/>
    <w:rsid w:val="4870272E"/>
    <w:rsid w:val="48CA0865"/>
    <w:rsid w:val="490424D9"/>
    <w:rsid w:val="49546557"/>
    <w:rsid w:val="49B04D70"/>
    <w:rsid w:val="49C33CAB"/>
    <w:rsid w:val="49DC7715"/>
    <w:rsid w:val="4A023139"/>
    <w:rsid w:val="4A385990"/>
    <w:rsid w:val="4A7B576F"/>
    <w:rsid w:val="4AF561A9"/>
    <w:rsid w:val="4C4A0649"/>
    <w:rsid w:val="4C7E5ECA"/>
    <w:rsid w:val="4C876AA5"/>
    <w:rsid w:val="4CF82CB6"/>
    <w:rsid w:val="4CF907DC"/>
    <w:rsid w:val="4D0E00FB"/>
    <w:rsid w:val="4D176606"/>
    <w:rsid w:val="4D52458D"/>
    <w:rsid w:val="4DEC4FB0"/>
    <w:rsid w:val="4E075D8A"/>
    <w:rsid w:val="4EC00FAD"/>
    <w:rsid w:val="4F1769FB"/>
    <w:rsid w:val="4F9843DC"/>
    <w:rsid w:val="4FC62A8C"/>
    <w:rsid w:val="4FE20F0D"/>
    <w:rsid w:val="4FE51552"/>
    <w:rsid w:val="50504C4B"/>
    <w:rsid w:val="509C6E7C"/>
    <w:rsid w:val="50FD445C"/>
    <w:rsid w:val="5162104E"/>
    <w:rsid w:val="52414399"/>
    <w:rsid w:val="52E91CF2"/>
    <w:rsid w:val="533A66C8"/>
    <w:rsid w:val="53A039CC"/>
    <w:rsid w:val="53A1505A"/>
    <w:rsid w:val="54063E08"/>
    <w:rsid w:val="543437E8"/>
    <w:rsid w:val="54A35BFD"/>
    <w:rsid w:val="54F73313"/>
    <w:rsid w:val="54F80955"/>
    <w:rsid w:val="550D61C0"/>
    <w:rsid w:val="55392B28"/>
    <w:rsid w:val="555170A7"/>
    <w:rsid w:val="5587536D"/>
    <w:rsid w:val="558E2155"/>
    <w:rsid w:val="559B174B"/>
    <w:rsid w:val="55CE0CF4"/>
    <w:rsid w:val="56B22A9C"/>
    <w:rsid w:val="56DF4E61"/>
    <w:rsid w:val="57B72A76"/>
    <w:rsid w:val="57C3426C"/>
    <w:rsid w:val="57CE1F93"/>
    <w:rsid w:val="57DA00CF"/>
    <w:rsid w:val="588743D1"/>
    <w:rsid w:val="5887701A"/>
    <w:rsid w:val="58E51335"/>
    <w:rsid w:val="592B2A44"/>
    <w:rsid w:val="598F30B0"/>
    <w:rsid w:val="59C0439F"/>
    <w:rsid w:val="5ABD4932"/>
    <w:rsid w:val="5ABE2233"/>
    <w:rsid w:val="5B2D3589"/>
    <w:rsid w:val="5B302437"/>
    <w:rsid w:val="5BDF5D95"/>
    <w:rsid w:val="5BFE7528"/>
    <w:rsid w:val="5D477CAC"/>
    <w:rsid w:val="5D9932CA"/>
    <w:rsid w:val="5DA156E8"/>
    <w:rsid w:val="5E2467F1"/>
    <w:rsid w:val="5E7128C8"/>
    <w:rsid w:val="5F1A2B43"/>
    <w:rsid w:val="5F5C5FB8"/>
    <w:rsid w:val="5FB837BB"/>
    <w:rsid w:val="60431F01"/>
    <w:rsid w:val="60CC405A"/>
    <w:rsid w:val="611219A9"/>
    <w:rsid w:val="61E215D8"/>
    <w:rsid w:val="621B3775"/>
    <w:rsid w:val="62364782"/>
    <w:rsid w:val="6394356A"/>
    <w:rsid w:val="63C61B2C"/>
    <w:rsid w:val="63D40BE9"/>
    <w:rsid w:val="63D67669"/>
    <w:rsid w:val="63F87B06"/>
    <w:rsid w:val="64102431"/>
    <w:rsid w:val="646E0814"/>
    <w:rsid w:val="64934E32"/>
    <w:rsid w:val="64A5243A"/>
    <w:rsid w:val="64BB2AEF"/>
    <w:rsid w:val="64F531DE"/>
    <w:rsid w:val="65373578"/>
    <w:rsid w:val="65754ECA"/>
    <w:rsid w:val="66885F4E"/>
    <w:rsid w:val="66A06E1C"/>
    <w:rsid w:val="66B52539"/>
    <w:rsid w:val="671F124A"/>
    <w:rsid w:val="677A33C6"/>
    <w:rsid w:val="681F6961"/>
    <w:rsid w:val="68610A2F"/>
    <w:rsid w:val="68805514"/>
    <w:rsid w:val="69316E2F"/>
    <w:rsid w:val="694E2071"/>
    <w:rsid w:val="69766163"/>
    <w:rsid w:val="697A3B33"/>
    <w:rsid w:val="69A03EEA"/>
    <w:rsid w:val="69D44760"/>
    <w:rsid w:val="6A520EC7"/>
    <w:rsid w:val="6A6D72CF"/>
    <w:rsid w:val="6AF87E20"/>
    <w:rsid w:val="6B091A36"/>
    <w:rsid w:val="6B322639"/>
    <w:rsid w:val="6B7D319B"/>
    <w:rsid w:val="6B8E13FB"/>
    <w:rsid w:val="6C267FB9"/>
    <w:rsid w:val="6C281A9E"/>
    <w:rsid w:val="6C636C38"/>
    <w:rsid w:val="6C6429BE"/>
    <w:rsid w:val="6CAE780F"/>
    <w:rsid w:val="6D3E611D"/>
    <w:rsid w:val="6D9F162C"/>
    <w:rsid w:val="6DB34098"/>
    <w:rsid w:val="6DB545B6"/>
    <w:rsid w:val="6DE02FB4"/>
    <w:rsid w:val="6E5021D6"/>
    <w:rsid w:val="6E514CED"/>
    <w:rsid w:val="6EB011EB"/>
    <w:rsid w:val="6EB563D5"/>
    <w:rsid w:val="6ED92677"/>
    <w:rsid w:val="6F225983"/>
    <w:rsid w:val="6F5267CB"/>
    <w:rsid w:val="6F9B2913"/>
    <w:rsid w:val="6FEC0F35"/>
    <w:rsid w:val="6FFC5590"/>
    <w:rsid w:val="706D1DD0"/>
    <w:rsid w:val="70856B87"/>
    <w:rsid w:val="70B10F9A"/>
    <w:rsid w:val="70D527EE"/>
    <w:rsid w:val="715B5300"/>
    <w:rsid w:val="71D27F8A"/>
    <w:rsid w:val="71F72FE9"/>
    <w:rsid w:val="71FB11F2"/>
    <w:rsid w:val="71FC3F4E"/>
    <w:rsid w:val="72553024"/>
    <w:rsid w:val="72E61537"/>
    <w:rsid w:val="73122968"/>
    <w:rsid w:val="731F5D5E"/>
    <w:rsid w:val="73C51AD5"/>
    <w:rsid w:val="741E793C"/>
    <w:rsid w:val="745E3944"/>
    <w:rsid w:val="750E0475"/>
    <w:rsid w:val="757A4279"/>
    <w:rsid w:val="7635099D"/>
    <w:rsid w:val="76B455F0"/>
    <w:rsid w:val="77762421"/>
    <w:rsid w:val="77995D55"/>
    <w:rsid w:val="77B56B1F"/>
    <w:rsid w:val="77FD7CF5"/>
    <w:rsid w:val="780F09F4"/>
    <w:rsid w:val="78A90480"/>
    <w:rsid w:val="796C5D0E"/>
    <w:rsid w:val="7A364017"/>
    <w:rsid w:val="7A5934C4"/>
    <w:rsid w:val="7A8265E1"/>
    <w:rsid w:val="7B0F54EB"/>
    <w:rsid w:val="7B2B2168"/>
    <w:rsid w:val="7B686D42"/>
    <w:rsid w:val="7B841746"/>
    <w:rsid w:val="7C6C5AC7"/>
    <w:rsid w:val="7CBF3C99"/>
    <w:rsid w:val="7CC6544B"/>
    <w:rsid w:val="7D0239FF"/>
    <w:rsid w:val="7D5E40CD"/>
    <w:rsid w:val="7DCD56F2"/>
    <w:rsid w:val="7DD86068"/>
    <w:rsid w:val="7F001CE7"/>
    <w:rsid w:val="7F181DF8"/>
    <w:rsid w:val="7F4C4448"/>
    <w:rsid w:val="7F717283"/>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semiHidden="0" w:name="heading 5" w:locked="1"/>
    <w:lsdException w:qFormat="1" w:uiPriority="0" w:semiHidden="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5"/>
    <w:basedOn w:val="1"/>
    <w:next w:val="1"/>
    <w:unhideWhenUsed/>
    <w:qFormat/>
    <w:locked/>
    <w:uiPriority w:val="0"/>
    <w:pPr>
      <w:spacing w:before="37"/>
      <w:ind w:left="120"/>
      <w:outlineLvl w:val="4"/>
    </w:pPr>
    <w:rPr>
      <w:rFonts w:ascii="宋体" w:hAnsi="宋体"/>
      <w:b/>
      <w:bCs/>
      <w:sz w:val="24"/>
    </w:rPr>
  </w:style>
  <w:style w:type="paragraph" w:styleId="4">
    <w:name w:val="heading 6"/>
    <w:basedOn w:val="1"/>
    <w:next w:val="1"/>
    <w:unhideWhenUsed/>
    <w:qFormat/>
    <w:locked/>
    <w:uiPriority w:val="0"/>
    <w:pPr>
      <w:keepNext/>
      <w:keepLines/>
      <w:spacing w:beforeLines="0" w:beforeAutospacing="0" w:afterLines="0" w:afterAutospacing="0" w:line="360" w:lineRule="auto"/>
      <w:ind w:firstLine="0" w:firstLineChars="0"/>
      <w:jc w:val="center"/>
      <w:outlineLvl w:val="5"/>
    </w:p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5">
    <w:name w:val="Normal Indent"/>
    <w:basedOn w:val="1"/>
    <w:next w:val="1"/>
    <w:qFormat/>
    <w:locked/>
    <w:uiPriority w:val="0"/>
    <w:rPr>
      <w:sz w:val="28"/>
      <w:szCs w:val="20"/>
    </w:rPr>
  </w:style>
  <w:style w:type="paragraph" w:styleId="6">
    <w:name w:val="caption"/>
    <w:basedOn w:val="1"/>
    <w:next w:val="1"/>
    <w:unhideWhenUsed/>
    <w:qFormat/>
    <w:locked/>
    <w:uiPriority w:val="0"/>
    <w:pPr>
      <w:jc w:val="center"/>
    </w:pPr>
    <w:rPr>
      <w:rFonts w:ascii="Times New Roman" w:hAnsi="Times New Roman" w:eastAsia="黑体"/>
      <w:sz w:val="24"/>
    </w:rPr>
  </w:style>
  <w:style w:type="paragraph" w:styleId="7">
    <w:name w:val="annotation text"/>
    <w:basedOn w:val="1"/>
    <w:link w:val="31"/>
    <w:semiHidden/>
    <w:qFormat/>
    <w:uiPriority w:val="0"/>
    <w:pPr>
      <w:jc w:val="left"/>
    </w:pPr>
    <w:rPr>
      <w:kern w:val="0"/>
      <w:sz w:val="24"/>
      <w:szCs w:val="20"/>
    </w:rPr>
  </w:style>
  <w:style w:type="paragraph" w:styleId="8">
    <w:name w:val="Body Text"/>
    <w:basedOn w:val="1"/>
    <w:next w:val="9"/>
    <w:link w:val="32"/>
    <w:qFormat/>
    <w:uiPriority w:val="0"/>
    <w:pPr>
      <w:widowControl/>
      <w:snapToGrid w:val="0"/>
      <w:spacing w:before="60" w:after="160" w:line="259" w:lineRule="auto"/>
      <w:ind w:right="113"/>
    </w:pPr>
    <w:rPr>
      <w:kern w:val="0"/>
      <w:sz w:val="18"/>
      <w:szCs w:val="20"/>
    </w:rPr>
  </w:style>
  <w:style w:type="paragraph" w:styleId="9">
    <w:name w:val="Body Text 2"/>
    <w:basedOn w:val="1"/>
    <w:next w:val="10"/>
    <w:qFormat/>
    <w:locked/>
    <w:uiPriority w:val="0"/>
    <w:rPr>
      <w:rFonts w:ascii="Calibri" w:hAnsi="Calibri"/>
      <w:sz w:val="28"/>
    </w:rPr>
  </w:style>
  <w:style w:type="paragraph" w:styleId="10">
    <w:name w:val="footer"/>
    <w:basedOn w:val="1"/>
    <w:next w:val="11"/>
    <w:link w:val="36"/>
    <w:qFormat/>
    <w:uiPriority w:val="99"/>
    <w:pPr>
      <w:tabs>
        <w:tab w:val="center" w:pos="4153"/>
        <w:tab w:val="right" w:pos="8306"/>
      </w:tabs>
      <w:snapToGrid w:val="0"/>
      <w:jc w:val="left"/>
    </w:pPr>
    <w:rPr>
      <w:kern w:val="0"/>
      <w:sz w:val="18"/>
      <w:szCs w:val="20"/>
    </w:rPr>
  </w:style>
  <w:style w:type="paragraph" w:styleId="11">
    <w:name w:val="List Continue"/>
    <w:basedOn w:val="1"/>
    <w:next w:val="8"/>
    <w:qFormat/>
    <w:locked/>
    <w:uiPriority w:val="0"/>
    <w:pPr>
      <w:widowControl/>
      <w:autoSpaceDE/>
      <w:autoSpaceDN/>
      <w:spacing w:before="280" w:after="280"/>
      <w:ind w:firstLine="3584"/>
    </w:pPr>
    <w:rPr>
      <w:rFonts w:ascii="Calibri" w:hAnsi="Calibri" w:eastAsia="宋体" w:cs="Times New Roman"/>
    </w:rPr>
  </w:style>
  <w:style w:type="paragraph" w:styleId="12">
    <w:name w:val="Body Text Indent"/>
    <w:basedOn w:val="1"/>
    <w:next w:val="8"/>
    <w:link w:val="33"/>
    <w:qFormat/>
    <w:uiPriority w:val="0"/>
    <w:pPr>
      <w:spacing w:after="120"/>
      <w:ind w:left="420" w:leftChars="200"/>
    </w:pPr>
    <w:rPr>
      <w:kern w:val="0"/>
      <w:sz w:val="24"/>
      <w:szCs w:val="20"/>
    </w:rPr>
  </w:style>
  <w:style w:type="paragraph" w:styleId="13">
    <w:name w:val="Block Text"/>
    <w:basedOn w:val="1"/>
    <w:next w:val="1"/>
    <w:qFormat/>
    <w:locked/>
    <w:uiPriority w:val="0"/>
    <w:pPr>
      <w:autoSpaceDE w:val="0"/>
      <w:autoSpaceDN w:val="0"/>
      <w:adjustRightInd w:val="0"/>
      <w:spacing w:before="1" w:line="537" w:lineRule="exact"/>
      <w:ind w:left="88" w:right="6"/>
    </w:pPr>
    <w:rPr>
      <w:rFonts w:cs="宋体"/>
      <w:color w:val="000000"/>
      <w:kern w:val="0"/>
      <w:sz w:val="28"/>
    </w:rPr>
  </w:style>
  <w:style w:type="paragraph" w:styleId="14">
    <w:name w:val="Plain Text"/>
    <w:basedOn w:val="1"/>
    <w:qFormat/>
    <w:locked/>
    <w:uiPriority w:val="0"/>
    <w:rPr>
      <w:rFonts w:ascii="宋体" w:hAnsi="Courier New"/>
      <w:sz w:val="28"/>
      <w:szCs w:val="20"/>
    </w:rPr>
  </w:style>
  <w:style w:type="paragraph" w:styleId="15">
    <w:name w:val="Date"/>
    <w:basedOn w:val="1"/>
    <w:next w:val="1"/>
    <w:link w:val="34"/>
    <w:qFormat/>
    <w:uiPriority w:val="0"/>
    <w:pPr>
      <w:ind w:left="100" w:leftChars="2500"/>
    </w:pPr>
    <w:rPr>
      <w:kern w:val="0"/>
      <w:sz w:val="24"/>
      <w:szCs w:val="20"/>
    </w:rPr>
  </w:style>
  <w:style w:type="paragraph" w:styleId="16">
    <w:name w:val="Balloon Text"/>
    <w:basedOn w:val="1"/>
    <w:link w:val="35"/>
    <w:semiHidden/>
    <w:qFormat/>
    <w:uiPriority w:val="0"/>
    <w:rPr>
      <w:kern w:val="0"/>
      <w:sz w:val="18"/>
      <w:szCs w:val="20"/>
    </w:rPr>
  </w:style>
  <w:style w:type="paragraph" w:styleId="17">
    <w:name w:val="header"/>
    <w:basedOn w:val="1"/>
    <w:link w:val="37"/>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Normal (Web)"/>
    <w:basedOn w:val="1"/>
    <w:link w:val="38"/>
    <w:qFormat/>
    <w:uiPriority w:val="0"/>
    <w:pPr>
      <w:widowControl/>
      <w:spacing w:before="100" w:beforeAutospacing="1" w:after="100" w:afterAutospacing="1"/>
      <w:jc w:val="left"/>
    </w:pPr>
    <w:rPr>
      <w:rFonts w:ascii="宋体" w:hAnsi="宋体"/>
      <w:kern w:val="0"/>
      <w:sz w:val="24"/>
      <w:szCs w:val="20"/>
    </w:rPr>
  </w:style>
  <w:style w:type="paragraph" w:styleId="19">
    <w:name w:val="annotation subject"/>
    <w:basedOn w:val="7"/>
    <w:next w:val="7"/>
    <w:link w:val="39"/>
    <w:semiHidden/>
    <w:qFormat/>
    <w:uiPriority w:val="0"/>
    <w:rPr>
      <w:b/>
      <w:sz w:val="24"/>
      <w:szCs w:val="20"/>
    </w:rPr>
  </w:style>
  <w:style w:type="paragraph" w:styleId="20">
    <w:name w:val="Body Text First Indent"/>
    <w:basedOn w:val="8"/>
    <w:next w:val="21"/>
    <w:qFormat/>
    <w:locked/>
    <w:uiPriority w:val="0"/>
    <w:pPr>
      <w:ind w:firstLine="420" w:firstLineChars="100"/>
    </w:pPr>
  </w:style>
  <w:style w:type="paragraph" w:styleId="21">
    <w:name w:val="Body Text First Indent 2"/>
    <w:basedOn w:val="1"/>
    <w:next w:val="1"/>
    <w:qFormat/>
    <w:locked/>
    <w:uiPriority w:val="0"/>
    <w:pPr>
      <w:widowControl w:val="0"/>
      <w:spacing w:after="120"/>
      <w:ind w:left="420" w:leftChars="200" w:firstLine="420" w:firstLineChars="200"/>
      <w:jc w:val="both"/>
    </w:pPr>
    <w:rPr>
      <w:rFonts w:ascii="Times New Roman" w:hAnsi="Times New Roman" w:eastAsia="宋体" w:cs="Times New Roman"/>
      <w:kern w:val="0"/>
      <w:sz w:val="24"/>
      <w:szCs w:val="20"/>
      <w:lang w:val="en-US" w:eastAsia="zh-CN" w:bidi="ar-SA"/>
    </w:rPr>
  </w:style>
  <w:style w:type="table" w:styleId="23">
    <w:name w:val="Table Grid"/>
    <w:basedOn w:val="2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qFormat/>
    <w:locked/>
    <w:uiPriority w:val="0"/>
    <w:rPr>
      <w:rFonts w:ascii="Verdana" w:hAnsi="Verdana"/>
      <w:b/>
      <w:bCs/>
      <w:kern w:val="0"/>
      <w:sz w:val="20"/>
      <w:lang w:eastAsia="en-US"/>
    </w:rPr>
  </w:style>
  <w:style w:type="character" w:styleId="26">
    <w:name w:val="page number"/>
    <w:basedOn w:val="24"/>
    <w:qFormat/>
    <w:locked/>
    <w:uiPriority w:val="0"/>
  </w:style>
  <w:style w:type="character" w:styleId="27">
    <w:name w:val="Emphasis"/>
    <w:qFormat/>
    <w:locked/>
    <w:uiPriority w:val="0"/>
    <w:rPr>
      <w:rFonts w:ascii="Verdana" w:hAnsi="Verdana"/>
      <w:color w:val="CC0000"/>
      <w:kern w:val="0"/>
      <w:sz w:val="20"/>
      <w:lang w:eastAsia="en-US"/>
    </w:rPr>
  </w:style>
  <w:style w:type="character" w:styleId="28">
    <w:name w:val="Hyperlink"/>
    <w:basedOn w:val="24"/>
    <w:qFormat/>
    <w:locked/>
    <w:uiPriority w:val="0"/>
    <w:rPr>
      <w:color w:val="0000FF"/>
      <w:u w:val="single"/>
    </w:rPr>
  </w:style>
  <w:style w:type="character" w:styleId="29">
    <w:name w:val="annotation reference"/>
    <w:semiHidden/>
    <w:qFormat/>
    <w:uiPriority w:val="0"/>
    <w:rPr>
      <w:sz w:val="21"/>
    </w:rPr>
  </w:style>
  <w:style w:type="paragraph" w:customStyle="1" w:styleId="30">
    <w:name w:val="正文首行缩进2个字 Char"/>
    <w:qFormat/>
    <w:uiPriority w:val="0"/>
    <w:pPr>
      <w:widowControl w:val="0"/>
      <w:ind w:firstLine="480" w:firstLineChars="200"/>
      <w:jc w:val="both"/>
    </w:pPr>
    <w:rPr>
      <w:rFonts w:ascii="Georgia" w:hAnsi="Georgia" w:eastAsia="楷体" w:cs="Times New Roman"/>
      <w:kern w:val="2"/>
      <w:sz w:val="24"/>
      <w:szCs w:val="24"/>
      <w:lang w:val="en-US" w:eastAsia="zh-CN" w:bidi="ar-SA"/>
    </w:rPr>
  </w:style>
  <w:style w:type="character" w:customStyle="1" w:styleId="31">
    <w:name w:val="批注文字 Char"/>
    <w:link w:val="7"/>
    <w:qFormat/>
    <w:locked/>
    <w:uiPriority w:val="0"/>
    <w:rPr>
      <w:rFonts w:ascii="Times New Roman" w:hAnsi="Times New Roman" w:eastAsia="宋体"/>
      <w:sz w:val="24"/>
    </w:rPr>
  </w:style>
  <w:style w:type="character" w:customStyle="1" w:styleId="32">
    <w:name w:val="正文文本 Char"/>
    <w:link w:val="8"/>
    <w:qFormat/>
    <w:locked/>
    <w:uiPriority w:val="0"/>
    <w:rPr>
      <w:sz w:val="18"/>
    </w:rPr>
  </w:style>
  <w:style w:type="character" w:customStyle="1" w:styleId="33">
    <w:name w:val="正文文本缩进 Char"/>
    <w:link w:val="12"/>
    <w:semiHidden/>
    <w:qFormat/>
    <w:locked/>
    <w:uiPriority w:val="0"/>
    <w:rPr>
      <w:rFonts w:ascii="Times New Roman" w:hAnsi="Times New Roman" w:eastAsia="宋体"/>
      <w:sz w:val="24"/>
    </w:rPr>
  </w:style>
  <w:style w:type="character" w:customStyle="1" w:styleId="34">
    <w:name w:val="日期 Char"/>
    <w:link w:val="15"/>
    <w:qFormat/>
    <w:locked/>
    <w:uiPriority w:val="0"/>
    <w:rPr>
      <w:rFonts w:ascii="Times New Roman" w:hAnsi="Times New Roman" w:eastAsia="宋体"/>
      <w:sz w:val="24"/>
    </w:rPr>
  </w:style>
  <w:style w:type="character" w:customStyle="1" w:styleId="35">
    <w:name w:val="批注框文本 Char"/>
    <w:link w:val="16"/>
    <w:semiHidden/>
    <w:qFormat/>
    <w:locked/>
    <w:uiPriority w:val="0"/>
    <w:rPr>
      <w:rFonts w:ascii="Times New Roman" w:hAnsi="Times New Roman" w:eastAsia="宋体"/>
      <w:sz w:val="18"/>
    </w:rPr>
  </w:style>
  <w:style w:type="character" w:customStyle="1" w:styleId="36">
    <w:name w:val="页脚 Char"/>
    <w:link w:val="10"/>
    <w:qFormat/>
    <w:locked/>
    <w:uiPriority w:val="99"/>
    <w:rPr>
      <w:sz w:val="18"/>
    </w:rPr>
  </w:style>
  <w:style w:type="character" w:customStyle="1" w:styleId="37">
    <w:name w:val="页眉 Char"/>
    <w:link w:val="17"/>
    <w:qFormat/>
    <w:locked/>
    <w:uiPriority w:val="0"/>
    <w:rPr>
      <w:sz w:val="18"/>
    </w:rPr>
  </w:style>
  <w:style w:type="character" w:customStyle="1" w:styleId="38">
    <w:name w:val="普通(网站) Char"/>
    <w:link w:val="18"/>
    <w:qFormat/>
    <w:locked/>
    <w:uiPriority w:val="0"/>
    <w:rPr>
      <w:rFonts w:ascii="宋体" w:hAnsi="宋体" w:eastAsia="宋体"/>
      <w:sz w:val="24"/>
    </w:rPr>
  </w:style>
  <w:style w:type="character" w:customStyle="1" w:styleId="39">
    <w:name w:val="批注主题 Char"/>
    <w:link w:val="19"/>
    <w:semiHidden/>
    <w:qFormat/>
    <w:locked/>
    <w:uiPriority w:val="0"/>
    <w:rPr>
      <w:rFonts w:ascii="Times New Roman" w:hAnsi="Times New Roman" w:eastAsia="宋体"/>
      <w:b/>
      <w:kern w:val="2"/>
      <w:sz w:val="24"/>
    </w:rPr>
  </w:style>
  <w:style w:type="character" w:customStyle="1" w:styleId="40">
    <w:name w:val="页脚 字符"/>
    <w:basedOn w:val="24"/>
    <w:qFormat/>
    <w:uiPriority w:val="99"/>
  </w:style>
  <w:style w:type="character" w:customStyle="1" w:styleId="41">
    <w:name w:val="正文文本 字符1"/>
    <w:semiHidden/>
    <w:qFormat/>
    <w:uiPriority w:val="0"/>
    <w:rPr>
      <w:rFonts w:ascii="Times New Roman" w:hAnsi="Times New Roman" w:eastAsia="宋体"/>
      <w:sz w:val="24"/>
    </w:rPr>
  </w:style>
  <w:style w:type="character" w:customStyle="1" w:styleId="42">
    <w:name w:val="表格 Char"/>
    <w:link w:val="43"/>
    <w:qFormat/>
    <w:locked/>
    <w:uiPriority w:val="0"/>
    <w:rPr>
      <w:rFonts w:ascii="宋体"/>
      <w:sz w:val="21"/>
    </w:rPr>
  </w:style>
  <w:style w:type="paragraph" w:customStyle="1" w:styleId="43">
    <w:name w:val="表格"/>
    <w:basedOn w:val="1"/>
    <w:next w:val="1"/>
    <w:link w:val="42"/>
    <w:qFormat/>
    <w:uiPriority w:val="0"/>
    <w:pPr>
      <w:adjustRightInd w:val="0"/>
      <w:snapToGrid w:val="0"/>
      <w:spacing w:beforeLines="10" w:afterLines="10" w:line="259" w:lineRule="auto"/>
      <w:jc w:val="center"/>
    </w:pPr>
    <w:rPr>
      <w:rFonts w:ascii="宋体"/>
      <w:kern w:val="0"/>
      <w:szCs w:val="20"/>
    </w:rPr>
  </w:style>
  <w:style w:type="character" w:customStyle="1" w:styleId="44">
    <w:name w:val="日期 字符"/>
    <w:semiHidden/>
    <w:qFormat/>
    <w:uiPriority w:val="0"/>
    <w:rPr>
      <w:rFonts w:ascii="Times New Roman" w:hAnsi="Times New Roman" w:eastAsia="宋体"/>
      <w:sz w:val="24"/>
    </w:rPr>
  </w:style>
  <w:style w:type="character" w:customStyle="1" w:styleId="45">
    <w:name w:val="批注文字 字符1"/>
    <w:semiHidden/>
    <w:qFormat/>
    <w:uiPriority w:val="0"/>
    <w:rPr>
      <w:rFonts w:ascii="Times New Roman" w:hAnsi="Times New Roman" w:eastAsia="宋体"/>
      <w:sz w:val="24"/>
    </w:rPr>
  </w:style>
  <w:style w:type="paragraph" w:customStyle="1" w:styleId="4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7">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8">
    <w:name w:val="font101"/>
    <w:basedOn w:val="24"/>
    <w:qFormat/>
    <w:uiPriority w:val="0"/>
    <w:rPr>
      <w:rFonts w:hint="eastAsia" w:ascii="仿宋" w:hAnsi="仿宋" w:eastAsia="仿宋" w:cs="仿宋"/>
      <w:color w:val="000000"/>
      <w:sz w:val="21"/>
      <w:szCs w:val="21"/>
      <w:u w:val="none"/>
    </w:rPr>
  </w:style>
  <w:style w:type="paragraph" w:customStyle="1" w:styleId="49">
    <w:name w:val="正文缩进1"/>
    <w:basedOn w:val="1"/>
    <w:qFormat/>
    <w:uiPriority w:val="0"/>
    <w:rPr>
      <w:sz w:val="28"/>
    </w:rPr>
  </w:style>
  <w:style w:type="paragraph" w:customStyle="1" w:styleId="50">
    <w:name w:val="表格内容"/>
    <w:basedOn w:val="1"/>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51">
    <w:name w:val="鸿达表加粗"/>
    <w:basedOn w:val="1"/>
    <w:qFormat/>
    <w:uiPriority w:val="0"/>
    <w:pPr>
      <w:jc w:val="center"/>
    </w:pPr>
    <w:rPr>
      <w:rFonts w:cs="宋体"/>
      <w:b/>
      <w:color w:val="000000"/>
      <w:szCs w:val="20"/>
    </w:rPr>
  </w:style>
  <w:style w:type="paragraph" w:customStyle="1" w:styleId="52">
    <w:name w:val="鸿达表格文字"/>
    <w:basedOn w:val="1"/>
    <w:qFormat/>
    <w:uiPriority w:val="0"/>
    <w:pPr>
      <w:contextualSpacing/>
      <w:jc w:val="center"/>
      <w:textAlignment w:val="baseline"/>
    </w:pPr>
    <w:rPr>
      <w:kern w:val="0"/>
      <w:szCs w:val="21"/>
      <w:lang w:val="zh-CN"/>
    </w:rPr>
  </w:style>
  <w:style w:type="paragraph" w:customStyle="1" w:styleId="53">
    <w:name w:val="鸿达表格段落"/>
    <w:basedOn w:val="1"/>
    <w:qFormat/>
    <w:uiPriority w:val="0"/>
    <w:pPr>
      <w:adjustRightInd w:val="0"/>
      <w:snapToGrid w:val="0"/>
      <w:ind w:firstLine="200" w:firstLineChars="200"/>
      <w:jc w:val="left"/>
    </w:pPr>
    <w:rPr>
      <w:snapToGrid w:val="0"/>
      <w:kern w:val="0"/>
    </w:rPr>
  </w:style>
  <w:style w:type="paragraph" w:customStyle="1" w:styleId="54">
    <w:name w:val="列出段落1"/>
    <w:basedOn w:val="1"/>
    <w:qFormat/>
    <w:uiPriority w:val="34"/>
    <w:pPr>
      <w:ind w:firstLine="420" w:firstLineChars="200"/>
    </w:pPr>
  </w:style>
  <w:style w:type="paragraph" w:customStyle="1" w:styleId="55">
    <w:name w:val="_Style 1"/>
    <w:basedOn w:val="1"/>
    <w:qFormat/>
    <w:uiPriority w:val="34"/>
    <w:pPr>
      <w:ind w:firstLine="420" w:firstLineChars="200"/>
    </w:pPr>
  </w:style>
  <w:style w:type="paragraph" w:customStyle="1" w:styleId="56">
    <w:name w:val="Table Paragraph"/>
    <w:basedOn w:val="1"/>
    <w:qFormat/>
    <w:uiPriority w:val="99"/>
  </w:style>
  <w:style w:type="paragraph" w:customStyle="1" w:styleId="57">
    <w:name w:val="5表格标题"/>
    <w:basedOn w:val="14"/>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58">
    <w:name w:val="蓝天报告表表格文字居中"/>
    <w:basedOn w:val="1"/>
    <w:qFormat/>
    <w:uiPriority w:val="0"/>
    <w:pPr>
      <w:jc w:val="center"/>
    </w:pPr>
    <w:rPr>
      <w:rFonts w:ascii="Times New Roman" w:hAnsi="Times New Roman" w:cs="宋体"/>
      <w:color w:val="000000"/>
      <w:sz w:val="21"/>
    </w:rPr>
  </w:style>
  <w:style w:type="paragraph" w:customStyle="1" w:styleId="59">
    <w:name w:val="五号表格"/>
    <w:basedOn w:val="1"/>
    <w:qFormat/>
    <w:uiPriority w:val="0"/>
    <w:pPr>
      <w:jc w:val="center"/>
    </w:pPr>
    <w:rPr>
      <w:szCs w:val="20"/>
    </w:rPr>
  </w:style>
  <w:style w:type="paragraph" w:customStyle="1" w:styleId="60">
    <w:name w:val="Heading1"/>
    <w:basedOn w:val="1"/>
    <w:next w:val="1"/>
    <w:qFormat/>
    <w:uiPriority w:val="0"/>
    <w:pPr>
      <w:keepNext/>
      <w:ind w:left="539" w:right="28"/>
      <w:textAlignment w:val="baseline"/>
    </w:pPr>
    <w:rPr>
      <w:b/>
    </w:rPr>
  </w:style>
  <w:style w:type="paragraph" w:customStyle="1" w:styleId="61">
    <w:name w:val="表格中文字"/>
    <w:basedOn w:val="1"/>
    <w:qFormat/>
    <w:uiPriority w:val="0"/>
    <w:pPr>
      <w:spacing w:line="240" w:lineRule="auto"/>
      <w:ind w:firstLine="0" w:firstLineChars="0"/>
      <w:jc w:val="center"/>
    </w:pPr>
    <w:rPr>
      <w:kern w:val="0"/>
      <w:sz w:val="18"/>
      <w:szCs w:val="24"/>
      <w:lang w:val="zh-CN"/>
    </w:rPr>
  </w:style>
  <w:style w:type="paragraph" w:customStyle="1" w:styleId="62">
    <w:name w:val="c表内容"/>
    <w:basedOn w:val="1"/>
    <w:qFormat/>
    <w:uiPriority w:val="0"/>
    <w:pPr>
      <w:spacing w:line="320" w:lineRule="exact"/>
      <w:jc w:val="center"/>
    </w:pPr>
    <w:rPr>
      <w:sz w:val="21"/>
      <w:szCs w:val="21"/>
    </w:rPr>
  </w:style>
  <w:style w:type="paragraph" w:customStyle="1" w:styleId="63">
    <w:name w:val="Default"/>
    <w:next w:val="64"/>
    <w:unhideWhenUsed/>
    <w:qFormat/>
    <w:uiPriority w:val="99"/>
    <w:pPr>
      <w:widowControl w:val="0"/>
      <w:autoSpaceDE w:val="0"/>
      <w:autoSpaceDN w:val="0"/>
    </w:pPr>
    <w:rPr>
      <w:rFonts w:hint="eastAsia" w:ascii="宋体" w:hAnsi="宋体" w:eastAsia="宋体" w:cs="Times New Roman"/>
      <w:color w:val="000000"/>
      <w:sz w:val="24"/>
      <w:lang w:val="en-US" w:eastAsia="zh-CN" w:bidi="ar-SA"/>
    </w:rPr>
  </w:style>
  <w:style w:type="paragraph" w:customStyle="1" w:styleId="64">
    <w:name w:val="样式35"/>
    <w:basedOn w:val="1"/>
    <w:next w:val="1"/>
    <w:qFormat/>
    <w:uiPriority w:val="0"/>
    <w:pPr>
      <w:spacing w:line="312" w:lineRule="auto"/>
      <w:ind w:firstLine="567"/>
    </w:pPr>
    <w:rPr>
      <w:rFonts w:ascii="宋体"/>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2.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7.emf"/><Relationship Id="rId17" Type="http://schemas.openxmlformats.org/officeDocument/2006/relationships/oleObject" Target="embeddings/oleObject1.bin"/><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90</Pages>
  <Words>31907</Words>
  <Characters>36450</Characters>
  <Lines>13</Lines>
  <Paragraphs>3</Paragraphs>
  <TotalTime>8</TotalTime>
  <ScaleCrop>false</ScaleCrop>
  <LinksUpToDate>false</LinksUpToDate>
  <CharactersWithSpaces>36865</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苜蓿、</cp:lastModifiedBy>
  <cp:lastPrinted>2020-12-29T02:43:00Z</cp:lastPrinted>
  <dcterms:modified xsi:type="dcterms:W3CDTF">2023-11-10T01:29:12Z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3613185F6DAC45F081E42150C91838AB_13</vt:lpwstr>
  </property>
</Properties>
</file>