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kern w:val="21"/>
          <w:sz w:val="24"/>
          <w:szCs w:val="24"/>
          <w:lang w:eastAsia="zh-CN"/>
        </w:rPr>
      </w:pPr>
      <w:r>
        <w:rPr>
          <w:rFonts w:hint="eastAsia" w:ascii="方正小标宋简体" w:hAnsi="方正小标宋简体" w:eastAsia="方正小标宋简体" w:cs="方正小标宋简体"/>
          <w:kern w:val="21"/>
          <w:sz w:val="36"/>
          <w:szCs w:val="36"/>
          <w:lang w:eastAsia="zh-CN"/>
        </w:rPr>
        <w:t>公路超限运输许可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rPr>
      </w:pPr>
      <w:r>
        <w:rPr>
          <w:rFonts w:hint="eastAsia" w:ascii="黑体" w:hAnsi="黑体" w:eastAsia="黑体" w:cs="黑体"/>
          <w:kern w:val="21"/>
          <w:sz w:val="24"/>
          <w:szCs w:val="24"/>
        </w:rPr>
        <w:t>一、事项编码</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kern w:val="21"/>
          <w:sz w:val="24"/>
          <w:szCs w:val="24"/>
          <w:lang w:eastAsia="zh-CN"/>
        </w:rPr>
      </w:pPr>
      <w:r>
        <w:rPr>
          <w:rFonts w:hint="eastAsia"/>
          <w:kern w:val="21"/>
          <w:sz w:val="24"/>
          <w:szCs w:val="24"/>
        </w:rPr>
        <w:t>005572710XK23365001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新乡县行政区域内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三、事项类型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四、设立依据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w:t>
      </w:r>
      <w:r>
        <w:rPr>
          <w:rFonts w:hint="eastAsia"/>
          <w:kern w:val="21"/>
          <w:sz w:val="24"/>
          <w:szCs w:val="24"/>
          <w:lang w:eastAsia="zh-CN"/>
        </w:rPr>
        <w:t>法律</w:t>
      </w:r>
      <w:r>
        <w:rPr>
          <w:rFonts w:hint="eastAsia"/>
          <w:kern w:val="21"/>
          <w:sz w:val="24"/>
          <w:szCs w:val="24"/>
        </w:rPr>
        <w:t>】《</w:t>
      </w:r>
      <w:r>
        <w:rPr>
          <w:rFonts w:hint="eastAsia"/>
          <w:kern w:val="21"/>
          <w:sz w:val="24"/>
          <w:szCs w:val="24"/>
          <w:lang w:eastAsia="zh-CN"/>
        </w:rPr>
        <w:t>中华人民共和国公路法</w:t>
      </w:r>
      <w:r>
        <w:rPr>
          <w:rFonts w:hint="eastAsia"/>
          <w:kern w:val="2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第五十条</w:t>
      </w:r>
      <w:r>
        <w:rPr>
          <w:rFonts w:hint="eastAsia"/>
          <w:kern w:val="21"/>
          <w:sz w:val="24"/>
          <w:szCs w:val="24"/>
          <w:lang w:val="en-US" w:eastAsia="zh-CN"/>
        </w:rPr>
        <w:t xml:space="preserve">  </w:t>
      </w:r>
      <w:r>
        <w:rPr>
          <w:rFonts w:hint="eastAsia"/>
          <w:kern w:val="21"/>
          <w:sz w:val="24"/>
          <w:szCs w:val="24"/>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运输单位不能按照前款规定采取防护措施的，由交通主管部门帮助其采取防护措施，所需费用由运输单位承担。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【法规】《公路安全保护条例》（国务院令第593号）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第三十五条</w:t>
      </w:r>
      <w:r>
        <w:rPr>
          <w:rFonts w:hint="eastAsia"/>
          <w:kern w:val="21"/>
          <w:sz w:val="24"/>
          <w:szCs w:val="24"/>
          <w:lang w:val="en-US" w:eastAsia="zh-CN"/>
        </w:rPr>
        <w:t xml:space="preserve">  </w:t>
      </w:r>
      <w:r>
        <w:rPr>
          <w:rFonts w:hint="eastAsia"/>
          <w:kern w:val="21"/>
          <w:sz w:val="24"/>
          <w:szCs w:val="24"/>
        </w:rPr>
        <w:t>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【规章】《超限运输车辆行驶公路管理规定》（交通部令2016年第62号）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第四条</w:t>
      </w:r>
      <w:r>
        <w:rPr>
          <w:rFonts w:hint="eastAsia"/>
          <w:kern w:val="21"/>
          <w:sz w:val="24"/>
          <w:szCs w:val="24"/>
          <w:lang w:val="en-US" w:eastAsia="zh-CN"/>
        </w:rPr>
        <w:t xml:space="preserve">  </w:t>
      </w:r>
      <w:r>
        <w:rPr>
          <w:rFonts w:hint="eastAsia"/>
          <w:kern w:val="21"/>
          <w:sz w:val="24"/>
          <w:szCs w:val="24"/>
        </w:rPr>
        <w:t xml:space="preserve">交通运输部负责全国超限运输车辆行驶公路的管理工作。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县级以上地方人民政府交通运输主管部门负责本行政区域内超限运输车辆行驶公路的管理工作。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公路管理机构具体承担超限运输车辆行驶公路的监督管理。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县级以上人民政府相关主管部门按照职责分工，依法负责或者参与、配合超限运输车辆行驶公路的监督管理。交通运输主管部门应当在本级人民政府统一领导下，与相关主管部门建立治理超限运输联动工作机制。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第八条</w:t>
      </w:r>
      <w:r>
        <w:rPr>
          <w:rFonts w:hint="eastAsia"/>
          <w:kern w:val="21"/>
          <w:sz w:val="24"/>
          <w:szCs w:val="24"/>
          <w:lang w:val="en-US" w:eastAsia="zh-CN"/>
        </w:rPr>
        <w:t xml:space="preserve">  </w:t>
      </w:r>
      <w:r>
        <w:rPr>
          <w:rFonts w:hint="eastAsia"/>
          <w:kern w:val="21"/>
          <w:sz w:val="24"/>
          <w:szCs w:val="24"/>
        </w:rPr>
        <w:t xml:space="preserve">大件运输车辆行驶公路前，承运人应当按下列规定向公路管理机构申请公路超限运输许可：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（二）在省、自治区范围内跨设区的市进行运输，或者在直辖市范围内跨区、县进行运输的，向该省级公路管理机构提出申请，由其受理并审批；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（三）在设区的市范围内跨区、县进行运输的，向该市级公路管理机构提出申请，由其受理并审批；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（四）在区、县范围内进行运输的，向该县级公路管理机构提出申请，由其受理并审批。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五、受理机构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kern w:val="21"/>
          <w:sz w:val="24"/>
          <w:szCs w:val="24"/>
        </w:rPr>
        <w:t xml:space="preserve">    新乡县交通运输局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六、</w:t>
      </w:r>
      <w:r>
        <w:rPr>
          <w:rFonts w:hint="eastAsia" w:ascii="黑体" w:hAnsi="黑体" w:eastAsia="黑体" w:cs="黑体"/>
          <w:kern w:val="21"/>
          <w:sz w:val="24"/>
          <w:szCs w:val="24"/>
          <w:lang w:eastAsia="zh-CN"/>
        </w:rPr>
        <w:t>主办</w:t>
      </w:r>
      <w:r>
        <w:rPr>
          <w:rFonts w:hint="eastAsia" w:ascii="黑体" w:hAnsi="黑体" w:eastAsia="黑体" w:cs="黑体"/>
          <w:kern w:val="21"/>
          <w:sz w:val="24"/>
          <w:szCs w:val="24"/>
        </w:rPr>
        <w:t>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kern w:val="21"/>
          <w:sz w:val="24"/>
          <w:szCs w:val="24"/>
          <w:lang w:eastAsia="zh-CN"/>
        </w:rPr>
      </w:pPr>
      <w:r>
        <w:rPr>
          <w:rFonts w:hint="eastAsia"/>
          <w:kern w:val="21"/>
          <w:sz w:val="24"/>
          <w:szCs w:val="24"/>
        </w:rPr>
        <w:t xml:space="preserve">    新乡县</w:t>
      </w:r>
      <w:r>
        <w:rPr>
          <w:rFonts w:hint="eastAsia"/>
          <w:kern w:val="21"/>
          <w:sz w:val="24"/>
          <w:szCs w:val="24"/>
          <w:lang w:eastAsia="zh-CN"/>
        </w:rPr>
        <w:t>交通运输综合服务中心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21"/>
          <w:sz w:val="24"/>
          <w:szCs w:val="24"/>
        </w:rPr>
      </w:pPr>
      <w:r>
        <w:rPr>
          <w:rFonts w:hint="eastAsia" w:ascii="黑体" w:hAnsi="黑体" w:eastAsia="黑体" w:cs="黑体"/>
          <w:kern w:val="21"/>
          <w:sz w:val="24"/>
          <w:szCs w:val="24"/>
        </w:rPr>
        <w:t>七、申请条件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（一）超过公路、公路桥梁、公路隧道或者汽车渡船的限载、限高、限宽、限长标准的车辆，确需在公路上行驶的申请；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（二）车辆运输的货物不可解体；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（三）车辆的轴载质量应当符合《公路工程技术标准》的规定；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 xml:space="preserve">（四）四级公路、等外公路和技术状况低于三类的桥梁不得进行超限运输；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1"/>
          <w:sz w:val="24"/>
          <w:szCs w:val="24"/>
        </w:rPr>
      </w:pPr>
      <w:r>
        <w:rPr>
          <w:rFonts w:hint="eastAsia"/>
          <w:kern w:val="21"/>
          <w:sz w:val="24"/>
          <w:szCs w:val="24"/>
        </w:rPr>
        <w:t>（五）经对选定运输线路上的公路、公路桥梁的承载能力进行勘测、计算，确定能够安全通行；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八、申请材料</w:t>
      </w:r>
    </w:p>
    <w:tbl>
      <w:tblPr>
        <w:tblStyle w:val="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57" w:type="dxa"/>
          <w:right w:w="108" w:type="dxa"/>
        </w:tblCellMar>
      </w:tblPr>
      <w:tblGrid>
        <w:gridCol w:w="850"/>
        <w:gridCol w:w="2268"/>
        <w:gridCol w:w="1701"/>
        <w:gridCol w:w="850"/>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val="en-US" w:eastAsia="zh-CN"/>
              </w:rPr>
              <w:t>序号</w:t>
            </w:r>
          </w:p>
        </w:tc>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申请材料名称</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1"/>
                <w:sz w:val="18"/>
                <w:szCs w:val="18"/>
                <w:vertAlign w:val="baseline"/>
                <w:lang w:eastAsia="zh-CN"/>
              </w:rPr>
              <w:t>原件</w:t>
            </w:r>
            <w:r>
              <w:rPr>
                <w:rFonts w:hint="eastAsia" w:ascii="宋体" w:hAnsi="宋体" w:eastAsia="宋体" w:cs="宋体"/>
                <w:kern w:val="21"/>
                <w:sz w:val="18"/>
                <w:szCs w:val="18"/>
                <w:vertAlign w:val="baseline"/>
                <w:lang w:val="en-US" w:eastAsia="zh-CN"/>
              </w:rPr>
              <w:t>/复印件</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份数</w:t>
            </w: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材料类型</w:t>
            </w:r>
          </w:p>
        </w:tc>
        <w:tc>
          <w:tcPr>
            <w:tcW w:w="19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1"/>
                <w:sz w:val="18"/>
                <w:szCs w:val="18"/>
                <w:vertAlign w:val="baseline"/>
                <w:lang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w:t>
            </w:r>
          </w:p>
        </w:tc>
        <w:tc>
          <w:tcPr>
            <w:tcW w:w="2268" w:type="dxa"/>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河南省普通干线公路大件运输申请表</w:t>
            </w:r>
          </w:p>
        </w:tc>
        <w:tc>
          <w:tcPr>
            <w:tcW w:w="1701"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2份</w:t>
            </w:r>
          </w:p>
        </w:tc>
        <w:tc>
          <w:tcPr>
            <w:tcW w:w="1417"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加盖申请单位公章，一式两份，一份存档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2</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承运人的道路运输经营许可证(营业执照)，经办人的身份证件和授权委托书</w:t>
            </w:r>
          </w:p>
        </w:tc>
        <w:tc>
          <w:tcPr>
            <w:tcW w:w="1701"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复印件加盖申请单位公章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3</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车辆行驶证或者临时行驶车号牌（主车和挂车行驶证、道路运输证）</w:t>
            </w:r>
          </w:p>
        </w:tc>
        <w:tc>
          <w:tcPr>
            <w:tcW w:w="1701"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原件及复印件</w:t>
            </w:r>
          </w:p>
        </w:tc>
        <w:tc>
          <w:tcPr>
            <w:tcW w:w="850"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各1</w:t>
            </w:r>
          </w:p>
        </w:tc>
        <w:tc>
          <w:tcPr>
            <w:tcW w:w="1417"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rPr>
            </w:pPr>
            <w:r>
              <w:rPr>
                <w:rFonts w:hint="eastAsia" w:ascii="宋体" w:hAnsi="宋体" w:eastAsia="宋体" w:cs="宋体"/>
                <w:kern w:val="2"/>
                <w:sz w:val="18"/>
                <w:szCs w:val="18"/>
                <w:lang w:val="en-US" w:eastAsia="zh-CN" w:bidi="ar"/>
              </w:rPr>
              <w:t>复印件加盖申请单位公章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57" w:type="dxa"/>
            <w:right w:w="108" w:type="dxa"/>
          </w:tblCellMar>
        </w:tblPrEx>
        <w:trPr>
          <w:cantSplit/>
          <w:trHeight w:val="0" w:hRule="atLeast"/>
          <w:jc w:val="center"/>
        </w:trPr>
        <w:tc>
          <w:tcPr>
            <w:tcW w:w="85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4</w:t>
            </w:r>
          </w:p>
        </w:tc>
        <w:tc>
          <w:tcPr>
            <w:tcW w:w="2268"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0"/>
                <w:sz w:val="18"/>
                <w:szCs w:val="18"/>
                <w:lang w:val="en-US" w:eastAsia="zh-CN" w:bidi="ar"/>
              </w:rPr>
              <w:t>载货时车货总体外廓尺寸信息的轮廓图和护送方案。</w:t>
            </w:r>
          </w:p>
        </w:tc>
        <w:tc>
          <w:tcPr>
            <w:tcW w:w="1701"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原件</w:t>
            </w:r>
          </w:p>
        </w:tc>
        <w:tc>
          <w:tcPr>
            <w:tcW w:w="850"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val="en-US" w:eastAsia="zh-CN"/>
              </w:rPr>
            </w:pPr>
            <w:r>
              <w:rPr>
                <w:rFonts w:hint="eastAsia" w:ascii="宋体" w:hAnsi="宋体" w:eastAsia="宋体" w:cs="宋体"/>
                <w:kern w:val="2"/>
                <w:sz w:val="18"/>
                <w:szCs w:val="18"/>
                <w:lang w:val="en-US" w:eastAsia="zh-CN" w:bidi="ar"/>
              </w:rPr>
              <w:t>1份</w:t>
            </w:r>
          </w:p>
        </w:tc>
        <w:tc>
          <w:tcPr>
            <w:tcW w:w="1417"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纸质</w:t>
            </w:r>
          </w:p>
        </w:tc>
        <w:tc>
          <w:tcPr>
            <w:tcW w:w="1984" w:type="dxa"/>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kern w:val="21"/>
                <w:sz w:val="18"/>
                <w:szCs w:val="18"/>
                <w:vertAlign w:val="baseline"/>
                <w:lang w:eastAsia="zh-CN"/>
              </w:rPr>
            </w:pPr>
            <w:r>
              <w:rPr>
                <w:rFonts w:hint="eastAsia" w:ascii="宋体" w:hAnsi="宋体" w:eastAsia="宋体" w:cs="宋体"/>
                <w:kern w:val="2"/>
                <w:sz w:val="18"/>
                <w:szCs w:val="18"/>
                <w:lang w:val="en-US" w:eastAsia="zh-CN" w:bidi="ar"/>
              </w:rPr>
              <w:t>加盖申请单位公章</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九、办理流程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窗口对申请材料进行审查，能当场予以确认的，出具受理通知书；不能当场确认的，自收到材料起三个工作日内做出是否受理的决定；申请材料存在可以当场更正的错误的，应当允许申请人当场更正；材料不齐或不符合法定形式的，应当场或者三日内一次性告知申请人需要补正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受理机构依据相关法律法规组织实施审查程序。符合条件的，予以许可；不符合条件的，不予许可，并书面说明理由。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（三）决定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审查通过的，予以发放《河南省普通公路超限运输车辆通行证》。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十、办理方式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（一）窗口办理：至新乡县行政服务中心综合窗口提交申请材料；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（二）网上办理：登录河南省政务服务网http://www.hnzwfw.gov.cn/，按照提示进行网上申请。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十一、办结时限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（一）法定时限：自受理之日起20个工作日；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（二）承诺时限：自受理之日起15个工作日。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承诺时限不包含听证、招标、拍卖、检验、检测、检疫、鉴定和专家评审、现场勘察、补件、上报（转报）等步骤所需要的时间。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十二、收费依据及标准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本事项不收费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十三、结果送达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至新乡县行政服务中心综合窗口领取，或通过邮寄方式送达。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十四、行政救济途径与方式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申请人在事项办理过程中，依法享有陈述权、申辩权；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申请人在申请事项被驳回时，有权要求说明理由；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申请人不服许可决定的，依法享有申请行政复议或提起行政诉讼的权利。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十五、咨询方式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（一）现场咨询：新乡县行政服务中心综合窗口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（二）电话咨询：0373-5063804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十六、监督投诉渠道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新乡县交通运输局法规科：0373-7083511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十七、办公地址和时间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办公地址：新乡县中央大道与金融路口向南100米路东，新乡县行政服务中心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办公时间：上午9:00—下午5:00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十八、办理进程和结果查询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（一）现场查询：新乡县行政服务中心综合窗口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t>（二）网上查询：河南省政务服务网http://www.hnzwfw.gov.cn/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r>
        <w:rPr>
          <w:rFonts w:hint="eastAsia" w:ascii="黑体" w:hAnsi="黑体" w:eastAsia="黑体" w:cs="黑体"/>
          <w:kern w:val="21"/>
          <w:sz w:val="24"/>
          <w:szCs w:val="24"/>
          <w:lang w:eastAsia="zh-CN"/>
        </w:rPr>
        <w:t>十九、办理结果样本</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kern w:val="21"/>
          <w:sz w:val="24"/>
          <w:szCs w:val="24"/>
          <w:lang w:eastAsia="zh-CN"/>
        </w:rPr>
      </w:pPr>
      <w:r>
        <w:rPr>
          <w:rFonts w:hint="default" w:ascii="Times New Roman" w:hAnsi="Times New Roman" w:eastAsia="宋体" w:cs="Times New Roman"/>
          <w:kern w:val="2"/>
          <w:sz w:val="21"/>
          <w:szCs w:val="22"/>
          <w:lang w:val="en-US" w:eastAsia="zh-CN" w:bidi="ar"/>
        </w:rPr>
        <w:drawing>
          <wp:inline distT="0" distB="0" distL="114300" distR="114300">
            <wp:extent cx="5591175" cy="3171825"/>
            <wp:effectExtent l="0" t="0" r="9525" b="9525"/>
            <wp:docPr id="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
                    <pic:cNvPicPr>
                      <a:picLocks noChangeAspect="1"/>
                    </pic:cNvPicPr>
                  </pic:nvPicPr>
                  <pic:blipFill>
                    <a:blip r:embed="rId4"/>
                    <a:stretch>
                      <a:fillRect/>
                    </a:stretch>
                  </pic:blipFill>
                  <pic:spPr>
                    <a:xfrm>
                      <a:off x="0" y="0"/>
                      <a:ext cx="5591175" cy="3171825"/>
                    </a:xfrm>
                    <a:prstGeom prst="rect">
                      <a:avLst/>
                    </a:prstGeom>
                    <a:noFill/>
                    <a:ln w="9525">
                      <a:noFill/>
                    </a:ln>
                  </pic:spPr>
                </pic:pic>
              </a:graphicData>
            </a:graphic>
          </wp:inline>
        </w:drawing>
      </w:r>
      <w:r>
        <w:rPr>
          <w:rFonts w:hint="default" w:ascii="Times New Roman" w:hAnsi="Times New Roman" w:eastAsia="宋体" w:cs="Times New Roman"/>
          <w:kern w:val="2"/>
          <w:sz w:val="21"/>
          <w:szCs w:val="22"/>
          <w:lang w:val="en-US" w:eastAsia="zh-CN" w:bidi="ar"/>
        </w:rPr>
        <w:drawing>
          <wp:inline distT="0" distB="0" distL="114300" distR="114300">
            <wp:extent cx="5591175" cy="3171825"/>
            <wp:effectExtent l="0" t="0" r="9525" b="9525"/>
            <wp:docPr id="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pic:cNvPicPr>
                      <a:picLocks noChangeAspect="1"/>
                    </pic:cNvPicPr>
                  </pic:nvPicPr>
                  <pic:blipFill>
                    <a:blip r:embed="rId5"/>
                    <a:stretch>
                      <a:fillRect/>
                    </a:stretch>
                  </pic:blipFill>
                  <pic:spPr>
                    <a:xfrm>
                      <a:off x="0" y="0"/>
                      <a:ext cx="5591175" cy="31718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二十、申请材料示范文本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widowControl w:val="0"/>
        <w:suppressLineNumbers w:val="0"/>
        <w:spacing w:before="0" w:beforeAutospacing="0" w:after="0" w:afterAutospacing="0" w:line="400" w:lineRule="exact"/>
        <w:ind w:left="0" w:right="0"/>
        <w:jc w:val="center"/>
        <w:rPr>
          <w:rFonts w:hint="eastAsia" w:ascii="仿宋_GB2312" w:hAnsi="仿宋" w:eastAsia="仿宋_GB2312" w:cs="仿宋_GB2312"/>
          <w:sz w:val="32"/>
          <w:szCs w:val="32"/>
          <w:lang w:val="en-US"/>
        </w:rPr>
      </w:pPr>
      <w:r>
        <w:rPr>
          <w:rFonts w:hint="eastAsia" w:ascii="宋体" w:hAnsi="宋体" w:eastAsia="宋体" w:cs="宋体"/>
          <w:b/>
          <w:bCs w:val="0"/>
          <w:spacing w:val="20"/>
          <w:kern w:val="2"/>
          <w:sz w:val="32"/>
          <w:szCs w:val="32"/>
          <w:lang w:val="en-US" w:eastAsia="zh-CN" w:bidi="ar"/>
        </w:rPr>
        <w:t>河南省普通公路大件运输申请</w:t>
      </w:r>
    </w:p>
    <w:tbl>
      <w:tblPr>
        <w:tblStyle w:val="2"/>
        <w:tblpPr w:leftFromText="180" w:rightFromText="180" w:vertAnchor="page" w:horzAnchor="margin" w:tblpXSpec="center" w:tblpY="2624"/>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4"/>
        <w:gridCol w:w="1353"/>
        <w:gridCol w:w="1445"/>
        <w:gridCol w:w="1438"/>
        <w:gridCol w:w="111"/>
        <w:gridCol w:w="561"/>
        <w:gridCol w:w="1288"/>
        <w:gridCol w:w="464"/>
        <w:gridCol w:w="662"/>
        <w:gridCol w:w="28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4" w:hRule="atLeast"/>
          <w:jc w:val="center"/>
        </w:trPr>
        <w:tc>
          <w:tcPr>
            <w:tcW w:w="1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210" w:right="0" w:hanging="210" w:hangingChars="100"/>
              <w:jc w:val="center"/>
              <w:rPr>
                <w:rFonts w:hint="eastAsia" w:ascii="宋体" w:hAnsi="Calibri" w:eastAsia="宋体" w:cs="宋体"/>
                <w:lang w:val="en-US"/>
              </w:rPr>
            </w:pPr>
            <w:r>
              <w:rPr>
                <w:rFonts w:hint="eastAsia" w:ascii="宋体" w:hAnsi="宋体" w:eastAsia="宋体" w:cs="宋体"/>
                <w:kern w:val="2"/>
                <w:sz w:val="21"/>
                <w:szCs w:val="24"/>
                <w:lang w:val="en-US" w:eastAsia="zh-CN" w:bidi="ar"/>
              </w:rPr>
              <w:t xml:space="preserve">承运人       </w:t>
            </w:r>
          </w:p>
          <w:p>
            <w:pPr>
              <w:keepNext w:val="0"/>
              <w:keepLines w:val="0"/>
              <w:widowControl w:val="0"/>
              <w:suppressLineNumbers w:val="0"/>
              <w:spacing w:before="0" w:beforeAutospacing="0" w:after="0" w:afterAutospacing="0" w:line="400" w:lineRule="exact"/>
              <w:ind w:left="210" w:right="0" w:hanging="210" w:hangingChars="100"/>
              <w:jc w:val="center"/>
              <w:rPr>
                <w:rFonts w:hint="eastAsia" w:ascii="宋体" w:hAnsi="Calibri" w:eastAsia="宋体" w:cs="宋体"/>
                <w:lang w:val="en-US"/>
              </w:rPr>
            </w:pPr>
            <w:r>
              <w:rPr>
                <w:rFonts w:hint="eastAsia" w:ascii="宋体" w:hAnsi="宋体" w:eastAsia="宋体" w:cs="宋体"/>
                <w:kern w:val="2"/>
                <w:sz w:val="21"/>
                <w:szCs w:val="24"/>
                <w:lang w:val="en-US" w:eastAsia="zh-CN" w:bidi="ar"/>
              </w:rPr>
              <w:t>（单位或个人）</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jc w:val="center"/>
        </w:trPr>
        <w:tc>
          <w:tcPr>
            <w:tcW w:w="1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法定代表人</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身份证号码</w:t>
            </w:r>
          </w:p>
        </w:tc>
        <w:tc>
          <w:tcPr>
            <w:tcW w:w="1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1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联系电话</w:t>
            </w:r>
          </w:p>
        </w:tc>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jc w:val="center"/>
        </w:trPr>
        <w:tc>
          <w:tcPr>
            <w:tcW w:w="1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经 办 人</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身份证号码</w:t>
            </w:r>
          </w:p>
        </w:tc>
        <w:tc>
          <w:tcPr>
            <w:tcW w:w="1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1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联系电话</w:t>
            </w:r>
          </w:p>
        </w:tc>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jc w:val="center"/>
        </w:trPr>
        <w:tc>
          <w:tcPr>
            <w:tcW w:w="1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拟行驶时间</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1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拟车辆起讫点</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3420" w:firstLineChars="190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起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3"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拟车辆通行路线：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车</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辆</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情</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况</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车 辆 号 牌</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主车：                 挂车：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车 辆 类 型</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2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轴   距（m）</w:t>
            </w:r>
          </w:p>
        </w:tc>
        <w:tc>
          <w:tcPr>
            <w:tcW w:w="36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厂 牌 型号</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2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核定载质量(T)</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1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整备质量（T）</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轴      数</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2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轴  荷 分 布</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1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轮  胎  数</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货</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物</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情</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况</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货 物 名 称</w:t>
            </w:r>
          </w:p>
        </w:tc>
        <w:tc>
          <w:tcPr>
            <w:tcW w:w="35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货物总质量 （T）</w:t>
            </w:r>
          </w:p>
        </w:tc>
        <w:tc>
          <w:tcPr>
            <w:tcW w:w="23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货物外廓尺寸</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长：              米，宽：           米，高：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载后情况</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车货总质量（T）</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车 货 总 体    外 廓 尺 寸</w:t>
            </w:r>
          </w:p>
        </w:tc>
        <w:tc>
          <w:tcPr>
            <w:tcW w:w="72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长：              米，宽：           米，高：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备 注：</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1、本表由承运单位或个人认真填写，同时提供道路经营许可证、</w:t>
            </w:r>
            <w:r>
              <w:rPr>
                <w:rFonts w:hint="eastAsia" w:ascii="宋体" w:hAnsi="宋体" w:eastAsia="宋体" w:cs="宋体"/>
                <w:kern w:val="0"/>
                <w:sz w:val="18"/>
                <w:szCs w:val="18"/>
                <w:lang w:val="en-US" w:eastAsia="zh-CN" w:bidi="ar"/>
              </w:rPr>
              <w:t>车辆行驶证或者临时行驶车号牌、营运证。</w:t>
            </w:r>
            <w:r>
              <w:rPr>
                <w:rFonts w:hint="eastAsia" w:ascii="宋体" w:hAnsi="宋体" w:eastAsia="宋体" w:cs="宋体"/>
                <w:kern w:val="2"/>
                <w:sz w:val="18"/>
                <w:szCs w:val="18"/>
                <w:lang w:val="en-US" w:eastAsia="zh-CN" w:bidi="ar"/>
              </w:rPr>
              <w:t>车货总高度从地面算起超过4.5米，或者总宽度超过3.75米，或者总长度超过28米，或者总质量超过100000千克，以及其他可能严重影响公路完好、安全、畅通情形的，还应当提交记录载货时车货总体外廓尺寸信息的轮廓图和护送方案。</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kern w:val="0"/>
                <w:sz w:val="18"/>
                <w:szCs w:val="18"/>
                <w:lang w:val="en-US"/>
              </w:rPr>
            </w:pPr>
            <w:r>
              <w:rPr>
                <w:rFonts w:hint="eastAsia" w:ascii="宋体" w:hAnsi="宋体" w:eastAsia="宋体" w:cs="宋体"/>
                <w:kern w:val="2"/>
                <w:sz w:val="18"/>
                <w:szCs w:val="18"/>
                <w:lang w:val="en-US" w:eastAsia="zh-CN" w:bidi="ar"/>
              </w:rPr>
              <w:t>2、拟运输的起讫点应精确到门牌号。</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3、拟通行路线应明确省辖市级行政区域名称及现行公路编号。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申 请 日 期</w:t>
            </w:r>
          </w:p>
        </w:tc>
        <w:tc>
          <w:tcPr>
            <w:tcW w:w="28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36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 xml:space="preserve">      年    月   日</w:t>
            </w:r>
          </w:p>
        </w:tc>
        <w:tc>
          <w:tcPr>
            <w:tcW w:w="24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宋体"/>
                <w:sz w:val="18"/>
                <w:szCs w:val="18"/>
                <w:lang w:val="en-US"/>
              </w:rPr>
            </w:pPr>
            <w:r>
              <w:rPr>
                <w:rFonts w:hint="eastAsia" w:ascii="宋体" w:hAnsi="宋体" w:eastAsia="宋体" w:cs="宋体"/>
                <w:kern w:val="2"/>
                <w:sz w:val="18"/>
                <w:szCs w:val="18"/>
                <w:lang w:val="en-US" w:eastAsia="zh-CN" w:bidi="ar"/>
              </w:rPr>
              <w:t>申请人签名或盖章</w:t>
            </w:r>
          </w:p>
        </w:tc>
        <w:tc>
          <w:tcPr>
            <w:tcW w:w="19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right"/>
              <w:rPr>
                <w:rFonts w:hint="eastAsia" w:ascii="宋体" w:hAnsi="Calibri" w:eastAsia="宋体" w:cs="宋体"/>
                <w:sz w:val="18"/>
                <w:szCs w:val="18"/>
                <w:lang w:val="en-US"/>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1"/>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黑体" w:hAnsi="黑体" w:eastAsia="黑体" w:cs="黑体"/>
          <w:kern w:val="21"/>
          <w:sz w:val="24"/>
          <w:szCs w:val="24"/>
          <w:lang w:eastAsia="zh-CN"/>
        </w:rPr>
        <w:t>二十一、服务事项流程图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1"/>
          <w:sz w:val="24"/>
          <w:szCs w:val="24"/>
          <w:lang w:eastAsia="zh-CN"/>
        </w:rPr>
      </w:pPr>
      <w:r>
        <w:rPr>
          <w:rFonts w:hint="eastAsia" w:asciiTheme="minorEastAsia" w:hAnsiTheme="minorEastAsia" w:eastAsiaTheme="minorEastAsia" w:cstheme="minorEastAsia"/>
          <w:kern w:val="21"/>
          <w:sz w:val="24"/>
          <w:szCs w:val="24"/>
          <w:lang w:eastAsia="zh-CN"/>
        </w:rPr>
        <w:drawing>
          <wp:inline distT="0" distB="0" distL="114300" distR="114300">
            <wp:extent cx="5605145" cy="7663180"/>
            <wp:effectExtent l="0" t="0" r="14605" b="13970"/>
            <wp:docPr id="5" name="图片 5" descr="行政许可类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行政许可类流程图"/>
                    <pic:cNvPicPr>
                      <a:picLocks noChangeAspect="1"/>
                    </pic:cNvPicPr>
                  </pic:nvPicPr>
                  <pic:blipFill>
                    <a:blip r:embed="rId6"/>
                    <a:stretch>
                      <a:fillRect/>
                    </a:stretch>
                  </pic:blipFill>
                  <pic:spPr>
                    <a:xfrm>
                      <a:off x="0" y="0"/>
                      <a:ext cx="5605145" cy="7663180"/>
                    </a:xfrm>
                    <a:prstGeom prst="rect">
                      <a:avLst/>
                    </a:prstGeom>
                  </pic:spPr>
                </pic:pic>
              </a:graphicData>
            </a:graphic>
          </wp:inline>
        </w:drawing>
      </w:r>
    </w:p>
    <w:p>
      <w:pPr>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NzQwOGMxZmE2MGRlYTFmYTI3OGM0M2RhZjA2NWQifQ=="/>
  </w:docVars>
  <w:rsids>
    <w:rsidRoot w:val="00217978"/>
    <w:rsid w:val="00217978"/>
    <w:rsid w:val="54B46994"/>
    <w:rsid w:val="6505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624</Characters>
  <Lines>0</Lines>
  <Paragraphs>0</Paragraphs>
  <TotalTime>0</TotalTime>
  <ScaleCrop>false</ScaleCrop>
  <LinksUpToDate>false</LinksUpToDate>
  <CharactersWithSpaces>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2023-08-07T02:46:00Z</dcterms:created>
  <dc:creator>L</dc:creator>
  <cp:lastModifiedBy>沙雕是世界快乐的源泉</cp:lastModifiedBy>
  <dcterms:modified xsi:type="dcterms:W3CDTF">2023-08-07T07:32:18Z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16CAC0C6CB5141FFA7195C84DB8C6A59_12</vt:lpwstr>
  </property>
</Properties>
</file>