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bookmarkStart w:id="0" w:name="bookmark34"/>
      <w:bookmarkStart w:id="1" w:name="bookmark33"/>
      <w:bookmarkStart w:id="2" w:name="bookmark32"/>
      <w:r>
        <w:rPr>
          <w:rFonts w:hint="eastAsia" w:ascii="方正小标宋简体" w:hAnsi="方正小标宋简体" w:eastAsia="方正小标宋简体" w:cs="方正小标宋简体"/>
          <w:sz w:val="44"/>
          <w:szCs w:val="44"/>
          <w:lang w:val="en-US" w:eastAsia="zh-CN"/>
        </w:rPr>
        <w:t>新乡县</w:t>
      </w:r>
      <w:r>
        <w:rPr>
          <w:rFonts w:hint="eastAsia" w:ascii="方正小标宋简体" w:hAnsi="方正小标宋简体" w:eastAsia="方正小标宋简体" w:cs="方正小标宋简体"/>
          <w:sz w:val="44"/>
          <w:szCs w:val="44"/>
        </w:rPr>
        <w:t>交由乡镇行使的行政处罚权事项清单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文星标宋" w:hAnsi="文星标宋" w:eastAsia="文星标宋" w:cs="文星标宋"/>
          <w:sz w:val="44"/>
          <w:szCs w:val="44"/>
        </w:rPr>
      </w:pPr>
    </w:p>
    <w:tbl>
      <w:tblPr>
        <w:tblStyle w:val="3"/>
        <w:tblpPr w:leftFromText="180" w:rightFromText="180" w:vertAnchor="text" w:horzAnchor="page" w:tblpXSpec="center" w:tblpY="-277"/>
        <w:tblOverlap w:val="never"/>
        <w:tblW w:w="9173" w:type="dxa"/>
        <w:jc w:val="center"/>
        <w:tblLayout w:type="fixed"/>
        <w:tblCellMar>
          <w:top w:w="0" w:type="dxa"/>
          <w:left w:w="10" w:type="dxa"/>
          <w:bottom w:w="0" w:type="dxa"/>
          <w:right w:w="10" w:type="dxa"/>
        </w:tblCellMar>
      </w:tblPr>
      <w:tblGrid>
        <w:gridCol w:w="830"/>
        <w:gridCol w:w="3592"/>
        <w:gridCol w:w="3067"/>
        <w:gridCol w:w="1684"/>
      </w:tblGrid>
      <w:tr>
        <w:tblPrEx>
          <w:tblCellMar>
            <w:top w:w="0" w:type="dxa"/>
            <w:left w:w="10" w:type="dxa"/>
            <w:bottom w:w="0" w:type="dxa"/>
            <w:right w:w="10" w:type="dxa"/>
          </w:tblCellMar>
        </w:tblPrEx>
        <w:trPr>
          <w:cantSplit/>
          <w:trHeight w:val="595" w:hRule="exact"/>
          <w:tblHeader/>
          <w:jc w:val="center"/>
        </w:trPr>
        <w:tc>
          <w:tcPr>
            <w:tcW w:w="83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0"/>
                <w:szCs w:val="30"/>
              </w:rPr>
            </w:pPr>
            <w:r>
              <w:rPr>
                <w:rFonts w:hint="eastAsia" w:ascii="文星标宋" w:hAnsi="文星标宋" w:eastAsia="文星标宋" w:cs="文星标宋"/>
                <w:sz w:val="30"/>
                <w:szCs w:val="30"/>
              </w:rPr>
              <w:br w:type="page"/>
            </w:r>
            <w:bookmarkEnd w:id="0"/>
            <w:bookmarkEnd w:id="1"/>
            <w:bookmarkEnd w:id="2"/>
            <w:r>
              <w:rPr>
                <w:rFonts w:hint="eastAsia" w:ascii="宋体" w:hAnsi="宋体" w:eastAsia="宋体" w:cs="宋体"/>
                <w:b/>
                <w:bCs/>
                <w:sz w:val="30"/>
                <w:szCs w:val="30"/>
              </w:rPr>
              <w:t>序号</w:t>
            </w:r>
          </w:p>
        </w:tc>
        <w:tc>
          <w:tcPr>
            <w:tcW w:w="35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赋权事项</w:t>
            </w:r>
          </w:p>
        </w:tc>
        <w:tc>
          <w:tcPr>
            <w:tcW w:w="306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实施依据</w:t>
            </w:r>
          </w:p>
        </w:tc>
        <w:tc>
          <w:tcPr>
            <w:tcW w:w="168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原实施部门</w:t>
            </w:r>
          </w:p>
        </w:tc>
      </w:tr>
      <w:tr>
        <w:tblPrEx>
          <w:tblCellMar>
            <w:top w:w="0" w:type="dxa"/>
            <w:left w:w="10" w:type="dxa"/>
            <w:bottom w:w="0" w:type="dxa"/>
            <w:right w:w="10" w:type="dxa"/>
          </w:tblCellMar>
        </w:tblPrEx>
        <w:trPr>
          <w:trHeight w:val="2223" w:hRule="exact"/>
          <w:jc w:val="center"/>
        </w:trPr>
        <w:tc>
          <w:tcPr>
            <w:tcW w:w="83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5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对买卖或者以其他形式非法转让土地的处罚</w:t>
            </w:r>
          </w:p>
        </w:tc>
        <w:tc>
          <w:tcPr>
            <w:tcW w:w="306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《中华人民共和国土地管理法》第七十四条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《中华人民共和国土地管理法实施条例》第五十四条</w:t>
            </w:r>
          </w:p>
        </w:tc>
        <w:tc>
          <w:tcPr>
            <w:tcW w:w="168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2284" w:hRule="exact"/>
          <w:jc w:val="center"/>
        </w:trPr>
        <w:tc>
          <w:tcPr>
            <w:tcW w:w="83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59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对拒不履行土地复垦义务的处罚</w:t>
            </w:r>
          </w:p>
        </w:tc>
        <w:tc>
          <w:tcPr>
            <w:tcW w:w="306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《中华人民共和国土地管理法》第七十六条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《中华人民共和国土地管理法实施条例》第五十六条</w:t>
            </w:r>
          </w:p>
        </w:tc>
        <w:tc>
          <w:tcPr>
            <w:tcW w:w="168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2313" w:hRule="exact"/>
          <w:jc w:val="center"/>
        </w:trPr>
        <w:tc>
          <w:tcPr>
            <w:tcW w:w="83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592"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对在国土空间规划确定的禁止开垦的范围内从事土地开发活动的处罚</w:t>
            </w:r>
          </w:p>
        </w:tc>
        <w:tc>
          <w:tcPr>
            <w:tcW w:w="306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《中华人民共和国土地管理法》第七十七条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《中华人民共和国土地管理法实施条例》第五十七条</w:t>
            </w:r>
          </w:p>
        </w:tc>
        <w:tc>
          <w:tcPr>
            <w:tcW w:w="16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2578" w:hRule="exact"/>
          <w:jc w:val="center"/>
        </w:trPr>
        <w:tc>
          <w:tcPr>
            <w:tcW w:w="83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p>
        </w:tc>
        <w:tc>
          <w:tcPr>
            <w:tcW w:w="3592"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对依法收回国有土地使用权当事人拒不交出土地的，临时使用土地期满拒不归的，或者不按照批准的用途使用国有土地的处罚</w:t>
            </w:r>
          </w:p>
        </w:tc>
        <w:tc>
          <w:tcPr>
            <w:tcW w:w="306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《中华人民共和国土地管理法》第八十一条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《中华人民共和国土地管理法实施条例》第五十九条</w:t>
            </w:r>
          </w:p>
        </w:tc>
        <w:tc>
          <w:tcPr>
            <w:tcW w:w="16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bl>
    <w:tbl>
      <w:tblPr>
        <w:tblStyle w:val="3"/>
        <w:tblW w:w="9409" w:type="dxa"/>
        <w:jc w:val="center"/>
        <w:tblLayout w:type="fixed"/>
        <w:tblCellMar>
          <w:top w:w="0" w:type="dxa"/>
          <w:left w:w="10" w:type="dxa"/>
          <w:bottom w:w="0" w:type="dxa"/>
          <w:right w:w="10" w:type="dxa"/>
        </w:tblCellMar>
      </w:tblPr>
      <w:tblGrid>
        <w:gridCol w:w="811"/>
        <w:gridCol w:w="5"/>
        <w:gridCol w:w="3555"/>
        <w:gridCol w:w="191"/>
        <w:gridCol w:w="2875"/>
        <w:gridCol w:w="1972"/>
      </w:tblGrid>
      <w:tr>
        <w:tblPrEx>
          <w:tblCellMar>
            <w:top w:w="0" w:type="dxa"/>
            <w:left w:w="10" w:type="dxa"/>
            <w:bottom w:w="0" w:type="dxa"/>
            <w:right w:w="10" w:type="dxa"/>
          </w:tblCellMar>
        </w:tblPrEx>
        <w:trPr>
          <w:trHeight w:val="567" w:hRule="exact"/>
          <w:tblHeader/>
          <w:jc w:val="center"/>
        </w:trPr>
        <w:tc>
          <w:tcPr>
            <w:tcW w:w="8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0"/>
                <w:szCs w:val="30"/>
                <w:lang w:val="en-US" w:eastAsia="zh-CN" w:bidi="ar-SA"/>
              </w:rPr>
            </w:pPr>
            <w:r>
              <w:rPr>
                <w:rFonts w:hint="eastAsia" w:ascii="文星标宋" w:hAnsi="文星标宋" w:eastAsia="文星标宋" w:cs="文星标宋"/>
                <w:sz w:val="30"/>
                <w:szCs w:val="30"/>
              </w:rPr>
              <w:br w:type="page"/>
            </w:r>
            <w:r>
              <w:rPr>
                <w:rFonts w:hint="eastAsia" w:ascii="宋体" w:hAnsi="宋体" w:eastAsia="宋体" w:cs="宋体"/>
                <w:b/>
                <w:bCs/>
                <w:sz w:val="30"/>
                <w:szCs w:val="30"/>
              </w:rPr>
              <w:t>序号</w:t>
            </w:r>
          </w:p>
        </w:tc>
        <w:tc>
          <w:tcPr>
            <w:tcW w:w="3751" w:type="dxa"/>
            <w:gridSpan w:val="3"/>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rPr>
              <w:t>赋权事项</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rPr>
              <w:t>实施依据</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rPr>
              <w:t>原实施部门</w:t>
            </w:r>
          </w:p>
        </w:tc>
      </w:tr>
      <w:tr>
        <w:tblPrEx>
          <w:tblCellMar>
            <w:top w:w="0" w:type="dxa"/>
            <w:left w:w="10" w:type="dxa"/>
            <w:bottom w:w="0" w:type="dxa"/>
            <w:right w:w="10" w:type="dxa"/>
          </w:tblCellMar>
        </w:tblPrEx>
        <w:trPr>
          <w:trHeight w:val="3257" w:hRule="exact"/>
          <w:jc w:val="center"/>
        </w:trPr>
        <w:tc>
          <w:tcPr>
            <w:tcW w:w="8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751" w:type="dxa"/>
            <w:gridSpan w:val="3"/>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对擅自将农民集体所有的土地通过出让、转让使用权或者出租等方式用于非农建设，或者违反规定将集体经营性建设用地通过出让、出租等方式交由单位或者个人使用的的处罚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《中华人民共和国土地管理法》第八十二条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《中华人民共和国土地管理法实施条例》第六十条</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1583" w:hRule="exact"/>
          <w:jc w:val="center"/>
        </w:trPr>
        <w:tc>
          <w:tcPr>
            <w:tcW w:w="8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751" w:type="dxa"/>
            <w:gridSpan w:val="3"/>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对未经批准进行临时建设的处罚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《中华人民共和国城乡规划法》第六十六条第一项</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2757"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对临时建筑物、构筑物超过批准期限不拆除的处罚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《中华人民共和国城乡规划法》第六十六条第三项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2227"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8</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对接受土地调查的单位和个人无正当理由不履行现场指界义务的处罚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1《土地调查条例》第十七条、第三十二条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2.《土地调查条例实施办法》第二十九条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1947"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9</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对擅自转让、出租、抵押划拨土地使用权的处罚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《河南省城镇国有土地使用权出让和转让管理规定》第四十八条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自然资源局</w:t>
            </w:r>
          </w:p>
        </w:tc>
      </w:tr>
      <w:tr>
        <w:tblPrEx>
          <w:tblCellMar>
            <w:top w:w="0" w:type="dxa"/>
            <w:left w:w="10" w:type="dxa"/>
            <w:bottom w:w="0" w:type="dxa"/>
            <w:right w:w="10" w:type="dxa"/>
          </w:tblCellMar>
        </w:tblPrEx>
        <w:trPr>
          <w:trHeight w:val="1365"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374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对毁损、覆盖、涂改、擅自拆除或者移动燃气设施安全警示标志的处罚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《城镇燃气管理条例》第五十一条第二款</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387"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374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对将建筑垃圾混入生活垃圾的处罚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《城市建筑垃圾管理规定》第二十条第一款第一项及第二款</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512"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374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对擅自设立弃置场受纳建筑垃圾的处罚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《城市建筑垃圾管理规定》第二十条第一款第三项及第二款</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208"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对未按规定缴纳城市生活</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垃圾处理费的处罚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《城市生活垃圾管理办法》第三十八条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353"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14</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对饲养家禽家畜影响市容和环境卫生的处罚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《河南省〈城市市容和环境卫生管理条例〉实施办法》第三十一条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633"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15</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对擅自在街道两侧和其他公共场所临时堆放物料、摆摊设点影响市容的处罚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《河南省〈城市市容和环境卫生管理条例〉实施办法》第三十二条第二项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978"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16</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对擅自在街道两侧和其他公共场所搭建非永久性建筑物、构筑物或者设置商亭等其他设施，影响市容的处罚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《河南省〈城市市容和环境卫生管理条例〉实施办法》第三十二条第 二项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633"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17</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对未经批准擅自拆除环境卫生设施或者未按批准的拆迁方案进行拆迁的处罚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《河南省〈城市市容和环境卫生管理条例〉实施办法》第三十二条第三项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565" w:hRule="exact"/>
          <w:jc w:val="center"/>
        </w:trPr>
        <w:tc>
          <w:tcPr>
            <w:tcW w:w="81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18</w:t>
            </w:r>
          </w:p>
        </w:tc>
        <w:tc>
          <w:tcPr>
            <w:tcW w:w="3751" w:type="dxa"/>
            <w:gridSpan w:val="3"/>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对在禁止区域内露天烧烤食品或者为露天烧烤食品提供场地的处罚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《新乡市大气污染防治条例》第四十条</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2102"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对节庆、文化、体育等活动举办者未及时清除产生的垃圾等废弃物的处罚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《新乡市城市市容和环境卫生管理条例》第三十八条第三款、第五十四条第三项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2102"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对将落叶、纸屑、尘土等垃圾扫入下水道、绿地和河沟内的处罚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《新乡市城市市容和环境卫生管理条例》第三十九条第二款、第五十五条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2102"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21</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对施工单位将维修管道、清疏河道或者排水管（沟）等产生的淤泥、污物直接堆放 在城市道路上的处罚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《新乡市城市市容和环境卫生管理条例》第四十条第一款、第五十 五条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2102"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22</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对施工或者养护管理单位未即时清理栽培或者修剪树木、花卉、草坪等作业产生的枝叶、泥土等废弃物的 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《新乡市城市市容和环境卫生管理条例》第四十条第二款、第五十五条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2102" w:hRule="exact"/>
          <w:jc w:val="center"/>
        </w:trPr>
        <w:tc>
          <w:tcPr>
            <w:tcW w:w="811"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23</w:t>
            </w:r>
          </w:p>
        </w:tc>
        <w:tc>
          <w:tcPr>
            <w:tcW w:w="3751" w:type="dxa"/>
            <w:gridSpan w:val="3"/>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对饲养人或者管理人未即时清理宠物在城市道路、公共场所排泄的粪便的处罚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《新乡市城市市容和环境卫生管理条例》第四十二条第二款、第五十七条第二项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622"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374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对建（构）筑物外立面出现 残破等情况未及时修复的处罚</w:t>
            </w:r>
          </w:p>
        </w:tc>
        <w:tc>
          <w:tcPr>
            <w:tcW w:w="287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《新乡市城市市容和环境卫生管理条例》第四十六条第一项</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781"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对擅自在城市道路设置斜 坡、台阶的，或者设置地桩、地锁以及放置其他障碍物圈占道路、公共场地的处罚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《新乡市城市市容和环境卫生管理条例》第四十七条第二项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3591"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26</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擅自占用城市道路以及桥梁、地下通道、广场等公共场所从事经营活动的，临街和广场周边的经营者超出门窗、外墙进行店外经营、作业或者展示、堆放物品的，或者占用城市道路两侧的公共区域从事经营车辆维修、清洗和装饰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《新乡市城市市容和环境卫生管理条例》第四十八条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546"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27</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对乱丢电池、荧光灯管、显示器等特殊废弃物或者乱扔动物尸体的处罚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《新乡市城市市容和环境卫生管理条例》第五十八条第二项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城市管理局</w:t>
            </w:r>
          </w:p>
        </w:tc>
      </w:tr>
      <w:tr>
        <w:tblPrEx>
          <w:tblCellMar>
            <w:top w:w="0" w:type="dxa"/>
            <w:left w:w="10" w:type="dxa"/>
            <w:bottom w:w="0" w:type="dxa"/>
            <w:right w:w="10" w:type="dxa"/>
          </w:tblCellMar>
        </w:tblPrEx>
        <w:trPr>
          <w:trHeight w:val="1706"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28</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对在公路、公路用地范围内设置电杆、变压器及其他类似设施的处罚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《河南省公路管理条例》第二十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条第一款第一项、第四十七条第一款第一项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tc>
      </w:tr>
      <w:tr>
        <w:tblPrEx>
          <w:tblCellMar>
            <w:top w:w="0" w:type="dxa"/>
            <w:left w:w="10" w:type="dxa"/>
            <w:bottom w:w="0" w:type="dxa"/>
            <w:right w:w="10" w:type="dxa"/>
          </w:tblCellMar>
        </w:tblPrEx>
        <w:trPr>
          <w:trHeight w:val="1601"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29</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对利用桥涵加设闸门、渡 槽、管道的处罚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《河南省公路管理条例》第二十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条、第四十七条第一款第一项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tc>
      </w:tr>
      <w:tr>
        <w:tblPrEx>
          <w:tblCellMar>
            <w:top w:w="0" w:type="dxa"/>
            <w:left w:w="10" w:type="dxa"/>
            <w:bottom w:w="0" w:type="dxa"/>
            <w:right w:w="10" w:type="dxa"/>
          </w:tblCellMar>
        </w:tblPrEx>
        <w:trPr>
          <w:trHeight w:val="1800"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30</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对移动、涂改和损坏公路标志、测桩、界碑、护栏及其他设施的处罚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《河南省公路管理条例》第二十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条、第四十七条第一款第一项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tc>
      </w:tr>
      <w:tr>
        <w:tblPrEx>
          <w:tblCellMar>
            <w:top w:w="0" w:type="dxa"/>
            <w:left w:w="10" w:type="dxa"/>
            <w:bottom w:w="0" w:type="dxa"/>
            <w:right w:w="10" w:type="dxa"/>
          </w:tblCellMar>
        </w:tblPrEx>
        <w:trPr>
          <w:trHeight w:val="1757"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31</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对损坏公路上的树木花草的处罚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《河南省公路管理条例》第二十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条、第四十七条第一款第一项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tc>
      </w:tr>
      <w:tr>
        <w:tblPrEx>
          <w:tblCellMar>
            <w:top w:w="0" w:type="dxa"/>
            <w:left w:w="10" w:type="dxa"/>
            <w:bottom w:w="0" w:type="dxa"/>
            <w:right w:w="10" w:type="dxa"/>
          </w:tblCellMar>
        </w:tblPrEx>
        <w:trPr>
          <w:trHeight w:val="1842"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32</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对在村道公路建筑控制区内修建建筑物、构筑物或者擅自架设、埋设管线、电缆 等设施的处罚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《河南省农村公路条</w:t>
            </w:r>
            <w:r>
              <w:rPr>
                <w:rFonts w:hint="eastAsia" w:ascii="仿宋_GB2312" w:hAnsi="仿宋_GB2312" w:eastAsia="仿宋_GB2312" w:cs="仿宋_GB2312"/>
                <w:sz w:val="32"/>
                <w:szCs w:val="32"/>
                <w:lang w:val="zh-CN" w:eastAsia="zh-CN"/>
              </w:rPr>
              <w:t>例》</w:t>
            </w:r>
            <w:r>
              <w:rPr>
                <w:rFonts w:hint="eastAsia" w:ascii="仿宋_GB2312" w:hAnsi="仿宋_GB2312" w:eastAsia="仿宋_GB2312" w:cs="仿宋_GB2312"/>
                <w:sz w:val="32"/>
                <w:szCs w:val="32"/>
              </w:rPr>
              <w:t>第五十四条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tc>
      </w:tr>
      <w:tr>
        <w:tblPrEx>
          <w:tblCellMar>
            <w:top w:w="0" w:type="dxa"/>
            <w:left w:w="10" w:type="dxa"/>
            <w:bottom w:w="0" w:type="dxa"/>
            <w:right w:w="10" w:type="dxa"/>
          </w:tblCellMar>
        </w:tblPrEx>
        <w:trPr>
          <w:trHeight w:val="1536"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33</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对生产、销售包装上未附标签、标签残缺不清或者擅自修改标签内容的处罚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《肥料登记管理办法》第二十七条第三项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w:t>
            </w:r>
          </w:p>
        </w:tc>
      </w:tr>
      <w:tr>
        <w:tblPrEx>
          <w:tblCellMar>
            <w:top w:w="0" w:type="dxa"/>
            <w:left w:w="10" w:type="dxa"/>
            <w:bottom w:w="0" w:type="dxa"/>
            <w:right w:w="10" w:type="dxa"/>
          </w:tblCellMar>
        </w:tblPrEx>
        <w:trPr>
          <w:trHeight w:val="2304"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34</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对损坏、挪用或者擅自拆除、停用消防设施、器材的处罚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《中华人民共和国消防法》第十六条、第二十八条、第六十条第一款第二项及第二款、第六十七条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2350"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35</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对占用、堵塞、封闭疏散通道、安全出口或者有其他妨碍安全疏散行为的处罚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《中华人民共和国消防法》第十六条、第二十八条、第六十条第一款第三项及第二款、第六十七条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2209"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36</w:t>
            </w:r>
          </w:p>
        </w:tc>
        <w:tc>
          <w:tcPr>
            <w:tcW w:w="374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对埋压、圈占、遮挡消火栓或者占用防火间距的处罚</w:t>
            </w:r>
          </w:p>
        </w:tc>
        <w:tc>
          <w:tcPr>
            <w:tcW w:w="287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《中华人民共和国消</w:t>
            </w:r>
            <w:r>
              <w:rPr>
                <w:rFonts w:hint="eastAsia" w:ascii="仿宋_GB2312" w:hAnsi="仿宋_GB2312" w:eastAsia="仿宋_GB2312" w:cs="仿宋_GB2312"/>
                <w:sz w:val="32"/>
                <w:szCs w:val="32"/>
                <w:lang w:val="zh-CN" w:eastAsia="zh-CN"/>
              </w:rPr>
              <w:t>防法》</w:t>
            </w:r>
            <w:r>
              <w:rPr>
                <w:rFonts w:hint="eastAsia" w:ascii="仿宋_GB2312" w:hAnsi="仿宋_GB2312" w:eastAsia="仿宋_GB2312" w:cs="仿宋_GB2312"/>
                <w:sz w:val="32"/>
                <w:szCs w:val="32"/>
              </w:rPr>
              <w:t>第十六条、第二十八条、第六十条第一款第四项及第二款、第六十七条</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2136"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37</w:t>
            </w:r>
          </w:p>
        </w:tc>
        <w:tc>
          <w:tcPr>
            <w:tcW w:w="355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对占用、堵塞、封闭消防车通道，妨碍消防车通行的处罚</w:t>
            </w:r>
          </w:p>
        </w:tc>
        <w:tc>
          <w:tcPr>
            <w:tcW w:w="306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《中华人民共和国消防法》第十六条、第二十八条、第六十条第一款第五项及第二款、第六十七条</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2363"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p>
        </w:tc>
        <w:tc>
          <w:tcPr>
            <w:tcW w:w="355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对人员密集场所在门窗上设置影响逃生和灭火救援的障碍物的处罚</w:t>
            </w:r>
          </w:p>
        </w:tc>
        <w:tc>
          <w:tcPr>
            <w:tcW w:w="306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《中华人民共和国消</w:t>
            </w:r>
            <w:r>
              <w:rPr>
                <w:rFonts w:hint="eastAsia" w:ascii="仿宋_GB2312" w:hAnsi="仿宋_GB2312" w:eastAsia="仿宋_GB2312" w:cs="仿宋_GB2312"/>
                <w:sz w:val="32"/>
                <w:szCs w:val="32"/>
                <w:lang w:val="zh-CN" w:eastAsia="zh-CN"/>
              </w:rPr>
              <w:t>防法》</w:t>
            </w:r>
            <w:r>
              <w:rPr>
                <w:rFonts w:hint="eastAsia" w:ascii="仿宋_GB2312" w:hAnsi="仿宋_GB2312" w:eastAsia="仿宋_GB2312" w:cs="仿宋_GB2312"/>
                <w:sz w:val="32"/>
                <w:szCs w:val="32"/>
              </w:rPr>
              <w:t>第十六条、第二十八条、第六十条第一款第六项、第六十七条</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2718" w:hRule="exact"/>
          <w:jc w:val="center"/>
        </w:trPr>
        <w:tc>
          <w:tcPr>
            <w:tcW w:w="81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p>
        </w:tc>
        <w:tc>
          <w:tcPr>
            <w:tcW w:w="355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对在居住建筑物的公共走道、楼梯间、门厅内为电动自行车、电动三轮车充电，在城市建成区燃放孔明灯等携带明火且不可控制的空中飘移物的处罚</w:t>
            </w:r>
          </w:p>
        </w:tc>
        <w:tc>
          <w:tcPr>
            <w:tcW w:w="3066" w:type="dxa"/>
            <w:gridSpan w:val="2"/>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《河南省消防条例》第七十一条</w:t>
            </w:r>
          </w:p>
        </w:tc>
        <w:tc>
          <w:tcPr>
            <w:tcW w:w="1972"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r>
        <w:tblPrEx>
          <w:tblCellMar>
            <w:top w:w="0" w:type="dxa"/>
            <w:left w:w="10" w:type="dxa"/>
            <w:bottom w:w="0" w:type="dxa"/>
            <w:right w:w="10" w:type="dxa"/>
          </w:tblCellMar>
        </w:tblPrEx>
        <w:trPr>
          <w:trHeight w:val="1998" w:hRule="exact"/>
          <w:jc w:val="center"/>
        </w:trPr>
        <w:tc>
          <w:tcPr>
            <w:tcW w:w="81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355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对未按照规定落实消防控制室值班制度，或者安排不具备相应条件的人员值班的处罚</w:t>
            </w:r>
          </w:p>
        </w:tc>
        <w:tc>
          <w:tcPr>
            <w:tcW w:w="3066" w:type="dxa"/>
            <w:gridSpan w:val="2"/>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《高层民用建筑消防安全管理规定》第四十七条第四项</w:t>
            </w:r>
          </w:p>
        </w:tc>
        <w:tc>
          <w:tcPr>
            <w:tcW w:w="1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消防救援大队</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32"/>
          <w:szCs w:val="32"/>
        </w:rPr>
        <w:sectPr>
          <w:footerReference r:id="rId3" w:type="default"/>
          <w:footerReference r:id="rId4" w:type="even"/>
          <w:footnotePr>
            <w:numFmt w:val="decimal"/>
          </w:footnotePr>
          <w:pgSz w:w="11900" w:h="16840"/>
          <w:pgMar w:top="2098" w:right="1531" w:bottom="1984" w:left="1531" w:header="170" w:footer="1417" w:gutter="0"/>
          <w:pgNumType w:fmt="decimal"/>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zh-CN"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文星标宋" w:hAnsi="文星标宋" w:eastAsia="文星标宋" w:cs="文星标宋"/>
          <w:sz w:val="44"/>
          <w:szCs w:val="44"/>
          <w:lang w:eastAsia="zh-CN"/>
        </w:rPr>
      </w:pPr>
      <w:bookmarkStart w:id="3" w:name="bookmark35"/>
      <w:bookmarkStart w:id="4" w:name="bookmark37"/>
      <w:bookmarkStart w:id="5" w:name="bookmark36"/>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新乡县</w:t>
      </w:r>
      <w:r>
        <w:rPr>
          <w:rFonts w:hint="eastAsia" w:ascii="方正小标宋简体" w:hAnsi="方正小标宋简体" w:eastAsia="方正小标宋简体" w:cs="方正小标宋简体"/>
          <w:sz w:val="44"/>
          <w:szCs w:val="44"/>
        </w:rPr>
        <w:t>在乡镇行使消防救援</w:t>
      </w:r>
      <w:bookmarkStart w:id="14" w:name="_GoBack"/>
      <w:bookmarkEnd w:id="14"/>
      <w:r>
        <w:rPr>
          <w:rFonts w:hint="eastAsia" w:ascii="方正小标宋简体" w:hAnsi="方正小标宋简体" w:eastAsia="方正小标宋简体" w:cs="方正小标宋简体"/>
          <w:sz w:val="44"/>
          <w:szCs w:val="44"/>
        </w:rPr>
        <w:t>行政处罚权的适用范围</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6" w:name="bookmark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End w:id="6"/>
      <w:r>
        <w:rPr>
          <w:rFonts w:hint="eastAsia" w:ascii="仿宋_GB2312" w:hAnsi="仿宋_GB2312" w:eastAsia="仿宋_GB2312" w:cs="仿宋_GB2312"/>
          <w:sz w:val="32"/>
          <w:szCs w:val="32"/>
        </w:rPr>
        <w:t>、居民住宅小区、商业服务网点。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7" w:name="bookmark39"/>
      <w:r>
        <w:rPr>
          <w:rFonts w:hint="eastAsia" w:ascii="仿宋_GB2312" w:hAnsi="仿宋_GB2312" w:eastAsia="仿宋_GB2312" w:cs="仿宋_GB2312"/>
          <w:sz w:val="32"/>
          <w:szCs w:val="32"/>
        </w:rPr>
        <w:t>二</w:t>
      </w:r>
      <w:bookmarkEnd w:id="7"/>
      <w:r>
        <w:rPr>
          <w:rFonts w:hint="eastAsia" w:ascii="仿宋_GB2312" w:hAnsi="仿宋_GB2312" w:eastAsia="仿宋_GB2312" w:cs="仿宋_GB2312"/>
          <w:sz w:val="32"/>
          <w:szCs w:val="32"/>
        </w:rPr>
        <w:t>、建筑面积在300平方米以下（不含本数）的下列场所：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8" w:name="bookmark40"/>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eastAsia="zh-CN"/>
        </w:rPr>
        <w:t>“多</w:t>
      </w:r>
      <w:r>
        <w:rPr>
          <w:rFonts w:hint="eastAsia" w:ascii="仿宋_GB2312" w:hAnsi="仿宋_GB2312" w:eastAsia="仿宋_GB2312" w:cs="仿宋_GB2312"/>
          <w:sz w:val="32"/>
          <w:szCs w:val="32"/>
        </w:rPr>
        <w:t>合一”场所；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9" w:name="bookmark41"/>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二）出租屋、群租房；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10" w:name="bookmark42"/>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三）商店、集贸市场、旅馆、饭店（含农家乐）、沿街门店；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11" w:name="bookmark43"/>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四）洗浴、足浴、茶社、美容美发、采耳、健身、汗蒸等 营业性休闲场所；</w:t>
      </w:r>
    </w:p>
    <w:p>
      <w:pPr>
        <w:pStyle w:val="5"/>
        <w:keepNext w:val="0"/>
        <w:keepLines w:val="0"/>
        <w:pageBreakBefore w:val="0"/>
        <w:widowControl w:val="0"/>
        <w:shd w:val="clear" w:color="auto" w:fill="auto"/>
        <w:tabs>
          <w:tab w:val="left" w:pos="589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z w:val="32"/>
          <w:szCs w:val="32"/>
        </w:rPr>
      </w:pPr>
      <w:bookmarkStart w:id="12" w:name="bookmark44"/>
      <w:r>
        <w:rPr>
          <w:rFonts w:hint="eastAsia" w:ascii="仿宋_GB2312" w:hAnsi="仿宋_GB2312" w:eastAsia="仿宋_GB2312" w:cs="仿宋_GB2312"/>
          <w:sz w:val="32"/>
          <w:szCs w:val="32"/>
        </w:rPr>
        <w:t>（</w:t>
      </w:r>
      <w:bookmarkEnd w:id="12"/>
      <w:r>
        <w:rPr>
          <w:rFonts w:hint="eastAsia" w:ascii="仿宋_GB2312" w:hAnsi="仿宋_GB2312" w:eastAsia="仿宋_GB2312" w:cs="仿宋_GB2312"/>
          <w:sz w:val="32"/>
          <w:szCs w:val="32"/>
        </w:rPr>
        <w:t>五）邮政、电商、物流（含快递收发点）、金融网点、医疗卫生机构；</w:t>
      </w:r>
      <w:bookmarkStart w:id="13" w:name="bookmark45"/>
    </w:p>
    <w:p>
      <w:pPr>
        <w:pStyle w:val="5"/>
        <w:keepNext w:val="0"/>
        <w:keepLines w:val="0"/>
        <w:pageBreakBefore w:val="0"/>
        <w:widowControl w:val="0"/>
        <w:shd w:val="clear" w:color="auto" w:fill="auto"/>
        <w:tabs>
          <w:tab w:val="left" w:pos="589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bookmarkEnd w:id="13"/>
      <w:r>
        <w:rPr>
          <w:rFonts w:hint="eastAsia" w:ascii="仿宋_GB2312" w:hAnsi="仿宋_GB2312" w:eastAsia="仿宋_GB2312" w:cs="仿宋_GB2312"/>
          <w:sz w:val="32"/>
          <w:szCs w:val="32"/>
        </w:rPr>
        <w:t>六）公共书屋、展示陈列等基层文化服务场所。</w:t>
      </w:r>
    </w:p>
    <w:p>
      <w:pPr>
        <w:pStyle w:val="5"/>
        <w:keepNext w:val="0"/>
        <w:keepLines w:val="0"/>
        <w:pageBreakBefore w:val="0"/>
        <w:widowControl w:val="0"/>
        <w:shd w:val="clear" w:color="auto" w:fill="auto"/>
        <w:tabs>
          <w:tab w:val="left" w:pos="5898"/>
        </w:tabs>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pPr>
    </w:p>
    <w:p/>
    <w:p/>
    <w:sectPr>
      <w:footerReference r:id="rId5" w:type="default"/>
      <w:pgSz w:w="11906" w:h="16838"/>
      <w:pgMar w:top="2098" w:right="1531" w:bottom="1984" w:left="1531"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文星标宋">
    <w:altName w:val="微软雅黑"/>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7</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7</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ZGI5Mjk0NDc5NWY4MmM0NzUwZDQ2NzE1NzdkOTMifQ=="/>
  </w:docVars>
  <w:rsids>
    <w:rsidRoot w:val="468406F8"/>
    <w:rsid w:val="4684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2"/>
    <w:basedOn w:val="1"/>
    <w:qFormat/>
    <w:uiPriority w:val="0"/>
    <w:pPr>
      <w:widowControl w:val="0"/>
      <w:shd w:val="clear" w:color="auto" w:fill="auto"/>
      <w:spacing w:after="260"/>
      <w:ind w:firstLine="4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2023-07-25T07:18:00Z</dcterms:created>
  <dc:creator>song</dc:creator>
  <cp:lastModifiedBy>song</cp:lastModifiedBy>
  <dcterms:modified xsi:type="dcterms:W3CDTF">2023-07-25T07:23:41Z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C8E24E55A1284FD0A999A1156B787599_11</vt:lpwstr>
  </property>
</Properties>
</file>