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jc w:val="both"/>
        <w:outlineLvl w:val="0"/>
        <w:rPr>
          <w:rFonts w:hint="eastAsia" w:ascii="黑体" w:hAnsi="黑体" w:eastAsia="黑体"/>
          <w:snapToGrid w:val="0"/>
          <w:color w:val="auto"/>
          <w:sz w:val="30"/>
          <w:szCs w:val="30"/>
          <w:lang w:eastAsia="zh-CN"/>
        </w:rPr>
        <w:sectPr>
          <w:footerReference r:id="rId3" w:type="default"/>
          <w:pgSz w:w="11906" w:h="16838"/>
          <w:pgMar w:top="1701" w:right="1531" w:bottom="1701" w:left="1531" w:header="851" w:footer="1077" w:gutter="0"/>
          <w:pgNumType w:start="1"/>
          <w:cols w:space="720" w:num="1"/>
          <w:docGrid w:linePitch="312" w:charSpace="0"/>
        </w:sectPr>
      </w:pPr>
      <w:r>
        <w:rPr>
          <w:rFonts w:hint="eastAsia" w:ascii="黑体" w:hAnsi="黑体" w:eastAsia="黑体"/>
          <w:snapToGrid w:val="0"/>
          <w:color w:val="auto"/>
          <w:sz w:val="30"/>
          <w:szCs w:val="30"/>
          <w:lang w:eastAsia="zh-CN"/>
        </w:rPr>
        <w:drawing>
          <wp:inline distT="0" distB="0" distL="114300" distR="114300">
            <wp:extent cx="6062980" cy="8515350"/>
            <wp:effectExtent l="0" t="0" r="13970" b="0"/>
            <wp:docPr id="16" name="图片 16" descr="264de0eabc53937dfce28ff1fd3c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64de0eabc53937dfce28ff1fd3c0ba"/>
                    <pic:cNvPicPr>
                      <a:picLocks noChangeAspect="1"/>
                    </pic:cNvPicPr>
                  </pic:nvPicPr>
                  <pic:blipFill>
                    <a:blip r:embed="rId6"/>
                    <a:stretch>
                      <a:fillRect/>
                    </a:stretch>
                  </pic:blipFill>
                  <pic:spPr>
                    <a:xfrm>
                      <a:off x="0" y="0"/>
                      <a:ext cx="6062980" cy="8515350"/>
                    </a:xfrm>
                    <a:prstGeom prst="rect">
                      <a:avLst/>
                    </a:prstGeom>
                  </pic:spPr>
                </pic:pic>
              </a:graphicData>
            </a:graphic>
          </wp:inline>
        </w:drawing>
      </w:r>
    </w:p>
    <w:p>
      <w:pPr>
        <w:pStyle w:val="21"/>
        <w:jc w:val="both"/>
        <w:outlineLvl w:val="0"/>
        <w:rPr>
          <w:rFonts w:hint="eastAsia" w:ascii="黑体" w:hAnsi="黑体" w:eastAsia="黑体"/>
          <w:snapToGrid w:val="0"/>
          <w:color w:val="auto"/>
          <w:sz w:val="30"/>
          <w:szCs w:val="30"/>
          <w:lang w:eastAsia="zh-CN"/>
        </w:rPr>
        <w:sectPr>
          <w:pgSz w:w="11906" w:h="16838"/>
          <w:pgMar w:top="1701" w:right="1531" w:bottom="1701" w:left="1531" w:header="851" w:footer="1077" w:gutter="0"/>
          <w:pgNumType w:start="1"/>
          <w:cols w:space="720" w:num="1"/>
          <w:docGrid w:linePitch="312" w:charSpace="0"/>
        </w:sectPr>
      </w:pPr>
      <w:r>
        <w:rPr>
          <w:rFonts w:hint="eastAsia" w:ascii="黑体" w:hAnsi="黑体" w:eastAsia="黑体"/>
          <w:snapToGrid w:val="0"/>
          <w:color w:val="auto"/>
          <w:sz w:val="30"/>
          <w:szCs w:val="30"/>
          <w:lang w:eastAsia="zh-CN"/>
        </w:rPr>
        <w:drawing>
          <wp:inline distT="0" distB="0" distL="114300" distR="114300">
            <wp:extent cx="5649595" cy="8519160"/>
            <wp:effectExtent l="0" t="0" r="8255" b="15240"/>
            <wp:docPr id="28" name="图片 28" descr="2515ba404a1081b1181ace4b459d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515ba404a1081b1181ace4b459de04"/>
                    <pic:cNvPicPr>
                      <a:picLocks noChangeAspect="1"/>
                    </pic:cNvPicPr>
                  </pic:nvPicPr>
                  <pic:blipFill>
                    <a:blip r:embed="rId7"/>
                    <a:stretch>
                      <a:fillRect/>
                    </a:stretch>
                  </pic:blipFill>
                  <pic:spPr>
                    <a:xfrm>
                      <a:off x="0" y="0"/>
                      <a:ext cx="5649595" cy="8519160"/>
                    </a:xfrm>
                    <a:prstGeom prst="rect">
                      <a:avLst/>
                    </a:prstGeom>
                  </pic:spPr>
                </pic:pic>
              </a:graphicData>
            </a:graphic>
          </wp:inline>
        </w:drawing>
      </w:r>
      <w:r>
        <w:rPr>
          <w:rFonts w:hint="eastAsia" w:ascii="黑体" w:hAnsi="黑体" w:eastAsia="黑体"/>
          <w:snapToGrid w:val="0"/>
          <w:color w:val="auto"/>
          <w:sz w:val="30"/>
          <w:szCs w:val="30"/>
          <w:lang w:eastAsia="zh-CN"/>
        </w:rPr>
        <w:drawing>
          <wp:inline distT="0" distB="0" distL="114300" distR="114300">
            <wp:extent cx="5615305" cy="8255000"/>
            <wp:effectExtent l="0" t="0" r="4445" b="12700"/>
            <wp:docPr id="20" name="图片 20" descr="37098883cfbf43d73f49f980981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7098883cfbf43d73f49f9809811953"/>
                    <pic:cNvPicPr>
                      <a:picLocks noChangeAspect="1"/>
                    </pic:cNvPicPr>
                  </pic:nvPicPr>
                  <pic:blipFill>
                    <a:blip r:embed="rId8"/>
                    <a:stretch>
                      <a:fillRect/>
                    </a:stretch>
                  </pic:blipFill>
                  <pic:spPr>
                    <a:xfrm>
                      <a:off x="0" y="0"/>
                      <a:ext cx="5615305" cy="8255000"/>
                    </a:xfrm>
                    <a:prstGeom prst="rect">
                      <a:avLst/>
                    </a:prstGeom>
                  </pic:spPr>
                </pic:pic>
              </a:graphicData>
            </a:graphic>
          </wp:inline>
        </w:drawing>
      </w:r>
    </w:p>
    <w:p>
      <w:pPr>
        <w:pStyle w:val="21"/>
        <w:jc w:val="both"/>
        <w:outlineLvl w:val="0"/>
        <w:rPr>
          <w:rFonts w:hint="eastAsia" w:ascii="黑体" w:hAnsi="黑体" w:eastAsia="黑体"/>
          <w:snapToGrid w:val="0"/>
          <w:color w:val="auto"/>
          <w:sz w:val="30"/>
          <w:szCs w:val="30"/>
          <w:lang w:eastAsia="zh-CN"/>
        </w:rPr>
        <w:sectPr>
          <w:pgSz w:w="11906" w:h="16838"/>
          <w:pgMar w:top="1701" w:right="1531" w:bottom="1701" w:left="1531" w:header="851" w:footer="1077" w:gutter="0"/>
          <w:pgNumType w:start="1"/>
          <w:cols w:space="720" w:num="1"/>
          <w:docGrid w:linePitch="312" w:charSpace="0"/>
        </w:sectPr>
      </w:pPr>
      <w:r>
        <w:drawing>
          <wp:inline distT="0" distB="0" distL="114300" distR="114300">
            <wp:extent cx="8075295" cy="5748655"/>
            <wp:effectExtent l="0" t="0" r="4445" b="190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9"/>
                    <a:stretch>
                      <a:fillRect/>
                    </a:stretch>
                  </pic:blipFill>
                  <pic:spPr>
                    <a:xfrm rot="16200000">
                      <a:off x="0" y="0"/>
                      <a:ext cx="8075295" cy="5748655"/>
                    </a:xfrm>
                    <a:prstGeom prst="rect">
                      <a:avLst/>
                    </a:prstGeom>
                    <a:noFill/>
                    <a:ln>
                      <a:noFill/>
                    </a:ln>
                  </pic:spPr>
                </pic:pic>
              </a:graphicData>
            </a:graphic>
          </wp:inline>
        </w:drawing>
      </w:r>
      <w:r>
        <w:drawing>
          <wp:inline distT="0" distB="0" distL="114300" distR="114300">
            <wp:extent cx="5610225" cy="8106410"/>
            <wp:effectExtent l="0" t="0" r="9525" b="889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0"/>
                    <a:stretch>
                      <a:fillRect/>
                    </a:stretch>
                  </pic:blipFill>
                  <pic:spPr>
                    <a:xfrm>
                      <a:off x="0" y="0"/>
                      <a:ext cx="5610225" cy="8106410"/>
                    </a:xfrm>
                    <a:prstGeom prst="rect">
                      <a:avLst/>
                    </a:prstGeom>
                    <a:noFill/>
                    <a:ln>
                      <a:noFill/>
                    </a:ln>
                  </pic:spPr>
                </pic:pic>
              </a:graphicData>
            </a:graphic>
          </wp:inline>
        </w:drawing>
      </w:r>
      <w:r>
        <w:drawing>
          <wp:inline distT="0" distB="0" distL="114300" distR="114300">
            <wp:extent cx="5958840" cy="8199120"/>
            <wp:effectExtent l="0" t="0" r="381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1"/>
                    <a:stretch>
                      <a:fillRect/>
                    </a:stretch>
                  </pic:blipFill>
                  <pic:spPr>
                    <a:xfrm>
                      <a:off x="0" y="0"/>
                      <a:ext cx="5958840" cy="8199120"/>
                    </a:xfrm>
                    <a:prstGeom prst="rect">
                      <a:avLst/>
                    </a:prstGeom>
                    <a:noFill/>
                    <a:ln>
                      <a:noFill/>
                    </a:ln>
                  </pic:spPr>
                </pic:pic>
              </a:graphicData>
            </a:graphic>
          </wp:inline>
        </w:drawing>
      </w:r>
    </w:p>
    <w:p>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2872"/>
        <w:gridCol w:w="1806"/>
        <w:gridCol w:w="30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建设项目名称</w:t>
            </w:r>
          </w:p>
        </w:tc>
        <w:tc>
          <w:tcPr>
            <w:tcW w:w="7723" w:type="dxa"/>
            <w:gridSpan w:val="3"/>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eastAsia="zh-CN"/>
              </w:rPr>
              <w:t>新乡县七里营镇四达加油站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项目代码</w:t>
            </w:r>
          </w:p>
        </w:tc>
        <w:tc>
          <w:tcPr>
            <w:tcW w:w="7723" w:type="dxa"/>
            <w:gridSpan w:val="3"/>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eastAsia="zh-CN"/>
              </w:rPr>
              <w:t>2020-410721-52-03-100248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建设单位联系人</w:t>
            </w:r>
          </w:p>
        </w:tc>
        <w:tc>
          <w:tcPr>
            <w:tcW w:w="2872" w:type="dxa"/>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 xml:space="preserve">赵科 </w:t>
            </w:r>
          </w:p>
        </w:tc>
        <w:tc>
          <w:tcPr>
            <w:tcW w:w="1806" w:type="dxa"/>
            <w:shd w:val="clear" w:color="auto" w:fill="auto"/>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联系方式</w:t>
            </w:r>
          </w:p>
        </w:tc>
        <w:tc>
          <w:tcPr>
            <w:tcW w:w="3045" w:type="dxa"/>
            <w:shd w:val="clear" w:color="auto" w:fill="auto"/>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13937338883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法人代表</w:t>
            </w:r>
          </w:p>
        </w:tc>
        <w:tc>
          <w:tcPr>
            <w:tcW w:w="7723" w:type="dxa"/>
            <w:gridSpan w:val="3"/>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rPr>
              <w:t>刘兴根</w:t>
            </w:r>
            <w:r>
              <w:rPr>
                <w:rFonts w:hint="eastAsia" w:cs="宋体"/>
                <w:color w:val="auto"/>
                <w:sz w:val="24"/>
                <w:szCs w:val="24"/>
                <w:lang w:eastAsia="zh-CN"/>
              </w:rPr>
              <w:t>（</w:t>
            </w:r>
            <w:r>
              <w:rPr>
                <w:rFonts w:hint="eastAsia" w:cs="宋体"/>
                <w:color w:val="auto"/>
                <w:sz w:val="24"/>
                <w:szCs w:val="24"/>
                <w:lang w:val="en-US" w:eastAsia="zh-CN"/>
              </w:rPr>
              <w:t>身份证号410711197712171015</w:t>
            </w:r>
            <w:r>
              <w:rPr>
                <w:rFonts w:hint="eastAsia"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建设地点</w:t>
            </w:r>
          </w:p>
        </w:tc>
        <w:tc>
          <w:tcPr>
            <w:tcW w:w="7723" w:type="dxa"/>
            <w:gridSpan w:val="3"/>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eastAsia="zh-CN"/>
              </w:rPr>
              <w:t>新乡市新乡县七里营镇政府北300m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shd w:val="clear" w:color="auto" w:fill="auto"/>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地理坐标</w:t>
            </w:r>
          </w:p>
        </w:tc>
        <w:tc>
          <w:tcPr>
            <w:tcW w:w="7723" w:type="dxa"/>
            <w:gridSpan w:val="3"/>
            <w:shd w:val="clear" w:color="auto" w:fill="auto"/>
            <w:tcMar>
              <w:left w:w="28" w:type="dxa"/>
              <w:right w:w="28" w:type="dxa"/>
            </w:tcMar>
            <w:vAlign w:val="center"/>
          </w:tcPr>
          <w:p>
            <w:pPr>
              <w:jc w:val="center"/>
              <w:rPr>
                <w:rFonts w:cs="宋体"/>
                <w:color w:val="auto"/>
                <w:sz w:val="24"/>
                <w:szCs w:val="24"/>
              </w:rPr>
            </w:pPr>
            <w:r>
              <w:rPr>
                <w:rFonts w:hint="eastAsia" w:cs="宋体"/>
                <w:color w:val="auto"/>
                <w:sz w:val="24"/>
                <w:szCs w:val="24"/>
              </w:rPr>
              <w:t>（</w:t>
            </w:r>
            <w:r>
              <w:rPr>
                <w:rFonts w:cs="宋体"/>
                <w:color w:val="auto"/>
                <w:sz w:val="24"/>
                <w:szCs w:val="24"/>
                <w:u w:val="single"/>
              </w:rPr>
              <w:t>经度</w:t>
            </w:r>
            <w:r>
              <w:rPr>
                <w:rFonts w:hint="eastAsia" w:cs="宋体"/>
                <w:color w:val="auto"/>
                <w:sz w:val="24"/>
                <w:szCs w:val="24"/>
                <w:u w:val="single"/>
                <w:lang w:val="en-US" w:eastAsia="zh-CN"/>
              </w:rPr>
              <w:t>113</w:t>
            </w:r>
            <w:r>
              <w:rPr>
                <w:rFonts w:hint="eastAsia" w:cs="宋体"/>
                <w:color w:val="auto"/>
                <w:sz w:val="24"/>
                <w:szCs w:val="24"/>
              </w:rPr>
              <w:t>度</w:t>
            </w:r>
            <w:r>
              <w:rPr>
                <w:rFonts w:hint="eastAsia" w:cs="宋体"/>
                <w:color w:val="auto"/>
                <w:sz w:val="24"/>
                <w:szCs w:val="24"/>
                <w:u w:val="single"/>
                <w:lang w:val="en-US" w:eastAsia="zh-CN"/>
              </w:rPr>
              <w:t>47</w:t>
            </w:r>
            <w:r>
              <w:rPr>
                <w:rFonts w:hint="eastAsia" w:cs="宋体"/>
                <w:color w:val="auto"/>
                <w:sz w:val="24"/>
                <w:szCs w:val="24"/>
              </w:rPr>
              <w:t>分</w:t>
            </w:r>
            <w:r>
              <w:rPr>
                <w:rFonts w:hint="eastAsia" w:cs="宋体"/>
                <w:color w:val="auto"/>
                <w:sz w:val="24"/>
                <w:szCs w:val="24"/>
                <w:u w:val="single"/>
              </w:rPr>
              <w:t>30.975</w:t>
            </w:r>
            <w:r>
              <w:rPr>
                <w:rFonts w:cs="宋体"/>
                <w:color w:val="auto"/>
                <w:sz w:val="24"/>
                <w:szCs w:val="24"/>
                <w:u w:val="single"/>
              </w:rPr>
              <w:t xml:space="preserve"> </w:t>
            </w:r>
            <w:r>
              <w:rPr>
                <w:rFonts w:hint="eastAsia" w:cs="宋体"/>
                <w:color w:val="auto"/>
                <w:sz w:val="24"/>
                <w:szCs w:val="24"/>
              </w:rPr>
              <w:t>秒，</w:t>
            </w:r>
            <w:r>
              <w:rPr>
                <w:rFonts w:cs="宋体"/>
                <w:color w:val="auto"/>
                <w:sz w:val="24"/>
                <w:szCs w:val="24"/>
                <w:u w:val="single"/>
              </w:rPr>
              <w:t>纬度</w:t>
            </w:r>
            <w:r>
              <w:rPr>
                <w:rFonts w:hint="eastAsia" w:cs="宋体"/>
                <w:color w:val="auto"/>
                <w:sz w:val="24"/>
                <w:szCs w:val="24"/>
                <w:u w:val="single"/>
              </w:rPr>
              <w:t xml:space="preserve"> </w:t>
            </w:r>
            <w:r>
              <w:rPr>
                <w:rFonts w:hint="eastAsia" w:cs="宋体"/>
                <w:color w:val="auto"/>
                <w:sz w:val="24"/>
                <w:szCs w:val="24"/>
                <w:u w:val="single"/>
                <w:lang w:val="en-US" w:eastAsia="zh-CN"/>
              </w:rPr>
              <w:t>35</w:t>
            </w:r>
            <w:r>
              <w:rPr>
                <w:rFonts w:hint="eastAsia" w:cs="宋体"/>
                <w:color w:val="auto"/>
                <w:sz w:val="24"/>
                <w:szCs w:val="24"/>
              </w:rPr>
              <w:t>度</w:t>
            </w:r>
            <w:r>
              <w:rPr>
                <w:rFonts w:cs="宋体"/>
                <w:color w:val="auto"/>
                <w:sz w:val="24"/>
                <w:szCs w:val="24"/>
                <w:u w:val="single"/>
              </w:rPr>
              <w:t xml:space="preserve"> </w:t>
            </w:r>
            <w:r>
              <w:rPr>
                <w:rFonts w:hint="eastAsia" w:cs="宋体"/>
                <w:color w:val="auto"/>
                <w:sz w:val="24"/>
                <w:szCs w:val="24"/>
                <w:u w:val="single"/>
                <w:lang w:val="en-US" w:eastAsia="zh-CN"/>
              </w:rPr>
              <w:t>10</w:t>
            </w:r>
            <w:r>
              <w:rPr>
                <w:rFonts w:hint="eastAsia" w:cs="宋体"/>
                <w:color w:val="auto"/>
                <w:sz w:val="24"/>
                <w:szCs w:val="24"/>
                <w:u w:val="single"/>
              </w:rPr>
              <w:t xml:space="preserve"> </w:t>
            </w:r>
            <w:r>
              <w:rPr>
                <w:rFonts w:hint="eastAsia" w:cs="宋体"/>
                <w:color w:val="auto"/>
                <w:sz w:val="24"/>
                <w:szCs w:val="24"/>
              </w:rPr>
              <w:t>分</w:t>
            </w:r>
            <w:r>
              <w:rPr>
                <w:rFonts w:hint="eastAsia" w:cs="宋体"/>
                <w:color w:val="auto"/>
                <w:sz w:val="24"/>
                <w:szCs w:val="24"/>
                <w:u w:val="single"/>
                <w:lang w:val="en-US" w:eastAsia="zh-CN"/>
              </w:rPr>
              <w:t>8.808</w:t>
            </w:r>
            <w:r>
              <w:rPr>
                <w:rFonts w:hint="eastAsia" w:cs="宋体"/>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国民经济</w:t>
            </w:r>
          </w:p>
          <w:p>
            <w:pPr>
              <w:adjustRightInd w:val="0"/>
              <w:snapToGrid w:val="0"/>
              <w:jc w:val="center"/>
              <w:rPr>
                <w:rFonts w:cs="宋体"/>
                <w:color w:val="auto"/>
                <w:sz w:val="24"/>
                <w:szCs w:val="24"/>
              </w:rPr>
            </w:pPr>
            <w:r>
              <w:rPr>
                <w:rFonts w:hint="eastAsia" w:cs="宋体"/>
                <w:color w:val="auto"/>
                <w:sz w:val="24"/>
                <w:szCs w:val="24"/>
              </w:rPr>
              <w:t>行业类别</w:t>
            </w:r>
          </w:p>
        </w:tc>
        <w:tc>
          <w:tcPr>
            <w:tcW w:w="2872" w:type="dxa"/>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eastAsia="zh-CN"/>
              </w:rPr>
              <w:t>F5265 机动车燃油零售</w:t>
            </w:r>
          </w:p>
        </w:tc>
        <w:tc>
          <w:tcPr>
            <w:tcW w:w="1806" w:type="dxa"/>
            <w:tcMar>
              <w:left w:w="28" w:type="dxa"/>
              <w:right w:w="28" w:type="dxa"/>
            </w:tcMar>
            <w:vAlign w:val="center"/>
          </w:tcPr>
          <w:p>
            <w:pPr>
              <w:adjustRightInd w:val="0"/>
              <w:snapToGrid w:val="0"/>
              <w:jc w:val="center"/>
              <w:rPr>
                <w:rFonts w:cs="宋体"/>
                <w:color w:val="auto"/>
                <w:sz w:val="24"/>
                <w:szCs w:val="24"/>
              </w:rPr>
            </w:pPr>
            <w:bookmarkStart w:id="0" w:name="_Hlk49843745"/>
            <w:r>
              <w:rPr>
                <w:rFonts w:hint="eastAsia" w:cs="宋体"/>
                <w:color w:val="auto"/>
                <w:sz w:val="24"/>
                <w:szCs w:val="24"/>
              </w:rPr>
              <w:t>建设项目</w:t>
            </w:r>
          </w:p>
          <w:p>
            <w:pPr>
              <w:adjustRightInd w:val="0"/>
              <w:snapToGrid w:val="0"/>
              <w:jc w:val="center"/>
              <w:rPr>
                <w:rFonts w:cs="宋体"/>
                <w:color w:val="auto"/>
                <w:sz w:val="24"/>
                <w:szCs w:val="24"/>
              </w:rPr>
            </w:pPr>
            <w:r>
              <w:rPr>
                <w:rFonts w:hint="eastAsia" w:cs="宋体"/>
                <w:color w:val="auto"/>
                <w:sz w:val="24"/>
                <w:szCs w:val="24"/>
              </w:rPr>
              <w:t>行业类别</w:t>
            </w:r>
            <w:bookmarkEnd w:id="0"/>
          </w:p>
        </w:tc>
        <w:tc>
          <w:tcPr>
            <w:tcW w:w="3045" w:type="dxa"/>
            <w:tcMar>
              <w:left w:w="28" w:type="dxa"/>
              <w:right w:w="28" w:type="dxa"/>
            </w:tcMar>
            <w:vAlign w:val="center"/>
          </w:tcPr>
          <w:p>
            <w:pPr>
              <w:adjustRightInd w:val="0"/>
              <w:snapToGrid w:val="0"/>
              <w:rPr>
                <w:rFonts w:hint="eastAsia" w:eastAsia="宋体" w:cs="宋体"/>
                <w:color w:val="auto"/>
                <w:sz w:val="24"/>
                <w:szCs w:val="24"/>
                <w:lang w:eastAsia="zh-CN"/>
              </w:rPr>
            </w:pPr>
            <w:r>
              <w:rPr>
                <w:rFonts w:hint="eastAsia" w:cs="宋体"/>
                <w:color w:val="auto"/>
                <w:sz w:val="24"/>
                <w:szCs w:val="24"/>
                <w:lang w:eastAsia="zh-CN"/>
              </w:rPr>
              <w:t>五十、社会事业与服务业：119、加油、加气站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建设性质</w:t>
            </w:r>
          </w:p>
        </w:tc>
        <w:tc>
          <w:tcPr>
            <w:tcW w:w="2872" w:type="dxa"/>
            <w:tcMar>
              <w:left w:w="28" w:type="dxa"/>
              <w:right w:w="28" w:type="dxa"/>
            </w:tcMar>
            <w:vAlign w:val="center"/>
          </w:tcPr>
          <w:p>
            <w:pPr>
              <w:jc w:val="left"/>
              <w:rPr>
                <w:rFonts w:cs="宋体"/>
                <w:color w:val="auto"/>
                <w:sz w:val="24"/>
                <w:szCs w:val="24"/>
              </w:rPr>
            </w:pPr>
            <w:r>
              <w:rPr>
                <w:rFonts w:hint="eastAsia" w:hAnsi="MS Gothic"/>
                <w:color w:val="auto"/>
                <w:sz w:val="24"/>
                <w:szCs w:val="24"/>
                <w:lang w:eastAsia="zh-CN"/>
              </w:rPr>
              <w:t>□</w:t>
            </w:r>
            <w:r>
              <w:rPr>
                <w:rFonts w:hint="eastAsia" w:cs="宋体"/>
                <w:color w:val="auto"/>
                <w:sz w:val="24"/>
                <w:szCs w:val="24"/>
              </w:rPr>
              <w:t>新建（迁建）</w:t>
            </w:r>
          </w:p>
          <w:p>
            <w:pPr>
              <w:jc w:val="left"/>
              <w:rPr>
                <w:rFonts w:cs="宋体"/>
                <w:color w:val="auto"/>
                <w:sz w:val="24"/>
                <w:szCs w:val="24"/>
              </w:rPr>
            </w:pPr>
            <w:r>
              <w:rPr>
                <w:rFonts w:hint="eastAsia" w:cs="宋体"/>
                <w:color w:val="auto"/>
                <w:sz w:val="24"/>
                <w:szCs w:val="24"/>
              </w:rPr>
              <w:t>□改建</w:t>
            </w:r>
          </w:p>
          <w:p>
            <w:pPr>
              <w:jc w:val="left"/>
              <w:rPr>
                <w:rFonts w:cs="宋体"/>
                <w:color w:val="auto"/>
                <w:sz w:val="24"/>
                <w:szCs w:val="24"/>
              </w:rPr>
            </w:pPr>
            <w:r>
              <w:rPr>
                <w:rFonts w:hint="eastAsia" w:cs="宋体"/>
                <w:color w:val="auto"/>
                <w:sz w:val="24"/>
                <w:szCs w:val="24"/>
              </w:rPr>
              <w:sym w:font="Wingdings 2" w:char="0052"/>
            </w:r>
            <w:r>
              <w:rPr>
                <w:rFonts w:hint="eastAsia" w:cs="宋体"/>
                <w:color w:val="auto"/>
                <w:sz w:val="24"/>
                <w:szCs w:val="24"/>
              </w:rPr>
              <w:t>扩建</w:t>
            </w:r>
          </w:p>
          <w:p>
            <w:pPr>
              <w:jc w:val="left"/>
              <w:rPr>
                <w:rFonts w:cs="宋体"/>
                <w:color w:val="auto"/>
                <w:sz w:val="24"/>
                <w:szCs w:val="24"/>
              </w:rPr>
            </w:pPr>
            <w:r>
              <w:rPr>
                <w:rFonts w:hint="eastAsia" w:cs="宋体"/>
                <w:color w:val="auto"/>
                <w:sz w:val="24"/>
                <w:szCs w:val="24"/>
              </w:rPr>
              <w:t>□技术改造</w:t>
            </w:r>
          </w:p>
        </w:tc>
        <w:tc>
          <w:tcPr>
            <w:tcW w:w="1806" w:type="dxa"/>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建设项目</w:t>
            </w:r>
          </w:p>
          <w:p>
            <w:pPr>
              <w:adjustRightInd w:val="0"/>
              <w:snapToGrid w:val="0"/>
              <w:jc w:val="center"/>
              <w:rPr>
                <w:rFonts w:cs="宋体"/>
                <w:color w:val="auto"/>
                <w:sz w:val="24"/>
                <w:szCs w:val="24"/>
              </w:rPr>
            </w:pPr>
            <w:r>
              <w:rPr>
                <w:rFonts w:hint="eastAsia" w:cs="宋体"/>
                <w:color w:val="auto"/>
                <w:sz w:val="24"/>
                <w:szCs w:val="24"/>
              </w:rPr>
              <w:t>申报情形</w:t>
            </w:r>
          </w:p>
        </w:tc>
        <w:tc>
          <w:tcPr>
            <w:tcW w:w="3045" w:type="dxa"/>
            <w:tcMar>
              <w:left w:w="28" w:type="dxa"/>
              <w:right w:w="28" w:type="dxa"/>
            </w:tcMar>
            <w:vAlign w:val="center"/>
          </w:tcPr>
          <w:p>
            <w:pPr>
              <w:jc w:val="left"/>
              <w:rPr>
                <w:rFonts w:cs="宋体"/>
                <w:color w:val="auto"/>
                <w:sz w:val="24"/>
                <w:szCs w:val="24"/>
              </w:rPr>
            </w:pPr>
            <w:r>
              <w:rPr>
                <w:rFonts w:hint="eastAsia" w:hAnsi="MS Gothic" w:eastAsia="MS Gothic"/>
                <w:color w:val="auto"/>
                <w:sz w:val="24"/>
                <w:szCs w:val="24"/>
              </w:rPr>
              <w:t>☑</w:t>
            </w:r>
            <w:r>
              <w:rPr>
                <w:rFonts w:hint="eastAsia" w:cs="宋体"/>
                <w:color w:val="auto"/>
                <w:sz w:val="24"/>
                <w:szCs w:val="24"/>
              </w:rPr>
              <w:t>首次申报项目</w:t>
            </w:r>
          </w:p>
          <w:p>
            <w:pPr>
              <w:jc w:val="left"/>
              <w:rPr>
                <w:rFonts w:cs="宋体"/>
                <w:color w:val="auto"/>
                <w:sz w:val="24"/>
                <w:szCs w:val="24"/>
              </w:rPr>
            </w:pPr>
            <w:r>
              <w:rPr>
                <w:rFonts w:hint="eastAsia" w:cs="宋体"/>
                <w:color w:val="auto"/>
                <w:sz w:val="24"/>
                <w:szCs w:val="24"/>
              </w:rPr>
              <w:t>□不予批准后再次申报项目</w:t>
            </w:r>
          </w:p>
          <w:p>
            <w:pPr>
              <w:jc w:val="left"/>
              <w:rPr>
                <w:rFonts w:cs="宋体"/>
                <w:color w:val="auto"/>
                <w:sz w:val="24"/>
                <w:szCs w:val="24"/>
              </w:rPr>
            </w:pPr>
            <w:r>
              <w:rPr>
                <w:rFonts w:hint="eastAsia" w:cs="宋体"/>
                <w:color w:val="auto"/>
                <w:sz w:val="24"/>
                <w:szCs w:val="24"/>
              </w:rPr>
              <w:sym w:font="Wingdings 2" w:char="00A3"/>
            </w:r>
            <w:r>
              <w:rPr>
                <w:rFonts w:hint="eastAsia" w:cs="宋体"/>
                <w:color w:val="auto"/>
                <w:sz w:val="24"/>
                <w:szCs w:val="24"/>
              </w:rPr>
              <w:t>超五年重新审核项目</w:t>
            </w:r>
          </w:p>
          <w:p>
            <w:pPr>
              <w:jc w:val="left"/>
              <w:rPr>
                <w:rFonts w:cs="宋体"/>
                <w:color w:val="auto"/>
                <w:sz w:val="24"/>
                <w:szCs w:val="24"/>
              </w:rPr>
            </w:pPr>
            <w:r>
              <w:rPr>
                <w:rFonts w:hint="eastAsia"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项目审批（核准</w:t>
            </w:r>
            <w:r>
              <w:rPr>
                <w:rFonts w:cs="宋体"/>
                <w:color w:val="auto"/>
                <w:sz w:val="24"/>
                <w:szCs w:val="24"/>
              </w:rPr>
              <w:t>/</w:t>
            </w:r>
            <w:r>
              <w:rPr>
                <w:rFonts w:hint="eastAsia" w:cs="宋体"/>
                <w:color w:val="auto"/>
                <w:sz w:val="24"/>
                <w:szCs w:val="24"/>
              </w:rPr>
              <w:t>备案）部门</w:t>
            </w:r>
          </w:p>
        </w:tc>
        <w:tc>
          <w:tcPr>
            <w:tcW w:w="2872" w:type="dxa"/>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eastAsia="zh-CN"/>
              </w:rPr>
              <w:t>新乡县发展和改革委员会</w:t>
            </w:r>
          </w:p>
        </w:tc>
        <w:tc>
          <w:tcPr>
            <w:tcW w:w="1806" w:type="dxa"/>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项目审批（核准</w:t>
            </w:r>
            <w:r>
              <w:rPr>
                <w:rFonts w:cs="宋体"/>
                <w:color w:val="auto"/>
                <w:sz w:val="24"/>
                <w:szCs w:val="24"/>
              </w:rPr>
              <w:t>/</w:t>
            </w:r>
            <w:r>
              <w:rPr>
                <w:rFonts w:hint="eastAsia" w:cs="宋体"/>
                <w:color w:val="auto"/>
                <w:sz w:val="24"/>
                <w:szCs w:val="24"/>
              </w:rPr>
              <w:t>备案）文号</w:t>
            </w:r>
          </w:p>
        </w:tc>
        <w:tc>
          <w:tcPr>
            <w:tcW w:w="3045" w:type="dxa"/>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总投资（万元）</w:t>
            </w:r>
          </w:p>
        </w:tc>
        <w:tc>
          <w:tcPr>
            <w:tcW w:w="2872" w:type="dxa"/>
            <w:tcMar>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lang w:val="en-US" w:eastAsia="zh-CN"/>
              </w:rPr>
              <w:t>40</w:t>
            </w:r>
          </w:p>
        </w:tc>
        <w:tc>
          <w:tcPr>
            <w:tcW w:w="1806" w:type="dxa"/>
            <w:shd w:val="clear" w:color="auto" w:fill="auto"/>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环保投资（万元）</w:t>
            </w:r>
          </w:p>
        </w:tc>
        <w:tc>
          <w:tcPr>
            <w:tcW w:w="3045" w:type="dxa"/>
            <w:shd w:val="clear" w:color="auto" w:fill="auto"/>
            <w:tcMar>
              <w:left w:w="28" w:type="dxa"/>
              <w:right w:w="28" w:type="dxa"/>
            </w:tcMar>
            <w:vAlign w:val="center"/>
          </w:tcPr>
          <w:p>
            <w:pPr>
              <w:adjustRightInd w:val="0"/>
              <w:snapToGrid w:val="0"/>
              <w:jc w:val="center"/>
              <w:rPr>
                <w:rFonts w:hint="default" w:eastAsia="宋体" w:cs="宋体"/>
                <w:color w:val="auto"/>
                <w:sz w:val="24"/>
                <w:szCs w:val="24"/>
                <w:lang w:val="en-US" w:eastAsia="zh-CN"/>
              </w:rPr>
            </w:pPr>
            <w:r>
              <w:rPr>
                <w:rFonts w:hint="eastAsia" w:cs="宋体"/>
                <w:color w:val="auto"/>
                <w:sz w:val="24"/>
                <w:szCs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shd w:val="clear" w:color="auto" w:fill="auto"/>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环保投资占比（</w:t>
            </w:r>
            <w:r>
              <w:rPr>
                <w:rFonts w:cs="宋体"/>
                <w:color w:val="auto"/>
                <w:sz w:val="24"/>
                <w:szCs w:val="24"/>
              </w:rPr>
              <w:t>%</w:t>
            </w:r>
            <w:r>
              <w:rPr>
                <w:rFonts w:hint="eastAsia" w:cs="宋体"/>
                <w:color w:val="auto"/>
                <w:sz w:val="24"/>
                <w:szCs w:val="24"/>
              </w:rPr>
              <w:t>）</w:t>
            </w:r>
          </w:p>
        </w:tc>
        <w:tc>
          <w:tcPr>
            <w:tcW w:w="2872" w:type="dxa"/>
            <w:shd w:val="clear" w:color="auto" w:fill="auto"/>
            <w:tcMar>
              <w:left w:w="28" w:type="dxa"/>
              <w:right w:w="28" w:type="dxa"/>
            </w:tcMar>
            <w:vAlign w:val="center"/>
          </w:tcPr>
          <w:p>
            <w:pPr>
              <w:adjustRightInd w:val="0"/>
              <w:snapToGrid w:val="0"/>
              <w:jc w:val="center"/>
              <w:rPr>
                <w:rFonts w:hint="default" w:eastAsia="宋体" w:cs="宋体"/>
                <w:color w:val="auto"/>
                <w:sz w:val="24"/>
                <w:szCs w:val="24"/>
                <w:lang w:val="en-US" w:eastAsia="zh-CN"/>
              </w:rPr>
            </w:pPr>
            <w:r>
              <w:rPr>
                <w:rFonts w:hint="eastAsia" w:cs="宋体"/>
                <w:color w:val="auto"/>
                <w:sz w:val="24"/>
                <w:szCs w:val="24"/>
                <w:lang w:val="en-US" w:eastAsia="zh-CN"/>
              </w:rPr>
              <w:t>25</w:t>
            </w:r>
          </w:p>
        </w:tc>
        <w:tc>
          <w:tcPr>
            <w:tcW w:w="1806"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施工工期</w:t>
            </w:r>
          </w:p>
        </w:tc>
        <w:tc>
          <w:tcPr>
            <w:tcW w:w="3045" w:type="dxa"/>
            <w:tcMar>
              <w:left w:w="28" w:type="dxa"/>
              <w:right w:w="28" w:type="dxa"/>
            </w:tcMar>
            <w:vAlign w:val="center"/>
          </w:tcPr>
          <w:p>
            <w:pPr>
              <w:adjustRightInd w:val="0"/>
              <w:snapToGrid w:val="0"/>
              <w:jc w:val="center"/>
              <w:rPr>
                <w:rFonts w:hint="eastAsia" w:eastAsia="宋体" w:cs="宋体"/>
                <w:color w:val="auto"/>
                <w:sz w:val="24"/>
                <w:szCs w:val="24"/>
                <w:lang w:eastAsia="zh-CN"/>
              </w:rPr>
            </w:pPr>
            <w:r>
              <w:rPr>
                <w:rFonts w:hint="eastAsia" w:cs="宋体"/>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color w:val="auto"/>
                <w:sz w:val="24"/>
                <w:szCs w:val="24"/>
              </w:rPr>
            </w:pPr>
            <w:r>
              <w:rPr>
                <w:rFonts w:hint="eastAsia" w:cs="宋体"/>
                <w:color w:val="auto"/>
                <w:sz w:val="24"/>
                <w:szCs w:val="24"/>
              </w:rPr>
              <w:t>是否开工建设</w:t>
            </w:r>
          </w:p>
        </w:tc>
        <w:tc>
          <w:tcPr>
            <w:tcW w:w="2872" w:type="dxa"/>
            <w:tcMar>
              <w:left w:w="28" w:type="dxa"/>
              <w:right w:w="28" w:type="dxa"/>
            </w:tcMar>
            <w:vAlign w:val="center"/>
          </w:tcPr>
          <w:p>
            <w:pPr>
              <w:adjustRightInd w:val="0"/>
              <w:snapToGrid w:val="0"/>
              <w:rPr>
                <w:rFonts w:cs="宋体"/>
                <w:color w:val="auto"/>
                <w:sz w:val="24"/>
                <w:szCs w:val="24"/>
              </w:rPr>
            </w:pPr>
            <w:r>
              <w:rPr>
                <w:rFonts w:hint="eastAsia" w:hAnsi="MS Gothic" w:eastAsia="宋体"/>
                <w:color w:val="auto"/>
                <w:sz w:val="24"/>
                <w:szCs w:val="24"/>
                <w:lang w:eastAsia="zh-CN"/>
              </w:rPr>
              <w:t>□</w:t>
            </w:r>
            <w:r>
              <w:rPr>
                <w:rFonts w:hint="eastAsia" w:cs="宋体"/>
                <w:color w:val="auto"/>
                <w:sz w:val="24"/>
                <w:szCs w:val="24"/>
              </w:rPr>
              <w:t>否</w:t>
            </w:r>
          </w:p>
          <w:p>
            <w:pPr>
              <w:adjustRightInd w:val="0"/>
              <w:snapToGrid w:val="0"/>
              <w:rPr>
                <w:rFonts w:cs="宋体"/>
                <w:color w:val="auto"/>
                <w:sz w:val="24"/>
                <w:szCs w:val="24"/>
              </w:rPr>
            </w:pPr>
            <w:r>
              <w:rPr>
                <w:rFonts w:hint="eastAsia" w:cs="宋体"/>
                <w:color w:val="auto"/>
                <w:sz w:val="24"/>
                <w:szCs w:val="24"/>
              </w:rPr>
              <w:sym w:font="Wingdings 2" w:char="0052"/>
            </w:r>
            <w:r>
              <w:rPr>
                <w:rFonts w:hint="eastAsia" w:cs="宋体"/>
                <w:color w:val="auto"/>
                <w:sz w:val="24"/>
                <w:szCs w:val="24"/>
              </w:rPr>
              <w:t>是：</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已于</w:t>
            </w:r>
            <w:r>
              <w:rPr>
                <w:rFonts w:hint="eastAsia" w:ascii="Times New Roman" w:hAnsi="Times New Roman" w:eastAsia="宋体" w:cs="Times New Roman"/>
                <w:color w:val="auto"/>
                <w:sz w:val="24"/>
                <w:szCs w:val="24"/>
                <w:lang w:val="en-US" w:eastAsia="zh-CN"/>
              </w:rPr>
              <w:t>2020年</w:t>
            </w:r>
            <w:r>
              <w:rPr>
                <w:rFonts w:hint="eastAsia" w:ascii="Times New Roman" w:hAnsi="Times New Roman" w:eastAsia="宋体" w:cs="Times New Roman"/>
                <w:color w:val="auto"/>
                <w:sz w:val="24"/>
                <w:szCs w:val="24"/>
                <w:lang w:eastAsia="zh-CN"/>
              </w:rPr>
              <w:t>建成</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已进行</w:t>
            </w:r>
            <w:r>
              <w:rPr>
                <w:rFonts w:hint="default" w:ascii="Times New Roman" w:hAnsi="Times New Roman" w:eastAsia="宋体" w:cs="Times New Roman"/>
                <w:color w:val="auto"/>
                <w:sz w:val="24"/>
                <w:szCs w:val="24"/>
              </w:rPr>
              <w:t>处罚，详见附件</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lang w:val="en-US" w:eastAsia="zh-CN"/>
              </w:rPr>
              <w:t>行政处罚决定书</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新商罚字[2021]12号</w:t>
            </w:r>
            <w:r>
              <w:rPr>
                <w:rFonts w:hint="default" w:ascii="Times New Roman" w:hAnsi="Times New Roman" w:eastAsia="宋体" w:cs="Times New Roman"/>
                <w:color w:val="auto"/>
                <w:sz w:val="24"/>
                <w:szCs w:val="24"/>
              </w:rPr>
              <w:t>）。</w:t>
            </w:r>
          </w:p>
        </w:tc>
        <w:tc>
          <w:tcPr>
            <w:tcW w:w="1806" w:type="dxa"/>
            <w:tcMar>
              <w:top w:w="16" w:type="dxa"/>
              <w:left w:w="28" w:type="dxa"/>
              <w:right w:w="28" w:type="dxa"/>
            </w:tcMar>
            <w:vAlign w:val="center"/>
          </w:tcPr>
          <w:p>
            <w:pPr>
              <w:adjustRightInd w:val="0"/>
              <w:snapToGrid w:val="0"/>
              <w:jc w:val="center"/>
              <w:rPr>
                <w:rFonts w:cs="宋体"/>
                <w:color w:val="auto"/>
                <w:spacing w:val="-6"/>
                <w:sz w:val="24"/>
                <w:szCs w:val="24"/>
              </w:rPr>
            </w:pPr>
            <w:r>
              <w:rPr>
                <w:rFonts w:hint="eastAsia" w:cs="宋体"/>
                <w:color w:val="auto"/>
                <w:spacing w:val="-6"/>
                <w:sz w:val="24"/>
                <w:szCs w:val="24"/>
              </w:rPr>
              <w:t>用地（用海）</w:t>
            </w:r>
          </w:p>
          <w:p>
            <w:pPr>
              <w:adjustRightInd w:val="0"/>
              <w:snapToGrid w:val="0"/>
              <w:jc w:val="center"/>
              <w:rPr>
                <w:rFonts w:cs="宋体"/>
                <w:color w:val="auto"/>
                <w:sz w:val="24"/>
                <w:szCs w:val="24"/>
              </w:rPr>
            </w:pPr>
            <w:r>
              <w:rPr>
                <w:rFonts w:hint="eastAsia" w:cs="宋体"/>
                <w:color w:val="auto"/>
                <w:spacing w:val="-6"/>
                <w:sz w:val="24"/>
                <w:szCs w:val="24"/>
              </w:rPr>
              <w:t>面积（</w:t>
            </w:r>
            <w:r>
              <w:rPr>
                <w:rFonts w:cs="宋体"/>
                <w:color w:val="auto"/>
                <w:spacing w:val="-6"/>
                <w:sz w:val="24"/>
                <w:szCs w:val="24"/>
              </w:rPr>
              <w:t>m</w:t>
            </w:r>
            <w:r>
              <w:rPr>
                <w:rFonts w:cs="宋体"/>
                <w:color w:val="auto"/>
                <w:spacing w:val="-6"/>
                <w:sz w:val="24"/>
                <w:szCs w:val="24"/>
                <w:vertAlign w:val="superscript"/>
              </w:rPr>
              <w:t>2</w:t>
            </w:r>
            <w:r>
              <w:rPr>
                <w:rFonts w:hint="eastAsia" w:cs="宋体"/>
                <w:color w:val="auto"/>
                <w:spacing w:val="-6"/>
                <w:sz w:val="24"/>
                <w:szCs w:val="24"/>
              </w:rPr>
              <w:t>）</w:t>
            </w:r>
          </w:p>
        </w:tc>
        <w:tc>
          <w:tcPr>
            <w:tcW w:w="3045" w:type="dxa"/>
            <w:tcMar>
              <w:left w:w="28" w:type="dxa"/>
              <w:right w:w="28" w:type="dxa"/>
            </w:tcMar>
            <w:vAlign w:val="center"/>
          </w:tcPr>
          <w:p>
            <w:pPr>
              <w:adjustRightInd w:val="0"/>
              <w:snapToGrid w:val="0"/>
              <w:jc w:val="center"/>
              <w:rPr>
                <w:rFonts w:hint="default" w:eastAsia="宋体" w:cs="宋体"/>
                <w:color w:val="auto"/>
                <w:sz w:val="24"/>
                <w:szCs w:val="24"/>
                <w:lang w:val="en-US" w:eastAsia="zh-CN"/>
              </w:rPr>
            </w:pPr>
            <w:r>
              <w:rPr>
                <w:rFonts w:hint="eastAsia" w:cs="宋体"/>
                <w:color w:val="auto"/>
                <w:sz w:val="24"/>
                <w:szCs w:val="24"/>
                <w:lang w:val="en-US" w:eastAsia="zh-CN"/>
              </w:rPr>
              <w:t>2080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专项评价设置情况</w:t>
            </w:r>
          </w:p>
        </w:tc>
        <w:tc>
          <w:tcPr>
            <w:tcW w:w="7723" w:type="dxa"/>
            <w:gridSpan w:val="3"/>
            <w:vAlign w:val="center"/>
          </w:tcPr>
          <w:p>
            <w:pPr>
              <w:autoSpaceDE w:val="0"/>
              <w:autoSpaceDN w:val="0"/>
              <w:adjustRightInd w:val="0"/>
              <w:snapToGrid w:val="0"/>
              <w:spacing w:line="460" w:lineRule="exact"/>
              <w:contextualSpacing/>
              <w:jc w:val="center"/>
              <w:rPr>
                <w:color w:val="auto"/>
                <w:kern w:val="0"/>
                <w:sz w:val="24"/>
              </w:rPr>
            </w:pPr>
            <w:r>
              <w:rPr>
                <w:bCs/>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Borders>
              <w:bottom w:val="single" w:color="auto" w:sz="4" w:space="0"/>
            </w:tcBorders>
            <w:tcMar>
              <w:left w:w="28" w:type="dxa"/>
              <w:right w:w="28"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sz w:val="24"/>
                <w:szCs w:val="24"/>
              </w:rPr>
              <w:t>规划情况</w:t>
            </w:r>
          </w:p>
        </w:tc>
        <w:tc>
          <w:tcPr>
            <w:tcW w:w="7723" w:type="dxa"/>
            <w:gridSpan w:val="3"/>
            <w:vAlign w:val="center"/>
          </w:tcPr>
          <w:p>
            <w:pPr>
              <w:autoSpaceDE w:val="0"/>
              <w:autoSpaceDN w:val="0"/>
              <w:adjustRightInd w:val="0"/>
              <w:snapToGrid w:val="0"/>
              <w:spacing w:line="460" w:lineRule="exact"/>
              <w:contextualSpacing/>
              <w:jc w:val="center"/>
              <w:rPr>
                <w:rFonts w:hint="eastAsia"/>
                <w:bCs/>
                <w:color w:val="auto"/>
                <w:kern w:val="0"/>
                <w:sz w:val="24"/>
                <w:lang w:eastAsia="zh-CN"/>
              </w:rPr>
            </w:pPr>
            <w:r>
              <w:rPr>
                <w:rFonts w:hint="eastAsia"/>
                <w:bCs/>
                <w:color w:val="auto"/>
                <w:kern w:val="0"/>
                <w:sz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47" w:type="dxa"/>
            <w:tcBorders>
              <w:top w:val="single" w:color="auto" w:sz="4" w:space="0"/>
            </w:tcBorders>
            <w:tcMar>
              <w:left w:w="28" w:type="dxa"/>
              <w:right w:w="28" w:type="dxa"/>
            </w:tcMar>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规划环境影响评价情况</w:t>
            </w:r>
          </w:p>
        </w:tc>
        <w:tc>
          <w:tcPr>
            <w:tcW w:w="7723" w:type="dxa"/>
            <w:gridSpan w:val="3"/>
            <w:vAlign w:val="center"/>
          </w:tcPr>
          <w:p>
            <w:pPr>
              <w:autoSpaceDE w:val="0"/>
              <w:autoSpaceDN w:val="0"/>
              <w:adjustRightInd w:val="0"/>
              <w:snapToGrid w:val="0"/>
              <w:spacing w:line="460" w:lineRule="exact"/>
              <w:contextualSpacing/>
              <w:jc w:val="center"/>
              <w:rPr>
                <w:rFonts w:hint="eastAsia"/>
                <w:bCs/>
                <w:color w:val="auto"/>
                <w:kern w:val="0"/>
                <w:sz w:val="24"/>
                <w:lang w:eastAsia="zh-CN"/>
              </w:rPr>
            </w:pPr>
            <w:r>
              <w:rPr>
                <w:rFonts w:hint="eastAsia"/>
                <w:bCs/>
                <w:color w:val="auto"/>
                <w:kern w:val="0"/>
                <w:sz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规划及规划环境影响评价符合性分析</w:t>
            </w:r>
          </w:p>
        </w:tc>
        <w:tc>
          <w:tcPr>
            <w:tcW w:w="7723"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460" w:lineRule="exact"/>
              <w:ind w:firstLine="0" w:firstLineChars="0"/>
              <w:jc w:val="center"/>
              <w:textAlignment w:val="auto"/>
              <w:rPr>
                <w:color w:val="auto"/>
                <w:kern w:val="0"/>
                <w:sz w:val="24"/>
              </w:rPr>
            </w:pPr>
            <w:r>
              <w:rPr>
                <w:rFonts w:hint="eastAsia"/>
                <w:bCs/>
                <w:color w:val="auto"/>
                <w:kern w:val="0"/>
                <w:sz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color w:val="FF0000"/>
                <w:kern w:val="0"/>
                <w:szCs w:val="21"/>
              </w:rPr>
            </w:pPr>
            <w:r>
              <w:rPr>
                <w:rFonts w:hint="eastAsia" w:ascii="宋体" w:hAnsi="宋体" w:cs="宋体"/>
                <w:color w:val="auto"/>
                <w:kern w:val="0"/>
                <w:sz w:val="24"/>
                <w:szCs w:val="24"/>
              </w:rPr>
              <w:t>其他符合性分析</w:t>
            </w:r>
          </w:p>
        </w:tc>
        <w:tc>
          <w:tcPr>
            <w:tcW w:w="7723" w:type="dxa"/>
            <w:gridSpan w:val="3"/>
            <w:vAlign w:val="center"/>
          </w:tcPr>
          <w:p>
            <w:pPr>
              <w:autoSpaceDE w:val="0"/>
              <w:autoSpaceDN w:val="0"/>
              <w:adjustRightInd w:val="0"/>
              <w:snapToGrid w:val="0"/>
              <w:spacing w:line="460" w:lineRule="exact"/>
              <w:ind w:firstLine="482" w:firstLineChars="200"/>
              <w:rPr>
                <w:b/>
                <w:color w:val="FF0000"/>
                <w:kern w:val="0"/>
                <w:sz w:val="24"/>
              </w:rPr>
            </w:pPr>
            <w:r>
              <w:rPr>
                <w:b/>
                <w:color w:val="auto"/>
                <w:kern w:val="0"/>
                <w:sz w:val="24"/>
              </w:rPr>
              <w:t>1、与《建设项目环境影响评价分类管理名录》（2021年版）相符性分析</w:t>
            </w:r>
          </w:p>
          <w:p>
            <w:pPr>
              <w:autoSpaceDE w:val="0"/>
              <w:autoSpaceDN w:val="0"/>
              <w:adjustRightInd w:val="0"/>
              <w:snapToGrid w:val="0"/>
              <w:spacing w:line="460" w:lineRule="exact"/>
              <w:ind w:firstLine="480" w:firstLineChars="200"/>
              <w:rPr>
                <w:color w:val="FF0000"/>
                <w:kern w:val="0"/>
                <w:sz w:val="24"/>
              </w:rPr>
            </w:pPr>
            <w:r>
              <w:rPr>
                <w:color w:val="auto"/>
                <w:kern w:val="0"/>
                <w:sz w:val="24"/>
              </w:rPr>
              <w:t>经查阅《建设项目环境影响评价分类管理名录》（</w:t>
            </w:r>
            <w:r>
              <w:rPr>
                <w:rFonts w:hint="eastAsia"/>
                <w:color w:val="auto"/>
                <w:kern w:val="0"/>
                <w:sz w:val="24"/>
              </w:rPr>
              <w:t>202</w:t>
            </w:r>
            <w:r>
              <w:rPr>
                <w:color w:val="auto"/>
                <w:kern w:val="0"/>
                <w:sz w:val="24"/>
              </w:rPr>
              <w:t>1版），本项目属于</w:t>
            </w:r>
            <w:r>
              <w:rPr>
                <w:rFonts w:hint="eastAsia"/>
                <w:color w:val="auto"/>
                <w:kern w:val="0"/>
                <w:sz w:val="24"/>
                <w:lang w:eastAsia="zh-CN"/>
              </w:rPr>
              <w:t>五十</w:t>
            </w:r>
            <w:r>
              <w:rPr>
                <w:rFonts w:hint="eastAsia"/>
                <w:color w:val="auto"/>
                <w:kern w:val="0"/>
                <w:sz w:val="24"/>
              </w:rPr>
              <w:t>项“</w:t>
            </w:r>
            <w:r>
              <w:rPr>
                <w:rFonts w:hint="eastAsia" w:cs="宋体"/>
                <w:color w:val="auto"/>
                <w:sz w:val="24"/>
                <w:szCs w:val="24"/>
                <w:lang w:eastAsia="zh-CN"/>
              </w:rPr>
              <w:t>社会事业与服务业</w:t>
            </w:r>
            <w:r>
              <w:rPr>
                <w:rFonts w:hint="eastAsia"/>
                <w:color w:val="auto"/>
                <w:kern w:val="0"/>
                <w:sz w:val="24"/>
              </w:rPr>
              <w:t>”第</w:t>
            </w:r>
            <w:r>
              <w:rPr>
                <w:rFonts w:hint="eastAsia"/>
                <w:color w:val="auto"/>
                <w:kern w:val="0"/>
                <w:sz w:val="24"/>
                <w:lang w:val="en-US" w:eastAsia="zh-CN"/>
              </w:rPr>
              <w:t>119</w:t>
            </w:r>
            <w:r>
              <w:rPr>
                <w:rFonts w:hint="eastAsia"/>
                <w:color w:val="auto"/>
                <w:kern w:val="0"/>
                <w:sz w:val="24"/>
              </w:rPr>
              <w:t>条“</w:t>
            </w:r>
            <w:r>
              <w:rPr>
                <w:rFonts w:hint="eastAsia"/>
                <w:color w:val="auto"/>
                <w:kern w:val="0"/>
                <w:sz w:val="24"/>
                <w:lang w:eastAsia="zh-CN"/>
              </w:rPr>
              <w:t>加油、加气站</w:t>
            </w:r>
            <w:r>
              <w:rPr>
                <w:rFonts w:hint="eastAsia"/>
                <w:color w:val="auto"/>
                <w:kern w:val="0"/>
                <w:sz w:val="24"/>
              </w:rPr>
              <w:t>”。名录规定：“</w:t>
            </w:r>
            <w:r>
              <w:rPr>
                <w:rFonts w:hint="eastAsia"/>
                <w:color w:val="auto"/>
                <w:sz w:val="24"/>
              </w:rPr>
              <w:t>城市建成区新建、扩建加油站；涉及环境敏感区的</w:t>
            </w:r>
            <w:r>
              <w:rPr>
                <w:rFonts w:hint="eastAsia"/>
                <w:color w:val="auto"/>
                <w:kern w:val="0"/>
                <w:sz w:val="24"/>
              </w:rPr>
              <w:t>”</w:t>
            </w:r>
            <w:r>
              <w:rPr>
                <w:rFonts w:hint="eastAsia"/>
                <w:color w:val="auto"/>
                <w:sz w:val="24"/>
              </w:rPr>
              <w:t>项目需要编制环境影响报告</w:t>
            </w:r>
            <w:r>
              <w:rPr>
                <w:rFonts w:hint="eastAsia"/>
                <w:color w:val="auto"/>
                <w:sz w:val="24"/>
                <w:lang w:eastAsia="zh-CN"/>
              </w:rPr>
              <w:t>表</w:t>
            </w:r>
            <w:r>
              <w:rPr>
                <w:rFonts w:hint="eastAsia"/>
                <w:color w:val="auto"/>
                <w:kern w:val="0"/>
                <w:sz w:val="24"/>
              </w:rPr>
              <w:t>。</w:t>
            </w:r>
            <w:r>
              <w:rPr>
                <w:color w:val="auto"/>
                <w:sz w:val="24"/>
              </w:rPr>
              <w:t>本项目</w:t>
            </w:r>
            <w:r>
              <w:rPr>
                <w:rFonts w:hint="eastAsia"/>
                <w:color w:val="auto"/>
                <w:sz w:val="24"/>
                <w:lang w:eastAsia="zh-CN"/>
              </w:rPr>
              <w:t>属扩建加油站，位于</w:t>
            </w:r>
            <w:r>
              <w:rPr>
                <w:rFonts w:hint="eastAsia" w:cs="宋体"/>
                <w:color w:val="auto"/>
                <w:sz w:val="24"/>
                <w:szCs w:val="24"/>
                <w:lang w:eastAsia="zh-CN"/>
              </w:rPr>
              <w:t>新乡县七里营镇政府北300m，属于新乡县城市建成区</w:t>
            </w:r>
            <w:r>
              <w:rPr>
                <w:rFonts w:hint="eastAsia" w:cs="宋体"/>
                <w:color w:val="auto"/>
                <w:sz w:val="24"/>
                <w:szCs w:val="24"/>
                <w:lang w:val="en-US" w:eastAsia="zh-CN"/>
              </w:rPr>
              <w:t>范围内（见附图三）</w:t>
            </w:r>
            <w:r>
              <w:rPr>
                <w:rFonts w:hint="eastAsia" w:cs="宋体"/>
                <w:color w:val="auto"/>
                <w:sz w:val="24"/>
                <w:szCs w:val="24"/>
                <w:lang w:eastAsia="zh-CN"/>
              </w:rPr>
              <w:t>，</w:t>
            </w:r>
            <w:r>
              <w:rPr>
                <w:rFonts w:hint="eastAsia"/>
                <w:color w:val="auto"/>
                <w:sz w:val="24"/>
              </w:rPr>
              <w:t>按要求需编制环境影响报告表。</w:t>
            </w:r>
          </w:p>
          <w:p>
            <w:pPr>
              <w:autoSpaceDE w:val="0"/>
              <w:autoSpaceDN w:val="0"/>
              <w:adjustRightInd w:val="0"/>
              <w:snapToGrid w:val="0"/>
              <w:spacing w:line="460" w:lineRule="exact"/>
              <w:ind w:firstLine="482" w:firstLineChars="200"/>
              <w:rPr>
                <w:b/>
                <w:color w:val="auto"/>
                <w:kern w:val="0"/>
                <w:sz w:val="24"/>
              </w:rPr>
            </w:pPr>
            <w:r>
              <w:rPr>
                <w:b/>
                <w:color w:val="auto"/>
                <w:kern w:val="0"/>
                <w:sz w:val="24"/>
              </w:rPr>
              <w:t>2、</w:t>
            </w:r>
            <w:r>
              <w:rPr>
                <w:b/>
                <w:bCs/>
                <w:color w:val="auto"/>
                <w:kern w:val="0"/>
                <w:sz w:val="24"/>
              </w:rPr>
              <w:t>与产业政策</w:t>
            </w:r>
            <w:r>
              <w:rPr>
                <w:rFonts w:hint="eastAsia"/>
                <w:b/>
                <w:bCs/>
                <w:color w:val="auto"/>
                <w:kern w:val="0"/>
                <w:sz w:val="24"/>
              </w:rPr>
              <w:t>及备案</w:t>
            </w:r>
            <w:r>
              <w:rPr>
                <w:b/>
                <w:bCs/>
                <w:color w:val="auto"/>
                <w:kern w:val="0"/>
                <w:sz w:val="24"/>
              </w:rPr>
              <w:t>相符性分析</w:t>
            </w:r>
          </w:p>
          <w:p>
            <w:pPr>
              <w:pStyle w:val="11"/>
              <w:adjustRightInd w:val="0"/>
              <w:snapToGrid w:val="0"/>
              <w:spacing w:line="460" w:lineRule="exact"/>
              <w:ind w:firstLine="480" w:firstLineChars="200"/>
              <w:jc w:val="both"/>
              <w:rPr>
                <w:color w:val="auto"/>
                <w:szCs w:val="24"/>
                <w:highlight w:val="yellow"/>
                <w:lang w:val="en-US"/>
              </w:rPr>
            </w:pPr>
            <w:r>
              <w:rPr>
                <w:rFonts w:hint="eastAsia"/>
                <w:color w:val="auto"/>
                <w:szCs w:val="24"/>
                <w:lang w:val="en-US"/>
              </w:rPr>
              <w:t>经查阅</w:t>
            </w:r>
            <w:r>
              <w:rPr>
                <w:color w:val="auto"/>
                <w:szCs w:val="24"/>
                <w:lang w:val="en-US"/>
              </w:rPr>
              <w:t>《产业结构调整指导目录（201</w:t>
            </w:r>
            <w:r>
              <w:rPr>
                <w:rFonts w:hint="eastAsia"/>
                <w:color w:val="auto"/>
                <w:szCs w:val="24"/>
                <w:lang w:val="en-US"/>
              </w:rPr>
              <w:t>9</w:t>
            </w:r>
            <w:r>
              <w:rPr>
                <w:color w:val="auto"/>
                <w:szCs w:val="24"/>
                <w:lang w:val="en-US"/>
              </w:rPr>
              <w:t>年本）》，</w:t>
            </w:r>
            <w:r>
              <w:rPr>
                <w:bCs/>
                <w:color w:val="auto"/>
                <w:szCs w:val="24"/>
                <w:lang w:val="en-US"/>
              </w:rPr>
              <w:t>该项目生产规模、生产设备、生产工艺均不属于</w:t>
            </w:r>
            <w:r>
              <w:rPr>
                <w:rFonts w:ascii="宋体" w:hAnsi="宋体"/>
                <w:bCs/>
                <w:color w:val="auto"/>
                <w:szCs w:val="24"/>
                <w:lang w:val="en-US"/>
              </w:rPr>
              <w:t>“鼓励类”</w:t>
            </w:r>
            <w:r>
              <w:rPr>
                <w:rFonts w:hint="eastAsia" w:ascii="宋体" w:hAnsi="宋体"/>
                <w:bCs/>
                <w:color w:val="auto"/>
                <w:szCs w:val="24"/>
                <w:lang w:val="en-US"/>
              </w:rPr>
              <w:t>、</w:t>
            </w:r>
            <w:r>
              <w:rPr>
                <w:rFonts w:ascii="宋体" w:hAnsi="宋体"/>
                <w:bCs/>
                <w:color w:val="auto"/>
                <w:szCs w:val="24"/>
                <w:lang w:val="en-US"/>
              </w:rPr>
              <w:t>“限制类”</w:t>
            </w:r>
            <w:r>
              <w:rPr>
                <w:rFonts w:hint="eastAsia" w:ascii="宋体" w:hAnsi="宋体"/>
                <w:bCs/>
                <w:color w:val="auto"/>
                <w:szCs w:val="24"/>
                <w:lang w:val="en-US"/>
              </w:rPr>
              <w:t>或</w:t>
            </w:r>
            <w:r>
              <w:rPr>
                <w:rFonts w:ascii="宋体" w:hAnsi="宋体"/>
                <w:bCs/>
                <w:color w:val="auto"/>
                <w:szCs w:val="24"/>
                <w:lang w:val="en-US"/>
              </w:rPr>
              <w:t>“淘汰类”，为</w:t>
            </w:r>
            <w:r>
              <w:rPr>
                <w:rFonts w:hint="eastAsia" w:ascii="宋体" w:hAnsi="宋体"/>
                <w:bCs/>
                <w:color w:val="auto"/>
                <w:szCs w:val="24"/>
                <w:lang w:val="en-US"/>
              </w:rPr>
              <w:t>“允许类”</w:t>
            </w:r>
            <w:r>
              <w:rPr>
                <w:bCs/>
                <w:color w:val="auto"/>
                <w:szCs w:val="24"/>
                <w:lang w:val="en-US"/>
              </w:rPr>
              <w:t>，符合国家产业政策要求。</w:t>
            </w:r>
            <w:r>
              <w:rPr>
                <w:rFonts w:hint="eastAsia"/>
                <w:color w:val="auto"/>
                <w:szCs w:val="24"/>
                <w:lang w:val="en-US"/>
              </w:rPr>
              <w:t>本项目已通过</w:t>
            </w:r>
            <w:r>
              <w:rPr>
                <w:rFonts w:hint="eastAsia"/>
                <w:color w:val="auto"/>
                <w:szCs w:val="24"/>
                <w:lang w:val="en-US" w:eastAsia="zh-CN"/>
              </w:rPr>
              <w:t>新乡县发展和改革委员会</w:t>
            </w:r>
            <w:r>
              <w:rPr>
                <w:rFonts w:hint="eastAsia"/>
                <w:color w:val="auto"/>
                <w:szCs w:val="24"/>
                <w:lang w:val="en-US"/>
              </w:rPr>
              <w:t>备案，项目代码为：</w:t>
            </w:r>
            <w:r>
              <w:rPr>
                <w:rFonts w:hint="eastAsia"/>
                <w:color w:val="auto"/>
                <w:szCs w:val="24"/>
                <w:lang w:val="en-US" w:eastAsia="zh-CN"/>
              </w:rPr>
              <w:t>2020-410721-52-03-100248</w:t>
            </w:r>
            <w:r>
              <w:rPr>
                <w:rFonts w:hint="eastAsia"/>
                <w:color w:val="auto"/>
                <w:szCs w:val="24"/>
                <w:lang w:val="en-US"/>
              </w:rPr>
              <w:t>。</w:t>
            </w:r>
          </w:p>
          <w:p>
            <w:pPr>
              <w:spacing w:line="460" w:lineRule="exact"/>
              <w:ind w:firstLine="480" w:firstLineChars="200"/>
              <w:rPr>
                <w:color w:val="auto"/>
                <w:sz w:val="24"/>
              </w:rPr>
            </w:pPr>
            <w:r>
              <w:rPr>
                <w:color w:val="auto"/>
                <w:sz w:val="24"/>
              </w:rPr>
              <w:t>本项目与备案一致性分析见</w:t>
            </w:r>
            <w:r>
              <w:rPr>
                <w:rFonts w:hint="eastAsia"/>
                <w:color w:val="auto"/>
                <w:sz w:val="24"/>
              </w:rPr>
              <w:t>下表</w:t>
            </w:r>
            <w:r>
              <w:rPr>
                <w:color w:val="auto"/>
                <w:sz w:val="24"/>
              </w:rPr>
              <w:t>。</w:t>
            </w:r>
          </w:p>
          <w:p>
            <w:pPr>
              <w:pStyle w:val="9"/>
              <w:bidi w:val="0"/>
              <w:rPr>
                <w:lang w:val="pt-BR"/>
              </w:rPr>
            </w:pPr>
            <w:r>
              <w:t>本项目与备案一致性分析一览表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3"/>
              <w:gridCol w:w="2563"/>
              <w:gridCol w:w="2973"/>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b/>
                      <w:color w:val="auto"/>
                      <w:szCs w:val="21"/>
                    </w:rPr>
                  </w:pPr>
                  <w:r>
                    <w:rPr>
                      <w:b/>
                      <w:color w:val="auto"/>
                      <w:szCs w:val="21"/>
                    </w:rPr>
                    <w:t>名称</w:t>
                  </w:r>
                </w:p>
              </w:tc>
              <w:tc>
                <w:tcPr>
                  <w:tcW w:w="2566" w:type="dxa"/>
                  <w:vAlign w:val="center"/>
                </w:tcPr>
                <w:p>
                  <w:pPr>
                    <w:adjustRightInd w:val="0"/>
                    <w:snapToGrid w:val="0"/>
                    <w:jc w:val="center"/>
                    <w:rPr>
                      <w:b/>
                      <w:color w:val="auto"/>
                      <w:szCs w:val="21"/>
                    </w:rPr>
                  </w:pPr>
                  <w:r>
                    <w:rPr>
                      <w:b/>
                      <w:color w:val="auto"/>
                      <w:szCs w:val="21"/>
                    </w:rPr>
                    <w:t>备案内容</w:t>
                  </w:r>
                </w:p>
              </w:tc>
              <w:tc>
                <w:tcPr>
                  <w:tcW w:w="2977" w:type="dxa"/>
                  <w:vAlign w:val="center"/>
                </w:tcPr>
                <w:p>
                  <w:pPr>
                    <w:adjustRightInd w:val="0"/>
                    <w:snapToGrid w:val="0"/>
                    <w:jc w:val="center"/>
                    <w:rPr>
                      <w:b/>
                      <w:color w:val="auto"/>
                      <w:szCs w:val="21"/>
                    </w:rPr>
                  </w:pPr>
                  <w:r>
                    <w:rPr>
                      <w:b/>
                      <w:color w:val="auto"/>
                      <w:szCs w:val="21"/>
                    </w:rPr>
                    <w:t>本项目情况</w:t>
                  </w:r>
                </w:p>
              </w:tc>
              <w:tc>
                <w:tcPr>
                  <w:tcW w:w="970" w:type="dxa"/>
                  <w:vAlign w:val="center"/>
                </w:tcPr>
                <w:p>
                  <w:pPr>
                    <w:adjustRightInd w:val="0"/>
                    <w:snapToGrid w:val="0"/>
                    <w:jc w:val="center"/>
                    <w:rPr>
                      <w:b/>
                      <w:color w:val="auto"/>
                      <w:szCs w:val="21"/>
                    </w:rPr>
                  </w:pPr>
                  <w:r>
                    <w:rPr>
                      <w:rFonts w:hint="eastAsia"/>
                      <w:b/>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color w:val="auto"/>
                      <w:szCs w:val="21"/>
                    </w:rPr>
                  </w:pPr>
                  <w:r>
                    <w:rPr>
                      <w:color w:val="auto"/>
                      <w:szCs w:val="21"/>
                    </w:rPr>
                    <w:t>建设项目</w:t>
                  </w:r>
                </w:p>
              </w:tc>
              <w:tc>
                <w:tcPr>
                  <w:tcW w:w="2566" w:type="dxa"/>
                  <w:vAlign w:val="center"/>
                </w:tcPr>
                <w:p>
                  <w:pPr>
                    <w:adjustRightInd w:val="0"/>
                    <w:snapToGrid w:val="0"/>
                    <w:jc w:val="center"/>
                    <w:rPr>
                      <w:rFonts w:hint="eastAsia" w:eastAsia="宋体"/>
                      <w:color w:val="auto"/>
                      <w:szCs w:val="21"/>
                      <w:lang w:eastAsia="zh-CN"/>
                    </w:rPr>
                  </w:pPr>
                  <w:r>
                    <w:rPr>
                      <w:rFonts w:hint="eastAsia" w:cs="宋体"/>
                      <w:color w:val="auto"/>
                      <w:szCs w:val="21"/>
                      <w:lang w:eastAsia="zh-CN"/>
                    </w:rPr>
                    <w:t>新乡县七里营镇四达加油站</w:t>
                  </w:r>
                </w:p>
              </w:tc>
              <w:tc>
                <w:tcPr>
                  <w:tcW w:w="2977" w:type="dxa"/>
                  <w:vAlign w:val="center"/>
                </w:tcPr>
                <w:p>
                  <w:pPr>
                    <w:adjustRightInd w:val="0"/>
                    <w:snapToGrid w:val="0"/>
                    <w:jc w:val="center"/>
                    <w:rPr>
                      <w:rFonts w:hint="eastAsia" w:eastAsia="宋体"/>
                      <w:color w:val="auto"/>
                      <w:szCs w:val="21"/>
                      <w:lang w:eastAsia="zh-CN"/>
                    </w:rPr>
                  </w:pPr>
                  <w:r>
                    <w:rPr>
                      <w:rFonts w:hint="eastAsia" w:cs="宋体"/>
                      <w:color w:val="auto"/>
                      <w:szCs w:val="21"/>
                      <w:lang w:eastAsia="zh-CN"/>
                    </w:rPr>
                    <w:t>新乡县七里营镇四达加油站</w:t>
                  </w:r>
                </w:p>
              </w:tc>
              <w:tc>
                <w:tcPr>
                  <w:tcW w:w="970" w:type="dxa"/>
                  <w:vAlign w:val="center"/>
                </w:tcPr>
                <w:p>
                  <w:pPr>
                    <w:adjustRightInd w:val="0"/>
                    <w:snapToGrid w:val="0"/>
                    <w:jc w:val="center"/>
                    <w:rPr>
                      <w:color w:val="auto"/>
                      <w:szCs w:val="21"/>
                    </w:rPr>
                  </w:pPr>
                  <w:r>
                    <w:rPr>
                      <w:rFonts w:hint="eastAsia"/>
                      <w:color w:val="auto"/>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color w:val="auto"/>
                      <w:szCs w:val="21"/>
                    </w:rPr>
                  </w:pPr>
                  <w:r>
                    <w:rPr>
                      <w:color w:val="auto"/>
                      <w:szCs w:val="21"/>
                    </w:rPr>
                    <w:t>建设地点</w:t>
                  </w:r>
                </w:p>
              </w:tc>
              <w:tc>
                <w:tcPr>
                  <w:tcW w:w="2566" w:type="dxa"/>
                  <w:vAlign w:val="center"/>
                </w:tcPr>
                <w:p>
                  <w:pPr>
                    <w:adjustRightInd w:val="0"/>
                    <w:snapToGrid w:val="0"/>
                    <w:jc w:val="center"/>
                    <w:rPr>
                      <w:rFonts w:hint="eastAsia" w:eastAsia="宋体"/>
                      <w:color w:val="auto"/>
                      <w:szCs w:val="21"/>
                      <w:lang w:eastAsia="zh-CN"/>
                    </w:rPr>
                  </w:pPr>
                  <w:r>
                    <w:rPr>
                      <w:rFonts w:hint="eastAsia" w:cs="宋体"/>
                      <w:color w:val="auto"/>
                      <w:szCs w:val="21"/>
                      <w:lang w:eastAsia="zh-CN"/>
                    </w:rPr>
                    <w:t>新乡市新乡县七里营镇政府北300m</w:t>
                  </w:r>
                </w:p>
              </w:tc>
              <w:tc>
                <w:tcPr>
                  <w:tcW w:w="2977" w:type="dxa"/>
                  <w:vAlign w:val="center"/>
                </w:tcPr>
                <w:p>
                  <w:pPr>
                    <w:adjustRightInd w:val="0"/>
                    <w:snapToGrid w:val="0"/>
                    <w:jc w:val="center"/>
                    <w:rPr>
                      <w:rFonts w:hint="eastAsia" w:eastAsia="宋体"/>
                      <w:color w:val="auto"/>
                      <w:szCs w:val="21"/>
                      <w:lang w:eastAsia="zh-CN"/>
                    </w:rPr>
                  </w:pPr>
                  <w:r>
                    <w:rPr>
                      <w:rFonts w:hint="eastAsia" w:cs="宋体"/>
                      <w:color w:val="auto"/>
                      <w:szCs w:val="21"/>
                      <w:lang w:eastAsia="zh-CN"/>
                    </w:rPr>
                    <w:t>新乡市新乡县七里营镇政府北300m</w:t>
                  </w:r>
                </w:p>
              </w:tc>
              <w:tc>
                <w:tcPr>
                  <w:tcW w:w="970" w:type="dxa"/>
                  <w:vAlign w:val="center"/>
                </w:tcPr>
                <w:p>
                  <w:pPr>
                    <w:adjustRightInd w:val="0"/>
                    <w:snapToGrid w:val="0"/>
                    <w:jc w:val="center"/>
                    <w:rPr>
                      <w:color w:val="auto"/>
                      <w:szCs w:val="21"/>
                    </w:rPr>
                  </w:pPr>
                  <w:r>
                    <w:rPr>
                      <w:rFonts w:hint="eastAsia"/>
                      <w:color w:val="auto"/>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color w:val="auto"/>
                      <w:szCs w:val="21"/>
                    </w:rPr>
                  </w:pPr>
                  <w:r>
                    <w:rPr>
                      <w:color w:val="auto"/>
                      <w:szCs w:val="21"/>
                    </w:rPr>
                    <w:t>建设性质</w:t>
                  </w:r>
                </w:p>
              </w:tc>
              <w:tc>
                <w:tcPr>
                  <w:tcW w:w="2566" w:type="dxa"/>
                  <w:vAlign w:val="center"/>
                </w:tcPr>
                <w:p>
                  <w:pPr>
                    <w:adjustRightInd w:val="0"/>
                    <w:snapToGrid w:val="0"/>
                    <w:jc w:val="center"/>
                    <w:rPr>
                      <w:rFonts w:hint="eastAsia" w:eastAsia="宋体"/>
                      <w:color w:val="auto"/>
                      <w:szCs w:val="21"/>
                      <w:lang w:eastAsia="zh-CN"/>
                    </w:rPr>
                  </w:pPr>
                  <w:r>
                    <w:rPr>
                      <w:rFonts w:hint="eastAsia"/>
                      <w:color w:val="auto"/>
                      <w:szCs w:val="21"/>
                      <w:lang w:eastAsia="zh-CN"/>
                    </w:rPr>
                    <w:t>扩建</w:t>
                  </w:r>
                </w:p>
              </w:tc>
              <w:tc>
                <w:tcPr>
                  <w:tcW w:w="2977" w:type="dxa"/>
                  <w:vAlign w:val="center"/>
                </w:tcPr>
                <w:p>
                  <w:pPr>
                    <w:adjustRightInd w:val="0"/>
                    <w:snapToGrid w:val="0"/>
                    <w:jc w:val="center"/>
                    <w:rPr>
                      <w:color w:val="auto"/>
                      <w:szCs w:val="21"/>
                    </w:rPr>
                  </w:pPr>
                  <w:r>
                    <w:rPr>
                      <w:rFonts w:hint="eastAsia"/>
                      <w:color w:val="auto"/>
                      <w:szCs w:val="21"/>
                      <w:lang w:eastAsia="zh-CN"/>
                    </w:rPr>
                    <w:t>扩建</w:t>
                  </w:r>
                </w:p>
              </w:tc>
              <w:tc>
                <w:tcPr>
                  <w:tcW w:w="970" w:type="dxa"/>
                  <w:vAlign w:val="center"/>
                </w:tcPr>
                <w:p>
                  <w:pPr>
                    <w:adjustRightInd w:val="0"/>
                    <w:snapToGrid w:val="0"/>
                    <w:jc w:val="center"/>
                    <w:rPr>
                      <w:color w:val="auto"/>
                      <w:szCs w:val="21"/>
                    </w:rPr>
                  </w:pPr>
                  <w:r>
                    <w:rPr>
                      <w:color w:val="auto"/>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rFonts w:hint="eastAsia" w:eastAsia="宋体"/>
                      <w:color w:val="auto"/>
                      <w:szCs w:val="21"/>
                      <w:lang w:eastAsia="zh-CN"/>
                    </w:rPr>
                  </w:pPr>
                  <w:r>
                    <w:rPr>
                      <w:rFonts w:hint="eastAsia"/>
                      <w:color w:val="auto"/>
                      <w:szCs w:val="21"/>
                      <w:lang w:eastAsia="zh-CN"/>
                    </w:rPr>
                    <w:t>建设内容</w:t>
                  </w:r>
                </w:p>
              </w:tc>
              <w:tc>
                <w:tcPr>
                  <w:tcW w:w="2566" w:type="dxa"/>
                  <w:vAlign w:val="center"/>
                </w:tcPr>
                <w:p>
                  <w:pPr>
                    <w:jc w:val="center"/>
                    <w:rPr>
                      <w:rFonts w:hint="default" w:eastAsia="宋体"/>
                      <w:color w:val="FF0000"/>
                      <w:szCs w:val="21"/>
                      <w:lang w:val="en-US" w:eastAsia="zh-CN"/>
                    </w:rPr>
                  </w:pPr>
                  <w:r>
                    <w:rPr>
                      <w:rFonts w:hint="eastAsia"/>
                      <w:color w:val="auto"/>
                      <w:szCs w:val="21"/>
                      <w:lang w:eastAsia="zh-CN"/>
                    </w:rPr>
                    <w:t>占地面积</w:t>
                  </w:r>
                  <w:r>
                    <w:rPr>
                      <w:rFonts w:hint="eastAsia"/>
                      <w:color w:val="auto"/>
                      <w:szCs w:val="21"/>
                      <w:lang w:val="en-US" w:eastAsia="zh-CN"/>
                    </w:rPr>
                    <w:t>2080m</w:t>
                  </w:r>
                  <w:r>
                    <w:rPr>
                      <w:rFonts w:hint="eastAsia"/>
                      <w:color w:val="auto"/>
                      <w:szCs w:val="21"/>
                      <w:vertAlign w:val="superscript"/>
                      <w:lang w:val="en-US" w:eastAsia="zh-CN"/>
                    </w:rPr>
                    <w:t>2</w:t>
                  </w:r>
                  <w:r>
                    <w:rPr>
                      <w:rFonts w:hint="eastAsia"/>
                      <w:color w:val="auto"/>
                      <w:szCs w:val="21"/>
                      <w:lang w:val="en-US" w:eastAsia="zh-CN"/>
                    </w:rPr>
                    <w:t>，</w:t>
                  </w:r>
                  <w:r>
                    <w:rPr>
                      <w:rFonts w:hint="eastAsia"/>
                      <w:color w:val="auto"/>
                      <w:szCs w:val="21"/>
                      <w:lang w:eastAsia="zh-CN"/>
                    </w:rPr>
                    <w:t>四枪税控加油</w:t>
                  </w:r>
                  <w:r>
                    <w:rPr>
                      <w:rFonts w:hint="eastAsia"/>
                      <w:color w:val="auto"/>
                      <w:szCs w:val="21"/>
                      <w:highlight w:val="none"/>
                      <w:lang w:eastAsia="zh-CN"/>
                    </w:rPr>
                    <w:t>机</w:t>
                  </w:r>
                  <w:r>
                    <w:rPr>
                      <w:rFonts w:hint="eastAsia"/>
                      <w:color w:val="auto"/>
                      <w:szCs w:val="21"/>
                      <w:lang w:val="en-US" w:eastAsia="zh-CN"/>
                    </w:rPr>
                    <w:t>2台，埋地油罐3座，其中乙醇汽油储罐2座（2*30m</w:t>
                  </w:r>
                  <w:r>
                    <w:rPr>
                      <w:rFonts w:hint="eastAsia"/>
                      <w:color w:val="auto"/>
                      <w:szCs w:val="21"/>
                      <w:vertAlign w:val="superscript"/>
                      <w:lang w:val="en-US" w:eastAsia="zh-CN"/>
                    </w:rPr>
                    <w:t>3</w:t>
                  </w:r>
                  <w:r>
                    <w:rPr>
                      <w:rFonts w:hint="eastAsia"/>
                      <w:color w:val="auto"/>
                      <w:szCs w:val="21"/>
                      <w:lang w:val="en-US" w:eastAsia="zh-CN"/>
                    </w:rPr>
                    <w:t>）（隔仓罐），柴油储罐1座（30m</w:t>
                  </w:r>
                  <w:r>
                    <w:rPr>
                      <w:rFonts w:hint="eastAsia"/>
                      <w:color w:val="auto"/>
                      <w:szCs w:val="21"/>
                      <w:vertAlign w:val="superscript"/>
                      <w:lang w:val="en-US" w:eastAsia="zh-CN"/>
                    </w:rPr>
                    <w:t>3</w:t>
                  </w:r>
                  <w:r>
                    <w:rPr>
                      <w:rFonts w:hint="eastAsia"/>
                      <w:color w:val="auto"/>
                      <w:szCs w:val="21"/>
                      <w:lang w:val="en-US" w:eastAsia="zh-CN"/>
                    </w:rPr>
                    <w:t>）</w:t>
                  </w:r>
                </w:p>
              </w:tc>
              <w:tc>
                <w:tcPr>
                  <w:tcW w:w="2977" w:type="dxa"/>
                  <w:vAlign w:val="center"/>
                </w:tcPr>
                <w:p>
                  <w:pPr>
                    <w:adjustRightInd w:val="0"/>
                    <w:snapToGrid w:val="0"/>
                    <w:jc w:val="center"/>
                    <w:rPr>
                      <w:color w:val="FF0000"/>
                      <w:szCs w:val="21"/>
                      <w:highlight w:val="yellow"/>
                    </w:rPr>
                  </w:pPr>
                  <w:r>
                    <w:rPr>
                      <w:rFonts w:hint="eastAsia"/>
                      <w:color w:val="auto"/>
                      <w:szCs w:val="21"/>
                      <w:lang w:eastAsia="zh-CN"/>
                    </w:rPr>
                    <w:t>占地面积</w:t>
                  </w:r>
                  <w:r>
                    <w:rPr>
                      <w:rFonts w:hint="eastAsia"/>
                      <w:color w:val="auto"/>
                      <w:szCs w:val="21"/>
                      <w:lang w:val="en-US" w:eastAsia="zh-CN"/>
                    </w:rPr>
                    <w:t>2080m</w:t>
                  </w:r>
                  <w:r>
                    <w:rPr>
                      <w:rFonts w:hint="eastAsia"/>
                      <w:color w:val="auto"/>
                      <w:szCs w:val="21"/>
                      <w:vertAlign w:val="superscript"/>
                      <w:lang w:val="en-US" w:eastAsia="zh-CN"/>
                    </w:rPr>
                    <w:t>2</w:t>
                  </w:r>
                  <w:r>
                    <w:rPr>
                      <w:rFonts w:hint="eastAsia"/>
                      <w:color w:val="auto"/>
                      <w:szCs w:val="21"/>
                      <w:lang w:val="en-US" w:eastAsia="zh-CN"/>
                    </w:rPr>
                    <w:t>，</w:t>
                  </w:r>
                  <w:r>
                    <w:rPr>
                      <w:rFonts w:hint="eastAsia"/>
                      <w:color w:val="auto"/>
                      <w:szCs w:val="21"/>
                      <w:lang w:eastAsia="zh-CN"/>
                    </w:rPr>
                    <w:t>四枪税控加油机</w:t>
                  </w:r>
                  <w:r>
                    <w:rPr>
                      <w:rFonts w:hint="eastAsia"/>
                      <w:color w:val="auto"/>
                      <w:szCs w:val="21"/>
                      <w:lang w:val="en-US" w:eastAsia="zh-CN"/>
                    </w:rPr>
                    <w:t>2台，埋地油罐3座，其中乙醇汽油储罐2座（2*30m</w:t>
                  </w:r>
                  <w:r>
                    <w:rPr>
                      <w:rFonts w:hint="eastAsia"/>
                      <w:color w:val="auto"/>
                      <w:szCs w:val="21"/>
                      <w:vertAlign w:val="superscript"/>
                      <w:lang w:val="en-US" w:eastAsia="zh-CN"/>
                    </w:rPr>
                    <w:t>3</w:t>
                  </w:r>
                  <w:r>
                    <w:rPr>
                      <w:rFonts w:hint="eastAsia"/>
                      <w:color w:val="auto"/>
                      <w:szCs w:val="21"/>
                      <w:lang w:val="en-US" w:eastAsia="zh-CN"/>
                    </w:rPr>
                    <w:t>）（双层隔仓罐），柴油储罐1座（30m</w:t>
                  </w:r>
                  <w:r>
                    <w:rPr>
                      <w:rFonts w:hint="eastAsia"/>
                      <w:color w:val="auto"/>
                      <w:szCs w:val="21"/>
                      <w:vertAlign w:val="superscript"/>
                      <w:lang w:val="en-US" w:eastAsia="zh-CN"/>
                    </w:rPr>
                    <w:t>3</w:t>
                  </w:r>
                  <w:r>
                    <w:rPr>
                      <w:rFonts w:hint="eastAsia"/>
                      <w:color w:val="auto"/>
                      <w:szCs w:val="21"/>
                      <w:lang w:val="en-US" w:eastAsia="zh-CN"/>
                    </w:rPr>
                    <w:t>）</w:t>
                  </w:r>
                </w:p>
              </w:tc>
              <w:tc>
                <w:tcPr>
                  <w:tcW w:w="970" w:type="dxa"/>
                  <w:vAlign w:val="center"/>
                </w:tcPr>
                <w:p>
                  <w:pPr>
                    <w:adjustRightInd w:val="0"/>
                    <w:snapToGrid w:val="0"/>
                    <w:jc w:val="center"/>
                    <w:rPr>
                      <w:color w:val="FF0000"/>
                      <w:szCs w:val="21"/>
                      <w:highlight w:val="yellow"/>
                    </w:rPr>
                  </w:pPr>
                  <w:r>
                    <w:rPr>
                      <w:color w:val="auto"/>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dxa"/>
                  <w:vAlign w:val="center"/>
                </w:tcPr>
                <w:p>
                  <w:pPr>
                    <w:adjustRightInd w:val="0"/>
                    <w:snapToGrid w:val="0"/>
                    <w:jc w:val="center"/>
                    <w:rPr>
                      <w:rFonts w:hint="eastAsia"/>
                      <w:color w:val="auto"/>
                      <w:szCs w:val="21"/>
                      <w:lang w:eastAsia="zh-CN"/>
                    </w:rPr>
                  </w:pPr>
                  <w:r>
                    <w:rPr>
                      <w:rFonts w:hint="eastAsia"/>
                      <w:color w:val="auto"/>
                      <w:szCs w:val="21"/>
                      <w:lang w:eastAsia="zh-CN"/>
                    </w:rPr>
                    <w:t>总投资</w:t>
                  </w:r>
                </w:p>
              </w:tc>
              <w:tc>
                <w:tcPr>
                  <w:tcW w:w="2566" w:type="dxa"/>
                  <w:vAlign w:val="center"/>
                </w:tcPr>
                <w:p>
                  <w:pPr>
                    <w:jc w:val="center"/>
                    <w:rPr>
                      <w:rFonts w:hint="default"/>
                      <w:color w:val="auto"/>
                      <w:szCs w:val="21"/>
                      <w:lang w:val="en-US" w:eastAsia="zh-CN"/>
                    </w:rPr>
                  </w:pPr>
                  <w:r>
                    <w:rPr>
                      <w:rFonts w:hint="eastAsia"/>
                      <w:color w:val="auto"/>
                      <w:szCs w:val="21"/>
                      <w:lang w:val="en-US" w:eastAsia="zh-CN"/>
                    </w:rPr>
                    <w:t>40万元</w:t>
                  </w:r>
                </w:p>
              </w:tc>
              <w:tc>
                <w:tcPr>
                  <w:tcW w:w="2977" w:type="dxa"/>
                  <w:vAlign w:val="center"/>
                </w:tcPr>
                <w:p>
                  <w:pPr>
                    <w:adjustRightInd w:val="0"/>
                    <w:snapToGrid w:val="0"/>
                    <w:jc w:val="center"/>
                    <w:rPr>
                      <w:rFonts w:hint="eastAsia"/>
                      <w:color w:val="auto"/>
                      <w:szCs w:val="21"/>
                      <w:lang w:eastAsia="zh-CN"/>
                    </w:rPr>
                  </w:pPr>
                  <w:r>
                    <w:rPr>
                      <w:rFonts w:hint="eastAsia"/>
                      <w:color w:val="auto"/>
                      <w:szCs w:val="21"/>
                      <w:lang w:val="en-US" w:eastAsia="zh-CN"/>
                    </w:rPr>
                    <w:t>40万元</w:t>
                  </w:r>
                </w:p>
              </w:tc>
              <w:tc>
                <w:tcPr>
                  <w:tcW w:w="970" w:type="dxa"/>
                  <w:vAlign w:val="center"/>
                </w:tcPr>
                <w:p>
                  <w:pPr>
                    <w:adjustRightInd w:val="0"/>
                    <w:snapToGrid w:val="0"/>
                    <w:jc w:val="center"/>
                    <w:rPr>
                      <w:color w:val="auto"/>
                      <w:szCs w:val="21"/>
                    </w:rPr>
                  </w:pPr>
                  <w:r>
                    <w:rPr>
                      <w:color w:val="auto"/>
                      <w:szCs w:val="21"/>
                    </w:rPr>
                    <w:t>一致</w:t>
                  </w:r>
                </w:p>
              </w:tc>
            </w:tr>
          </w:tbl>
          <w:p>
            <w:pPr>
              <w:adjustRightInd w:val="0"/>
              <w:snapToGrid w:val="0"/>
              <w:spacing w:line="460" w:lineRule="exact"/>
              <w:ind w:firstLine="482" w:firstLineChars="200"/>
              <w:rPr>
                <w:b/>
                <w:color w:val="auto"/>
                <w:sz w:val="24"/>
              </w:rPr>
            </w:pPr>
            <w:r>
              <w:rPr>
                <w:b/>
                <w:color w:val="auto"/>
                <w:sz w:val="24"/>
              </w:rPr>
              <w:t>3、与当地建设相符性分析</w:t>
            </w:r>
          </w:p>
          <w:p>
            <w:pPr>
              <w:adjustRightInd w:val="0"/>
              <w:snapToGrid w:val="0"/>
              <w:spacing w:line="460" w:lineRule="exact"/>
              <w:ind w:firstLine="480" w:firstLineChars="200"/>
              <w:rPr>
                <w:color w:val="FF0000"/>
                <w:sz w:val="24"/>
                <w:highlight w:val="yellow"/>
              </w:rPr>
            </w:pPr>
            <w:r>
              <w:rPr>
                <w:rFonts w:hint="eastAsia"/>
                <w:color w:val="auto"/>
                <w:sz w:val="24"/>
              </w:rPr>
              <w:t>（1）</w:t>
            </w:r>
            <w:r>
              <w:rPr>
                <w:color w:val="auto"/>
                <w:sz w:val="24"/>
              </w:rPr>
              <w:t>本项目</w:t>
            </w:r>
            <w:r>
              <w:rPr>
                <w:rFonts w:hint="eastAsia"/>
                <w:color w:val="auto"/>
                <w:sz w:val="24"/>
                <w:lang w:eastAsia="zh-CN"/>
              </w:rPr>
              <w:t>在原有站区范围内进行扩建，全站用地均</w:t>
            </w:r>
            <w:r>
              <w:rPr>
                <w:color w:val="auto"/>
                <w:sz w:val="24"/>
              </w:rPr>
              <w:t>租赁</w:t>
            </w:r>
            <w:r>
              <w:rPr>
                <w:rFonts w:hint="eastAsia"/>
                <w:color w:val="auto"/>
                <w:sz w:val="24"/>
                <w:lang w:eastAsia="zh-CN"/>
              </w:rPr>
              <w:t>七四村委会集体用地（</w:t>
            </w:r>
            <w:r>
              <w:rPr>
                <w:rFonts w:hint="eastAsia"/>
                <w:color w:val="auto"/>
                <w:sz w:val="24"/>
                <w:lang w:val="en-US" w:eastAsia="zh-CN"/>
              </w:rPr>
              <w:t>附件3</w:t>
            </w:r>
            <w:r>
              <w:rPr>
                <w:rFonts w:hint="eastAsia"/>
                <w:color w:val="auto"/>
                <w:sz w:val="24"/>
                <w:lang w:eastAsia="zh-CN"/>
              </w:rPr>
              <w:t>）</w:t>
            </w:r>
            <w:r>
              <w:rPr>
                <w:color w:val="auto"/>
                <w:sz w:val="24"/>
              </w:rPr>
              <w:t>，</w:t>
            </w:r>
            <w:r>
              <w:rPr>
                <w:rFonts w:hint="eastAsia"/>
                <w:color w:val="auto"/>
                <w:sz w:val="24"/>
                <w:lang w:eastAsia="zh-CN"/>
              </w:rPr>
              <w:t>站区</w:t>
            </w:r>
            <w:r>
              <w:rPr>
                <w:color w:val="auto"/>
                <w:sz w:val="24"/>
              </w:rPr>
              <w:t>位于</w:t>
            </w:r>
            <w:r>
              <w:rPr>
                <w:rFonts w:hint="eastAsia"/>
                <w:color w:val="auto"/>
                <w:sz w:val="24"/>
                <w:lang w:eastAsia="zh-CN"/>
              </w:rPr>
              <w:t>新乡市新乡县七里营镇政府北300m</w:t>
            </w:r>
            <w:r>
              <w:rPr>
                <w:color w:val="auto"/>
                <w:sz w:val="24"/>
              </w:rPr>
              <w:t>，根据《</w:t>
            </w:r>
            <w:r>
              <w:rPr>
                <w:rFonts w:hint="eastAsia"/>
                <w:color w:val="auto"/>
                <w:sz w:val="24"/>
                <w:lang w:eastAsia="zh-CN"/>
              </w:rPr>
              <w:t>七里营镇土地利用总体规划图</w:t>
            </w:r>
            <w:r>
              <w:rPr>
                <w:color w:val="auto"/>
                <w:sz w:val="24"/>
              </w:rPr>
              <w:t>》，项目所占用地为</w:t>
            </w:r>
            <w:r>
              <w:rPr>
                <w:rFonts w:hint="eastAsia"/>
                <w:color w:val="auto"/>
                <w:sz w:val="24"/>
                <w:lang w:eastAsia="zh-CN"/>
              </w:rPr>
              <w:t>建设用地</w:t>
            </w:r>
            <w:r>
              <w:rPr>
                <w:color w:val="auto"/>
                <w:sz w:val="24"/>
              </w:rPr>
              <w:t>（详见附图</w:t>
            </w:r>
            <w:r>
              <w:rPr>
                <w:rFonts w:hint="eastAsia"/>
                <w:color w:val="auto"/>
                <w:sz w:val="24"/>
              </w:rPr>
              <w:t>二</w:t>
            </w:r>
            <w:r>
              <w:rPr>
                <w:color w:val="auto"/>
                <w:sz w:val="24"/>
              </w:rPr>
              <w:t>），符合</w:t>
            </w:r>
            <w:r>
              <w:rPr>
                <w:rFonts w:hint="eastAsia"/>
                <w:color w:val="auto"/>
                <w:sz w:val="24"/>
                <w:lang w:eastAsia="zh-CN"/>
              </w:rPr>
              <w:t>七里营镇土地利用</w:t>
            </w:r>
            <w:r>
              <w:rPr>
                <w:color w:val="auto"/>
                <w:sz w:val="24"/>
              </w:rPr>
              <w:t>规划要求。</w:t>
            </w:r>
          </w:p>
          <w:p>
            <w:pPr>
              <w:autoSpaceDE w:val="0"/>
              <w:autoSpaceDN w:val="0"/>
              <w:adjustRightInd w:val="0"/>
              <w:snapToGrid w:val="0"/>
              <w:spacing w:line="460" w:lineRule="exact"/>
              <w:ind w:firstLine="480" w:firstLineChars="200"/>
              <w:rPr>
                <w:color w:val="FF0000"/>
                <w:sz w:val="24"/>
              </w:rPr>
            </w:pPr>
            <w:r>
              <w:rPr>
                <w:color w:val="auto"/>
                <w:kern w:val="0"/>
                <w:sz w:val="24"/>
              </w:rPr>
              <w:t>（2）</w:t>
            </w:r>
            <w:r>
              <w:rPr>
                <w:rFonts w:hint="eastAsia"/>
                <w:color w:val="auto"/>
                <w:kern w:val="0"/>
                <w:sz w:val="24"/>
                <w:lang w:val="en-US" w:eastAsia="zh-CN"/>
              </w:rPr>
              <w:t>距离</w:t>
            </w:r>
            <w:r>
              <w:rPr>
                <w:rFonts w:hint="eastAsia"/>
                <w:color w:val="auto"/>
                <w:sz w:val="24"/>
              </w:rPr>
              <w:t>项目</w:t>
            </w:r>
            <w:r>
              <w:rPr>
                <w:color w:val="auto"/>
                <w:sz w:val="24"/>
              </w:rPr>
              <w:t>选址距离最近的饮用水源地为</w:t>
            </w:r>
            <w:r>
              <w:rPr>
                <w:rFonts w:hint="eastAsia"/>
                <w:color w:val="auto"/>
                <w:sz w:val="24"/>
              </w:rPr>
              <w:t>四水厂地下水饮用水源保护区</w:t>
            </w:r>
            <w:r>
              <w:rPr>
                <w:rFonts w:hint="eastAsia"/>
                <w:color w:val="auto"/>
                <w:sz w:val="24"/>
                <w:lang w:eastAsia="zh-CN"/>
              </w:rPr>
              <w:t>，其一级保护区范围为西曹和东曹村北以北，2号井和11号井连线向北 150米以南，22号井向东150米以西，12</w:t>
            </w:r>
            <w:r>
              <w:rPr>
                <w:rFonts w:hint="eastAsia"/>
                <w:color w:val="auto"/>
                <w:sz w:val="24"/>
                <w:lang w:val="en-US" w:eastAsia="zh-CN"/>
              </w:rPr>
              <w:t>-</w:t>
            </w:r>
            <w:r>
              <w:rPr>
                <w:rFonts w:hint="eastAsia"/>
                <w:color w:val="auto"/>
                <w:sz w:val="24"/>
                <w:lang w:eastAsia="zh-CN"/>
              </w:rPr>
              <w:t>1号井西150米以东以及输水管线两侧10米的区域；二级保护区范围为西曹、中曹村和余庄南及七里营村北以北，西石碑和东石碑村南及高村和西贾城村北以南，21号桥以西，敦留店村西以东的区域。本项目距</w:t>
            </w:r>
            <w:r>
              <w:rPr>
                <w:rFonts w:hint="eastAsia"/>
                <w:color w:val="auto"/>
                <w:sz w:val="24"/>
              </w:rPr>
              <w:t>四水厂地下水饮用水源保护区</w:t>
            </w:r>
            <w:r>
              <w:rPr>
                <w:rFonts w:hint="eastAsia"/>
                <w:color w:val="auto"/>
                <w:sz w:val="24"/>
                <w:lang w:eastAsia="zh-CN"/>
              </w:rPr>
              <w:t>二级保护区</w:t>
            </w:r>
            <w:r>
              <w:rPr>
                <w:color w:val="auto"/>
                <w:sz w:val="24"/>
              </w:rPr>
              <w:t>距离约</w:t>
            </w:r>
            <w:r>
              <w:rPr>
                <w:rFonts w:hint="eastAsia"/>
                <w:color w:val="auto"/>
                <w:sz w:val="24"/>
                <w:lang w:val="en-US" w:eastAsia="zh-CN"/>
              </w:rPr>
              <w:t>1km</w:t>
            </w:r>
            <w:r>
              <w:rPr>
                <w:color w:val="auto"/>
                <w:sz w:val="24"/>
              </w:rPr>
              <w:t>，不在其保护区范围内。</w:t>
            </w:r>
          </w:p>
          <w:p>
            <w:pPr>
              <w:autoSpaceDE w:val="0"/>
              <w:autoSpaceDN w:val="0"/>
              <w:adjustRightInd w:val="0"/>
              <w:snapToGrid w:val="0"/>
              <w:spacing w:line="460" w:lineRule="exact"/>
              <w:ind w:firstLine="482" w:firstLineChars="200"/>
              <w:rPr>
                <w:b/>
                <w:color w:val="auto"/>
                <w:sz w:val="24"/>
              </w:rPr>
            </w:pPr>
            <w:r>
              <w:rPr>
                <w:b/>
                <w:color w:val="auto"/>
                <w:sz w:val="24"/>
              </w:rPr>
              <w:t>4、</w:t>
            </w:r>
            <w:r>
              <w:rPr>
                <w:rFonts w:hint="eastAsia"/>
                <w:b/>
                <w:color w:val="auto"/>
                <w:sz w:val="24"/>
              </w:rPr>
              <w:t>与</w:t>
            </w:r>
            <w:r>
              <w:rPr>
                <w:b/>
                <w:color w:val="auto"/>
                <w:sz w:val="24"/>
              </w:rPr>
              <w:t>《新乡市</w:t>
            </w:r>
            <w:r>
              <w:rPr>
                <w:rFonts w:hint="eastAsia"/>
                <w:b/>
                <w:color w:val="auto"/>
                <w:sz w:val="24"/>
              </w:rPr>
              <w:t>“三线一单”生态</w:t>
            </w:r>
            <w:r>
              <w:rPr>
                <w:b/>
                <w:color w:val="auto"/>
                <w:sz w:val="24"/>
              </w:rPr>
              <w:t>环境准入清单》相符性分析</w:t>
            </w:r>
          </w:p>
          <w:p>
            <w:pPr>
              <w:autoSpaceDE w:val="0"/>
              <w:autoSpaceDN w:val="0"/>
              <w:adjustRightInd w:val="0"/>
              <w:snapToGrid w:val="0"/>
              <w:spacing w:line="460" w:lineRule="exact"/>
              <w:ind w:firstLine="480" w:firstLineChars="200"/>
              <w:rPr>
                <w:color w:val="auto"/>
                <w:sz w:val="24"/>
              </w:rPr>
            </w:pPr>
            <w:r>
              <w:rPr>
                <w:rFonts w:hint="eastAsia"/>
                <w:color w:val="auto"/>
                <w:sz w:val="24"/>
              </w:rPr>
              <w:t>（1）生态保护红线相符性</w:t>
            </w:r>
          </w:p>
          <w:p>
            <w:pPr>
              <w:autoSpaceDE w:val="0"/>
              <w:autoSpaceDN w:val="0"/>
              <w:adjustRightInd w:val="0"/>
              <w:snapToGrid w:val="0"/>
              <w:spacing w:line="460" w:lineRule="exact"/>
              <w:ind w:firstLine="480" w:firstLineChars="200"/>
              <w:rPr>
                <w:b/>
                <w:color w:val="auto"/>
                <w:sz w:val="24"/>
              </w:rPr>
            </w:pPr>
            <w:r>
              <w:rPr>
                <w:color w:val="auto"/>
                <w:sz w:val="24"/>
              </w:rPr>
              <w:t>本项目位于</w:t>
            </w:r>
            <w:r>
              <w:rPr>
                <w:rFonts w:hint="eastAsia"/>
                <w:color w:val="auto"/>
                <w:sz w:val="24"/>
                <w:lang w:eastAsia="zh-CN"/>
              </w:rPr>
              <w:t>新乡市新乡县七里营镇政府北300m</w:t>
            </w:r>
            <w:r>
              <w:rPr>
                <w:rFonts w:hint="eastAsia"/>
                <w:color w:val="auto"/>
                <w:sz w:val="24"/>
              </w:rPr>
              <w:t>，不在当地饮用水源、风景区、自然保护区等生态保护区内，根据新乡市生态保护红线划定结果，本项目选址范围不涉及生态保护红线，本项目的实施与生态保护红线不冲突。</w:t>
            </w:r>
          </w:p>
          <w:p>
            <w:pPr>
              <w:autoSpaceDE w:val="0"/>
              <w:autoSpaceDN w:val="0"/>
              <w:adjustRightInd w:val="0"/>
              <w:snapToGrid w:val="0"/>
              <w:spacing w:line="460" w:lineRule="exact"/>
              <w:ind w:firstLine="480" w:firstLineChars="200"/>
              <w:rPr>
                <w:color w:val="auto"/>
                <w:sz w:val="24"/>
              </w:rPr>
            </w:pPr>
            <w:r>
              <w:rPr>
                <w:rFonts w:hint="eastAsia"/>
                <w:color w:val="auto"/>
                <w:sz w:val="24"/>
              </w:rPr>
              <w:t>（</w:t>
            </w:r>
            <w:r>
              <w:rPr>
                <w:color w:val="auto"/>
                <w:sz w:val="24"/>
              </w:rPr>
              <w:t>2</w:t>
            </w:r>
            <w:r>
              <w:rPr>
                <w:rFonts w:hint="eastAsia"/>
                <w:color w:val="auto"/>
                <w:sz w:val="24"/>
              </w:rPr>
              <w:t>）资源利用上线相符性</w:t>
            </w:r>
          </w:p>
          <w:p>
            <w:pPr>
              <w:autoSpaceDE w:val="0"/>
              <w:autoSpaceDN w:val="0"/>
              <w:adjustRightInd w:val="0"/>
              <w:snapToGrid w:val="0"/>
              <w:spacing w:line="460" w:lineRule="exact"/>
              <w:ind w:firstLine="480" w:firstLineChars="200"/>
              <w:rPr>
                <w:color w:val="auto"/>
                <w:sz w:val="24"/>
              </w:rPr>
            </w:pPr>
            <w:r>
              <w:rPr>
                <w:rFonts w:hint="eastAsia"/>
                <w:color w:val="auto"/>
                <w:sz w:val="24"/>
              </w:rPr>
              <w:t>本项目用水</w:t>
            </w:r>
            <w:r>
              <w:rPr>
                <w:rFonts w:hint="eastAsia"/>
                <w:color w:val="auto"/>
                <w:sz w:val="24"/>
                <w:lang w:eastAsia="zh-CN"/>
              </w:rPr>
              <w:t>和用电</w:t>
            </w:r>
            <w:r>
              <w:rPr>
                <w:rFonts w:hint="eastAsia"/>
                <w:color w:val="auto"/>
                <w:sz w:val="24"/>
              </w:rPr>
              <w:t>由</w:t>
            </w:r>
            <w:r>
              <w:rPr>
                <w:rFonts w:hint="eastAsia"/>
                <w:color w:val="auto"/>
                <w:sz w:val="24"/>
                <w:lang w:eastAsia="zh-CN"/>
              </w:rPr>
              <w:t>市政</w:t>
            </w:r>
            <w:r>
              <w:rPr>
                <w:rFonts w:hint="eastAsia"/>
                <w:color w:val="auto"/>
                <w:sz w:val="24"/>
              </w:rPr>
              <w:t>统一供给。项目建成运行后通过内部管理、设备选择、原辅材料的选用和管理、污染治理等多方面采取合理可行的防治措施，以“节能、降耗、减污”为目标，有效地控制污染。项目的水、气等资源利用不会突破区域的资源利用上线。</w:t>
            </w:r>
          </w:p>
          <w:p>
            <w:pPr>
              <w:autoSpaceDE w:val="0"/>
              <w:autoSpaceDN w:val="0"/>
              <w:adjustRightInd w:val="0"/>
              <w:snapToGrid w:val="0"/>
              <w:spacing w:line="460" w:lineRule="exact"/>
              <w:ind w:firstLine="480" w:firstLineChars="200"/>
              <w:rPr>
                <w:color w:val="auto"/>
                <w:sz w:val="24"/>
              </w:rPr>
            </w:pPr>
            <w:r>
              <w:rPr>
                <w:color w:val="auto"/>
                <w:sz w:val="24"/>
              </w:rPr>
              <w:t>（3）</w:t>
            </w:r>
            <w:r>
              <w:rPr>
                <w:rFonts w:hint="eastAsia"/>
                <w:color w:val="auto"/>
                <w:sz w:val="24"/>
              </w:rPr>
              <w:t>环境质量底线相符性</w:t>
            </w:r>
          </w:p>
          <w:p>
            <w:pPr>
              <w:autoSpaceDE w:val="0"/>
              <w:autoSpaceDN w:val="0"/>
              <w:adjustRightInd w:val="0"/>
              <w:snapToGrid w:val="0"/>
              <w:spacing w:line="460" w:lineRule="exact"/>
              <w:ind w:firstLine="480" w:firstLineChars="200"/>
              <w:rPr>
                <w:color w:val="FF0000"/>
                <w:sz w:val="24"/>
              </w:rPr>
            </w:pPr>
            <w:r>
              <w:rPr>
                <w:rFonts w:hint="eastAsia"/>
                <w:color w:val="auto"/>
                <w:sz w:val="24"/>
              </w:rPr>
              <w:t>本项目废气、噪声</w:t>
            </w:r>
            <w:r>
              <w:rPr>
                <w:rFonts w:hint="eastAsia"/>
                <w:color w:val="auto"/>
                <w:sz w:val="24"/>
                <w:lang w:eastAsia="zh-CN"/>
              </w:rPr>
              <w:t>等污染物</w:t>
            </w:r>
            <w:r>
              <w:rPr>
                <w:rFonts w:hint="eastAsia"/>
                <w:color w:val="auto"/>
                <w:sz w:val="24"/>
              </w:rPr>
              <w:t>排放对周边环境影响较小，不会导致区域环境产生明显变化。项目对周边大气环境、地表水环境、地下水环境、声环境、土壤环境影响均可接受。</w:t>
            </w:r>
          </w:p>
          <w:p>
            <w:pPr>
              <w:numPr>
                <w:ilvl w:val="0"/>
                <w:numId w:val="4"/>
              </w:numPr>
              <w:autoSpaceDE w:val="0"/>
              <w:autoSpaceDN w:val="0"/>
              <w:adjustRightInd w:val="0"/>
              <w:snapToGrid w:val="0"/>
              <w:spacing w:line="460" w:lineRule="exact"/>
              <w:ind w:firstLine="480" w:firstLineChars="200"/>
              <w:rPr>
                <w:rFonts w:hint="eastAsia"/>
                <w:color w:val="auto"/>
                <w:sz w:val="24"/>
              </w:rPr>
            </w:pPr>
            <w:r>
              <w:rPr>
                <w:rFonts w:hint="eastAsia"/>
                <w:color w:val="auto"/>
                <w:sz w:val="24"/>
              </w:rPr>
              <w:t>本项目位于</w:t>
            </w:r>
            <w:r>
              <w:rPr>
                <w:rFonts w:hint="eastAsia"/>
                <w:color w:val="auto"/>
                <w:sz w:val="24"/>
                <w:lang w:eastAsia="zh-CN"/>
              </w:rPr>
              <w:t>新乡市新乡县七里营镇政府北300m</w:t>
            </w:r>
            <w:r>
              <w:rPr>
                <w:rFonts w:hint="eastAsia"/>
                <w:color w:val="auto"/>
                <w:sz w:val="24"/>
              </w:rPr>
              <w:t>，根据《新乡市环境管控单元图》，本项目位于重点管控区，详</w:t>
            </w:r>
            <w:r>
              <w:rPr>
                <w:color w:val="auto"/>
                <w:sz w:val="24"/>
              </w:rPr>
              <w:t>见下图</w:t>
            </w:r>
            <w:r>
              <w:rPr>
                <w:rFonts w:hint="eastAsia"/>
                <w:color w:val="auto"/>
                <w:sz w:val="24"/>
              </w:rPr>
              <w:t>：</w:t>
            </w: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color w:val="auto"/>
                <w:sz w:val="24"/>
                <w:lang w:eastAsia="zh-CN"/>
              </w:rPr>
            </w:pPr>
          </w:p>
          <w:p>
            <w:pPr>
              <w:numPr>
                <w:ilvl w:val="0"/>
                <w:numId w:val="0"/>
              </w:numPr>
              <w:autoSpaceDE w:val="0"/>
              <w:autoSpaceDN w:val="0"/>
              <w:adjustRightInd w:val="0"/>
              <w:snapToGrid w:val="0"/>
              <w:spacing w:line="460" w:lineRule="exact"/>
              <w:rPr>
                <w:rFonts w:hint="eastAsia" w:eastAsia="宋体"/>
                <w:color w:val="auto"/>
                <w:lang w:eastAsia="zh-CN"/>
              </w:rPr>
            </w:pPr>
          </w:p>
          <w:p>
            <w:pPr>
              <w:autoSpaceDE w:val="0"/>
              <w:autoSpaceDN w:val="0"/>
              <w:adjustRightInd w:val="0"/>
              <w:snapToGrid w:val="0"/>
              <w:jc w:val="center"/>
              <w:rPr>
                <w:color w:val="FF0000"/>
                <w:sz w:val="24"/>
              </w:rPr>
            </w:pPr>
            <w:r>
              <w:rPr>
                <w:rFonts w:eastAsia="黑体"/>
                <w:color w:val="FF0000"/>
                <w:sz w:val="24"/>
                <w:szCs w:val="20"/>
              </w:rPr>
              <mc:AlternateContent>
                <mc:Choice Requires="wps">
                  <w:drawing>
                    <wp:anchor distT="0" distB="0" distL="114300" distR="114300" simplePos="0" relativeHeight="251660288" behindDoc="0" locked="0" layoutInCell="1" allowOverlap="1">
                      <wp:simplePos x="0" y="0"/>
                      <wp:positionH relativeFrom="column">
                        <wp:posOffset>1296670</wp:posOffset>
                      </wp:positionH>
                      <wp:positionV relativeFrom="paragraph">
                        <wp:posOffset>1805940</wp:posOffset>
                      </wp:positionV>
                      <wp:extent cx="45085" cy="45085"/>
                      <wp:effectExtent l="0" t="0" r="12065" b="12065"/>
                      <wp:wrapNone/>
                      <wp:docPr id="4" name="椭圆 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2.1pt;margin-top:142.2pt;height:3.55pt;width:3.55pt;z-index:251660288;v-text-anchor:middle;mso-width-relative:page;mso-height-relative:page;" fillcolor="#000000 [3213]" filled="t" stroked="t" coordsize="21600,21600" o:gfxdata="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ZzV49kAAAALAQAADwAAAAAAAAABACAAAAAiAAAAZHJzL2Rvd25yZXYueG1sUEsB&#10;AhQAFAAAAAgAh07iQDji0BJmAgAA9AQAAA4AAAAAAAAAAQAgAAAAKAEAAGRycy9lMm9Eb2MueG1s&#10;UEsFBgAAAAAGAAYAWQEAAAAGAAAAAA==&#10;">
                      <v:fill on="t" focussize="0,0"/>
                      <v:stroke weight="1pt" color="#000000 [3213]" miterlimit="8" joinstyle="miter"/>
                      <v:imagedata o:title=""/>
                      <o:lock v:ext="edit" aspectratio="f"/>
                    </v:shape>
                  </w:pict>
                </mc:Fallback>
              </mc:AlternateContent>
            </w:r>
            <w:r>
              <w:rPr>
                <w:rFonts w:eastAsia="黑体"/>
                <w:color w:val="FF0000"/>
                <w:sz w:val="24"/>
                <w:szCs w:val="20"/>
              </w:rPr>
              <mc:AlternateContent>
                <mc:Choice Requires="wps">
                  <w:drawing>
                    <wp:anchor distT="0" distB="0" distL="114300" distR="114300" simplePos="0" relativeHeight="251659264" behindDoc="0" locked="0" layoutInCell="1" allowOverlap="1">
                      <wp:simplePos x="0" y="0"/>
                      <wp:positionH relativeFrom="column">
                        <wp:posOffset>1392555</wp:posOffset>
                      </wp:positionH>
                      <wp:positionV relativeFrom="paragraph">
                        <wp:posOffset>1318260</wp:posOffset>
                      </wp:positionV>
                      <wp:extent cx="779780" cy="360045"/>
                      <wp:effectExtent l="38100" t="0" r="20320" b="154305"/>
                      <wp:wrapNone/>
                      <wp:docPr id="2" name="对话气泡: 圆角矩形 2"/>
                      <wp:cNvGraphicFramePr/>
                      <a:graphic xmlns:a="http://schemas.openxmlformats.org/drawingml/2006/main">
                        <a:graphicData uri="http://schemas.microsoft.com/office/word/2010/wordprocessingShape">
                          <wps:wsp>
                            <wps:cNvSpPr/>
                            <wps:spPr>
                              <a:xfrm>
                                <a:off x="0" y="0"/>
                                <a:ext cx="779780" cy="360045"/>
                              </a:xfrm>
                              <a:prstGeom prst="wedgeRoundRectCallout">
                                <a:avLst>
                                  <a:gd name="adj1" fmla="val -48451"/>
                                  <a:gd name="adj2" fmla="val 7818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2" o:spid="_x0000_s1026" o:spt="62" type="#_x0000_t62" style="position:absolute;left:0pt;margin-left:109.65pt;margin-top:103.8pt;height:28.35pt;width:61.4pt;z-index:251659264;v-text-anchor:middle;mso-width-relative:page;mso-height-relative:page;" filled="f" stroked="t" coordsize="21600,21600" o:gfxdata="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fLLXAAAA&#10;CwEAAA8AAAAAAAAAAQAgAAAAIgAAAGRycy9kb3ducmV2LnhtbFBLAQIUABQAAAAIAIdO4kCQOJKc&#10;yQIAAHAFAAAOAAAAAAAAAAEAIAAAACYBAABkcnMvZTJvRG9jLnhtbFBLBQYAAAAABgAGAFkBAABh&#10;BgAAAAA=&#10;" adj="335,27689,14400">
                      <v:fill on="f" focussize="0,0"/>
                      <v:stroke weight="1.5pt" color="#000000 [3213]" miterlimit="8" joinstyle="miter"/>
                      <v:imagedata o:title=""/>
                      <o:lock v:ext="edit" aspectratio="f"/>
                      <v:textbox>
                        <w:txbxContent>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本项目</w:t>
                            </w:r>
                          </w:p>
                        </w:txbxContent>
                      </v:textbox>
                    </v:shape>
                  </w:pict>
                </mc:Fallback>
              </mc:AlternateContent>
            </w:r>
            <w:r>
              <w:rPr>
                <w:rFonts w:eastAsia="黑体"/>
                <w:color w:val="FF0000"/>
                <w:sz w:val="24"/>
                <w:szCs w:val="20"/>
              </w:rPr>
              <w:drawing>
                <wp:inline distT="0" distB="0" distL="0" distR="0">
                  <wp:extent cx="4683760" cy="30670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2502" t="8476" r="2171" b="3064"/>
                          <a:stretch>
                            <a:fillRect/>
                          </a:stretch>
                        </pic:blipFill>
                        <pic:spPr>
                          <a:xfrm>
                            <a:off x="0" y="0"/>
                            <a:ext cx="4695578" cy="3074720"/>
                          </a:xfrm>
                          <a:prstGeom prst="rect">
                            <a:avLst/>
                          </a:prstGeom>
                          <a:noFill/>
                          <a:ln>
                            <a:noFill/>
                          </a:ln>
                        </pic:spPr>
                      </pic:pic>
                    </a:graphicData>
                  </a:graphic>
                </wp:inline>
              </w:drawing>
            </w:r>
          </w:p>
          <w:p>
            <w:pPr>
              <w:adjustRightInd w:val="0"/>
              <w:snapToGrid w:val="0"/>
              <w:jc w:val="center"/>
              <w:rPr>
                <w:rFonts w:eastAsia="黑体"/>
                <w:color w:val="FF0000"/>
                <w:sz w:val="24"/>
              </w:rPr>
            </w:pPr>
            <w:r>
              <w:rPr>
                <w:rFonts w:eastAsia="黑体"/>
                <w:color w:val="auto"/>
                <w:sz w:val="24"/>
              </w:rPr>
              <w:t>图1  新乡市环境管控单元图</w:t>
            </w:r>
          </w:p>
          <w:p>
            <w:pPr>
              <w:autoSpaceDE w:val="0"/>
              <w:autoSpaceDN w:val="0"/>
              <w:adjustRightInd w:val="0"/>
              <w:snapToGrid w:val="0"/>
              <w:spacing w:line="460" w:lineRule="exact"/>
              <w:ind w:firstLine="480" w:firstLineChars="200"/>
              <w:rPr>
                <w:color w:val="auto"/>
                <w:kern w:val="0"/>
                <w:sz w:val="24"/>
              </w:rPr>
            </w:pPr>
            <w:r>
              <w:rPr>
                <w:color w:val="auto"/>
                <w:kern w:val="0"/>
                <w:sz w:val="24"/>
              </w:rPr>
              <w:t>本项目位于</w:t>
            </w:r>
            <w:r>
              <w:rPr>
                <w:rFonts w:hint="eastAsia"/>
                <w:color w:val="auto"/>
                <w:sz w:val="24"/>
                <w:lang w:eastAsia="zh-CN"/>
              </w:rPr>
              <w:t>新乡市新乡县七里营镇政府北300m</w:t>
            </w:r>
            <w:r>
              <w:rPr>
                <w:color w:val="auto"/>
                <w:kern w:val="0"/>
                <w:sz w:val="24"/>
              </w:rPr>
              <w:t>，根据上图，本项目</w:t>
            </w:r>
            <w:r>
              <w:rPr>
                <w:rFonts w:hint="eastAsia"/>
                <w:color w:val="auto"/>
                <w:kern w:val="0"/>
                <w:sz w:val="24"/>
              </w:rPr>
              <w:t>厂址</w:t>
            </w:r>
            <w:r>
              <w:rPr>
                <w:color w:val="auto"/>
                <w:kern w:val="0"/>
                <w:sz w:val="24"/>
              </w:rPr>
              <w:t>属于</w:t>
            </w:r>
            <w:r>
              <w:rPr>
                <w:rFonts w:hint="eastAsia"/>
                <w:color w:val="auto"/>
                <w:kern w:val="0"/>
                <w:sz w:val="24"/>
              </w:rPr>
              <w:t>重点管控</w:t>
            </w:r>
            <w:r>
              <w:rPr>
                <w:color w:val="auto"/>
                <w:kern w:val="0"/>
                <w:sz w:val="24"/>
              </w:rPr>
              <w:t>单元</w:t>
            </w:r>
            <w:r>
              <w:rPr>
                <w:rFonts w:hint="eastAsia"/>
                <w:color w:val="auto"/>
                <w:kern w:val="0"/>
                <w:sz w:val="24"/>
              </w:rPr>
              <w:t>，与《河南生态环境分区管控总体要求（试行）》（豫环函[2021</w:t>
            </w:r>
            <w:r>
              <w:rPr>
                <w:color w:val="auto"/>
                <w:kern w:val="0"/>
                <w:sz w:val="24"/>
              </w:rPr>
              <w:t>]</w:t>
            </w:r>
            <w:r>
              <w:rPr>
                <w:rFonts w:hint="eastAsia"/>
                <w:color w:val="auto"/>
                <w:kern w:val="0"/>
                <w:sz w:val="24"/>
              </w:rPr>
              <w:t>171号）</w:t>
            </w:r>
            <w:r>
              <w:rPr>
                <w:color w:val="auto"/>
                <w:kern w:val="0"/>
                <w:sz w:val="24"/>
              </w:rPr>
              <w:t>（以下简称《</w:t>
            </w:r>
            <w:r>
              <w:rPr>
                <w:rFonts w:hint="eastAsia"/>
                <w:color w:val="auto"/>
                <w:kern w:val="0"/>
                <w:sz w:val="24"/>
              </w:rPr>
              <w:t>总体要求</w:t>
            </w:r>
            <w:r>
              <w:rPr>
                <w:color w:val="auto"/>
                <w:kern w:val="0"/>
                <w:sz w:val="24"/>
              </w:rPr>
              <w:t>》）中的相关内容对比一致性分析见下表</w:t>
            </w:r>
            <w:r>
              <w:rPr>
                <w:rFonts w:hint="eastAsia"/>
                <w:color w:val="auto"/>
                <w:kern w:val="0"/>
                <w:sz w:val="24"/>
                <w:lang w:val="en-US" w:eastAsia="zh-CN"/>
              </w:rPr>
              <w:t>2</w:t>
            </w:r>
            <w:r>
              <w:rPr>
                <w:color w:val="auto"/>
                <w:kern w:val="0"/>
                <w:sz w:val="24"/>
              </w:rPr>
              <w:t>，与《新乡市</w:t>
            </w:r>
            <w:r>
              <w:rPr>
                <w:rFonts w:hint="eastAsia"/>
                <w:color w:val="auto"/>
                <w:kern w:val="0"/>
                <w:sz w:val="24"/>
              </w:rPr>
              <w:t>“三线一单”生态</w:t>
            </w:r>
            <w:r>
              <w:rPr>
                <w:color w:val="auto"/>
                <w:kern w:val="0"/>
                <w:sz w:val="24"/>
              </w:rPr>
              <w:t>环境准入清单》（以下简称《清单》）中的相关内容对比一致性分析见下表</w:t>
            </w:r>
            <w:r>
              <w:rPr>
                <w:rFonts w:hint="eastAsia"/>
                <w:color w:val="auto"/>
                <w:kern w:val="0"/>
                <w:sz w:val="24"/>
                <w:lang w:val="en-US" w:eastAsia="zh-CN"/>
              </w:rPr>
              <w:t>3</w:t>
            </w:r>
            <w:r>
              <w:rPr>
                <w:color w:val="auto"/>
                <w:kern w:val="0"/>
                <w:sz w:val="24"/>
              </w:rPr>
              <w:t>。</w:t>
            </w: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color w:val="auto"/>
                <w:kern w:val="0"/>
                <w:sz w:val="24"/>
              </w:rPr>
            </w:pPr>
          </w:p>
          <w:p>
            <w:pPr>
              <w:autoSpaceDE w:val="0"/>
              <w:autoSpaceDN w:val="0"/>
              <w:adjustRightInd w:val="0"/>
              <w:snapToGrid w:val="0"/>
              <w:spacing w:line="460" w:lineRule="exact"/>
              <w:ind w:firstLine="480" w:firstLineChars="200"/>
              <w:rPr>
                <w:rFonts w:hint="eastAsia" w:eastAsia="宋体"/>
                <w:color w:val="FF0000"/>
                <w:kern w:val="0"/>
                <w:sz w:val="24"/>
                <w:lang w:eastAsia="zh-CN"/>
              </w:rPr>
            </w:pPr>
          </w:p>
        </w:tc>
      </w:tr>
    </w:tbl>
    <w:p>
      <w:pPr>
        <w:spacing w:line="360" w:lineRule="auto"/>
        <w:outlineLvl w:val="0"/>
        <w:rPr>
          <w:rFonts w:eastAsia="黑体"/>
          <w:color w:val="FF0000"/>
          <w:sz w:val="30"/>
        </w:rPr>
        <w:sectPr>
          <w:pgSz w:w="11906" w:h="16838"/>
          <w:pgMar w:top="1701" w:right="1531" w:bottom="1701" w:left="1531" w:header="851" w:footer="1077" w:gutter="0"/>
          <w:pgNumType w:start="1"/>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5" w:hRule="atLeast"/>
        </w:trPr>
        <w:tc>
          <w:tcPr>
            <w:tcW w:w="13652" w:type="dxa"/>
            <w:tcBorders>
              <w:left w:val="single" w:color="auto" w:sz="4" w:space="0"/>
            </w:tcBorders>
            <w:shd w:val="clear" w:color="auto" w:fill="auto"/>
          </w:tcPr>
          <w:p>
            <w:pPr>
              <w:pStyle w:val="9"/>
              <w:bidi w:val="0"/>
              <w:rPr>
                <w:lang w:val="pt-BR"/>
              </w:rPr>
            </w:pPr>
            <w:r>
              <w:rPr>
                <w:lang w:val="pt-BR"/>
              </w:rPr>
              <w:t xml:space="preserve">   本项目与《</w:t>
            </w:r>
            <w:r>
              <w:rPr>
                <w:rFonts w:hint="eastAsia"/>
                <w:lang w:val="pt-BR"/>
              </w:rPr>
              <w:t>总体要求</w:t>
            </w:r>
            <w:r>
              <w:rPr>
                <w:lang w:val="pt-BR"/>
              </w:rPr>
              <w:t>》对比分析一览表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559"/>
              <w:gridCol w:w="1192"/>
              <w:gridCol w:w="6628"/>
              <w:gridCol w:w="4244"/>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244" w:type="dxa"/>
                  <w:gridSpan w:val="3"/>
                  <w:tcMar>
                    <w:left w:w="28" w:type="dxa"/>
                    <w:right w:w="28" w:type="dxa"/>
                  </w:tcMar>
                  <w:vAlign w:val="center"/>
                </w:tcPr>
                <w:p>
                  <w:pPr>
                    <w:pStyle w:val="21"/>
                    <w:spacing w:before="0" w:beforeAutospacing="0" w:after="0" w:afterAutospacing="0"/>
                    <w:jc w:val="center"/>
                    <w:outlineLvl w:val="0"/>
                    <w:rPr>
                      <w:rFonts w:ascii="Times New Roman" w:hAnsi="Times New Roman"/>
                      <w:b/>
                      <w:snapToGrid w:val="0"/>
                      <w:color w:val="auto"/>
                      <w:sz w:val="21"/>
                      <w:szCs w:val="21"/>
                    </w:rPr>
                  </w:pPr>
                  <w:r>
                    <w:rPr>
                      <w:rFonts w:hint="eastAsia" w:ascii="Times New Roman" w:hAnsi="Times New Roman"/>
                      <w:b/>
                      <w:snapToGrid w:val="0"/>
                      <w:color w:val="auto"/>
                      <w:sz w:val="21"/>
                      <w:szCs w:val="21"/>
                    </w:rPr>
                    <w:t>总体准入要求</w:t>
                  </w:r>
                </w:p>
              </w:tc>
              <w:tc>
                <w:tcPr>
                  <w:tcW w:w="4176" w:type="dxa"/>
                  <w:tcMar>
                    <w:left w:w="28" w:type="dxa"/>
                    <w:right w:w="28" w:type="dxa"/>
                  </w:tcMar>
                  <w:vAlign w:val="center"/>
                </w:tcPr>
                <w:p>
                  <w:pPr>
                    <w:pStyle w:val="21"/>
                    <w:spacing w:before="0" w:beforeAutospacing="0" w:after="0" w:afterAutospacing="0"/>
                    <w:jc w:val="center"/>
                    <w:outlineLvl w:val="0"/>
                    <w:rPr>
                      <w:rFonts w:ascii="Times New Roman" w:hAnsi="Times New Roman"/>
                      <w:b/>
                      <w:snapToGrid w:val="0"/>
                      <w:color w:val="auto"/>
                      <w:sz w:val="21"/>
                      <w:szCs w:val="21"/>
                    </w:rPr>
                  </w:pPr>
                  <w:r>
                    <w:rPr>
                      <w:rFonts w:ascii="Times New Roman" w:hAnsi="Times New Roman"/>
                      <w:b/>
                      <w:snapToGrid w:val="0"/>
                      <w:color w:val="auto"/>
                      <w:sz w:val="21"/>
                      <w:szCs w:val="21"/>
                    </w:rPr>
                    <w:t>本项目情况</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b/>
                      <w:snapToGrid w:val="0"/>
                      <w:color w:val="auto"/>
                      <w:sz w:val="21"/>
                      <w:szCs w:val="21"/>
                    </w:rPr>
                  </w:pPr>
                  <w:r>
                    <w:rPr>
                      <w:rFonts w:ascii="Times New Roman" w:hAnsi="Times New Roman"/>
                      <w:b/>
                      <w:snapToGrid w:val="0"/>
                      <w:color w:val="auto"/>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restart"/>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产业发展</w:t>
                  </w:r>
                </w:p>
              </w:tc>
              <w:tc>
                <w:tcPr>
                  <w:tcW w:w="1173" w:type="dxa"/>
                  <w:vMerge w:val="restart"/>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通用</w:t>
                  </w: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ascii="Times New Roman" w:hAnsi="Times New Roman"/>
                      <w:snapToGrid w:val="0"/>
                      <w:color w:val="auto"/>
                      <w:sz w:val="21"/>
                      <w:szCs w:val="21"/>
                    </w:rPr>
                    <w:t>1.禁止新改扩建《产业结构调整指导目录（2019年本）》明确的淘汰类项目；禁止引入《市场准入负面清单（2020年版）》禁止准入类事项。</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扩建</w:t>
                  </w:r>
                  <w:r>
                    <w:rPr>
                      <w:rFonts w:hint="eastAsia" w:ascii="Times New Roman" w:hAnsi="Times New Roman"/>
                      <w:snapToGrid w:val="0"/>
                      <w:color w:val="auto"/>
                      <w:sz w:val="21"/>
                    </w:rPr>
                    <w:t>项目，不属于</w:t>
                  </w:r>
                  <w:r>
                    <w:rPr>
                      <w:rFonts w:ascii="Times New Roman" w:hAnsi="Times New Roman"/>
                      <w:snapToGrid w:val="0"/>
                      <w:color w:val="auto"/>
                      <w:sz w:val="21"/>
                      <w:szCs w:val="21"/>
                    </w:rPr>
                    <w:t>《产业结构调整指导目录（2019年本）》明确的淘汰类项目</w:t>
                  </w:r>
                  <w:r>
                    <w:rPr>
                      <w:rFonts w:hint="eastAsia" w:ascii="Times New Roman" w:hAnsi="Times New Roman"/>
                      <w:snapToGrid w:val="0"/>
                      <w:color w:val="auto"/>
                      <w:sz w:val="21"/>
                      <w:szCs w:val="21"/>
                    </w:rPr>
                    <w:t>；不属于</w:t>
                  </w:r>
                  <w:r>
                    <w:rPr>
                      <w:rFonts w:ascii="Times New Roman" w:hAnsi="Times New Roman"/>
                      <w:snapToGrid w:val="0"/>
                      <w:color w:val="auto"/>
                      <w:sz w:val="21"/>
                      <w:szCs w:val="21"/>
                    </w:rPr>
                    <w:t>《市场准入负面清单（2020年版）》禁止准入类事项</w:t>
                  </w:r>
                  <w:r>
                    <w:rPr>
                      <w:rFonts w:hint="eastAsia" w:ascii="Times New Roman" w:hAnsi="Times New Roman"/>
                      <w:snapToGrid w:val="0"/>
                      <w:color w:val="auto"/>
                      <w:sz w:val="21"/>
                      <w:szCs w:val="21"/>
                    </w:rPr>
                    <w:t>。</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1173"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ascii="Times New Roman" w:hAnsi="Times New Roman"/>
                      <w:snapToGrid w:val="0"/>
                      <w:color w:val="auto"/>
                      <w:sz w:val="21"/>
                      <w:szCs w:val="21"/>
                    </w:rPr>
                    <w:t>2.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建项目；不属于</w:t>
                  </w:r>
                  <w:r>
                    <w:rPr>
                      <w:rFonts w:ascii="Times New Roman" w:hAnsi="Times New Roman"/>
                      <w:snapToGrid w:val="0"/>
                      <w:color w:val="auto"/>
                      <w:sz w:val="21"/>
                      <w:szCs w:val="21"/>
                    </w:rPr>
                    <w:t>生产和使用高VOCs含量的溶剂型涂料、油墨、胶粘剂等项目</w:t>
                  </w:r>
                  <w:r>
                    <w:rPr>
                      <w:rFonts w:hint="eastAsia" w:ascii="Times New Roman" w:hAnsi="Times New Roman"/>
                      <w:snapToGrid w:val="0"/>
                      <w:color w:val="auto"/>
                      <w:sz w:val="21"/>
                      <w:szCs w:val="21"/>
                    </w:rPr>
                    <w:t>；不属于露天和敞开式喷涂作业项目；不属于露天矿山建设项目。</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1173"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3</w:t>
                  </w:r>
                  <w:r>
                    <w:rPr>
                      <w:rFonts w:ascii="Times New Roman" w:hAnsi="Times New Roman"/>
                      <w:snapToGrid w:val="0"/>
                      <w:color w:val="auto"/>
                      <w:sz w:val="21"/>
                      <w:szCs w:val="21"/>
                    </w:rPr>
                    <w:t>.严把</w:t>
                  </w:r>
                  <w:r>
                    <w:rPr>
                      <w:rFonts w:hint="eastAsia" w:ascii="Times New Roman" w:hAnsi="Times New Roman"/>
                      <w:snapToGrid w:val="0"/>
                      <w:color w:val="auto"/>
                      <w:sz w:val="21"/>
                      <w:szCs w:val="21"/>
                    </w:rPr>
                    <w:t>“</w:t>
                  </w:r>
                  <w:r>
                    <w:rPr>
                      <w:rFonts w:ascii="Times New Roman" w:hAnsi="Times New Roman"/>
                      <w:snapToGrid w:val="0"/>
                      <w:color w:val="auto"/>
                      <w:sz w:val="21"/>
                      <w:szCs w:val="21"/>
                    </w:rPr>
                    <w:t>两高</w:t>
                  </w:r>
                  <w:r>
                    <w:rPr>
                      <w:rFonts w:hint="eastAsia" w:ascii="Times New Roman" w:hAnsi="Times New Roman"/>
                      <w:snapToGrid w:val="0"/>
                      <w:color w:val="auto"/>
                      <w:sz w:val="21"/>
                      <w:szCs w:val="21"/>
                    </w:rPr>
                    <w:t>”</w:t>
                  </w:r>
                  <w:r>
                    <w:rPr>
                      <w:rFonts w:ascii="Times New Roman" w:hAnsi="Times New Roman"/>
                      <w:snapToGrid w:val="0"/>
                      <w:color w:val="auto"/>
                      <w:sz w:val="21"/>
                      <w:szCs w:val="21"/>
                    </w:rPr>
                    <w:t>项目生态环境准入关，严格限制</w:t>
                  </w:r>
                  <w:r>
                    <w:rPr>
                      <w:rFonts w:hint="eastAsia" w:ascii="Times New Roman" w:hAnsi="Times New Roman"/>
                      <w:snapToGrid w:val="0"/>
                      <w:color w:val="auto"/>
                      <w:sz w:val="21"/>
                      <w:szCs w:val="21"/>
                    </w:rPr>
                    <w:t>“</w:t>
                  </w:r>
                  <w:r>
                    <w:rPr>
                      <w:rFonts w:ascii="Times New Roman" w:hAnsi="Times New Roman"/>
                      <w:snapToGrid w:val="0"/>
                      <w:color w:val="auto"/>
                      <w:sz w:val="21"/>
                      <w:szCs w:val="21"/>
                    </w:rPr>
                    <w:t>两高</w:t>
                  </w:r>
                  <w:r>
                    <w:rPr>
                      <w:rFonts w:hint="eastAsia" w:ascii="Times New Roman" w:hAnsi="Times New Roman"/>
                      <w:snapToGrid w:val="0"/>
                      <w:color w:val="auto"/>
                      <w:sz w:val="21"/>
                      <w:szCs w:val="21"/>
                    </w:rPr>
                    <w:t>”</w:t>
                  </w:r>
                  <w:r>
                    <w:rPr>
                      <w:rFonts w:ascii="Times New Roman" w:hAnsi="Times New Roman"/>
                      <w:snapToGrid w:val="0"/>
                      <w:color w:val="auto"/>
                      <w:sz w:val="21"/>
                      <w:szCs w:val="21"/>
                    </w:rPr>
                    <w:t>项目盲目发展。新改扩建</w:t>
                  </w:r>
                  <w:r>
                    <w:rPr>
                      <w:rFonts w:hint="eastAsia" w:ascii="Times New Roman" w:hAnsi="Times New Roman"/>
                      <w:snapToGrid w:val="0"/>
                      <w:color w:val="auto"/>
                      <w:sz w:val="21"/>
                      <w:szCs w:val="21"/>
                    </w:rPr>
                    <w:t>“</w:t>
                  </w:r>
                  <w:r>
                    <w:rPr>
                      <w:rFonts w:ascii="Times New Roman" w:hAnsi="Times New Roman"/>
                      <w:snapToGrid w:val="0"/>
                      <w:color w:val="auto"/>
                      <w:sz w:val="21"/>
                      <w:szCs w:val="21"/>
                    </w:rPr>
                    <w:t>两高</w:t>
                  </w:r>
                  <w:r>
                    <w:rPr>
                      <w:rFonts w:hint="eastAsia" w:ascii="Times New Roman" w:hAnsi="Times New Roman"/>
                      <w:snapToGrid w:val="0"/>
                      <w:color w:val="auto"/>
                      <w:sz w:val="21"/>
                      <w:szCs w:val="21"/>
                    </w:rPr>
                    <w:t>”</w:t>
                  </w:r>
                  <w:r>
                    <w:rPr>
                      <w:rFonts w:ascii="Times New Roman" w:hAnsi="Times New Roman"/>
                      <w:snapToGrid w:val="0"/>
                      <w:color w:val="auto"/>
                      <w:sz w:val="21"/>
                      <w:szCs w:val="21"/>
                    </w:rPr>
                    <w:t>项目须符合生态环境保护法律法规和相关法定规划，符合产业政策、国土空间规划、</w:t>
                  </w:r>
                  <w:r>
                    <w:rPr>
                      <w:rFonts w:hint="eastAsia" w:ascii="Times New Roman" w:hAnsi="Times New Roman"/>
                      <w:snapToGrid w:val="0"/>
                      <w:color w:val="auto"/>
                      <w:sz w:val="21"/>
                      <w:szCs w:val="21"/>
                    </w:rPr>
                    <w:t>“</w:t>
                  </w:r>
                  <w:r>
                    <w:rPr>
                      <w:rFonts w:ascii="Times New Roman" w:hAnsi="Times New Roman"/>
                      <w:snapToGrid w:val="0"/>
                      <w:color w:val="auto"/>
                      <w:sz w:val="21"/>
                      <w:szCs w:val="21"/>
                    </w:rPr>
                    <w:t>三线一单</w:t>
                  </w:r>
                  <w:r>
                    <w:rPr>
                      <w:rFonts w:hint="eastAsia" w:ascii="Times New Roman" w:hAnsi="Times New Roman"/>
                      <w:snapToGrid w:val="0"/>
                      <w:color w:val="auto"/>
                      <w:sz w:val="21"/>
                      <w:szCs w:val="21"/>
                    </w:rPr>
                    <w:t>”</w:t>
                  </w:r>
                  <w:r>
                    <w:rPr>
                      <w:rFonts w:ascii="Times New Roman" w:hAnsi="Times New Roman"/>
                      <w:snapToGrid w:val="0"/>
                      <w:color w:val="auto"/>
                      <w:sz w:val="21"/>
                      <w:szCs w:val="21"/>
                    </w:rPr>
                    <w:t>、能耗</w:t>
                  </w:r>
                  <w:r>
                    <w:rPr>
                      <w:rFonts w:hint="eastAsia" w:ascii="Times New Roman" w:hAnsi="Times New Roman"/>
                      <w:snapToGrid w:val="0"/>
                      <w:color w:val="auto"/>
                      <w:sz w:val="21"/>
                      <w:szCs w:val="21"/>
                    </w:rPr>
                    <w:t>“</w:t>
                  </w:r>
                  <w:r>
                    <w:rPr>
                      <w:rFonts w:ascii="Times New Roman" w:hAnsi="Times New Roman"/>
                      <w:snapToGrid w:val="0"/>
                      <w:color w:val="auto"/>
                      <w:sz w:val="21"/>
                      <w:szCs w:val="21"/>
                    </w:rPr>
                    <w:t>双控</w:t>
                  </w:r>
                  <w:r>
                    <w:rPr>
                      <w:rFonts w:hint="eastAsia" w:ascii="Times New Roman" w:hAnsi="Times New Roman"/>
                      <w:snapToGrid w:val="0"/>
                      <w:color w:val="auto"/>
                      <w:sz w:val="21"/>
                      <w:szCs w:val="21"/>
                    </w:rPr>
                    <w:t>”</w:t>
                  </w:r>
                  <w:r>
                    <w:rPr>
                      <w:rFonts w:ascii="Times New Roman" w:hAnsi="Times New Roman"/>
                      <w:snapToGrid w:val="0"/>
                      <w:color w:val="auto"/>
                      <w:sz w:val="21"/>
                      <w:szCs w:val="21"/>
                    </w:rPr>
                    <w:t>、煤炭消费减量替代、碳排放</w:t>
                  </w:r>
                  <w:r>
                    <w:rPr>
                      <w:rFonts w:hint="eastAsia" w:ascii="Times New Roman" w:hAnsi="Times New Roman"/>
                      <w:snapToGrid w:val="0"/>
                      <w:color w:val="auto"/>
                      <w:sz w:val="21"/>
                      <w:szCs w:val="21"/>
                    </w:rPr>
                    <w:t>强度</w:t>
                  </w:r>
                  <w:r>
                    <w:rPr>
                      <w:rFonts w:ascii="Times New Roman" w:hAnsi="Times New Roman"/>
                      <w:snapToGrid w:val="0"/>
                      <w:color w:val="auto"/>
                      <w:sz w:val="21"/>
                      <w:szCs w:val="21"/>
                    </w:rPr>
                    <w:t>、污染物</w:t>
                  </w:r>
                  <w:r>
                    <w:rPr>
                      <w:rFonts w:hint="eastAsia" w:ascii="Times New Roman" w:hAnsi="Times New Roman"/>
                      <w:snapToGrid w:val="0"/>
                      <w:color w:val="auto"/>
                      <w:sz w:val="21"/>
                      <w:szCs w:val="21"/>
                    </w:rPr>
                    <w:t>区域削减替代</w:t>
                  </w:r>
                  <w:r>
                    <w:rPr>
                      <w:rFonts w:ascii="Times New Roman" w:hAnsi="Times New Roman"/>
                      <w:snapToGrid w:val="0"/>
                      <w:color w:val="auto"/>
                      <w:sz w:val="21"/>
                      <w:szCs w:val="21"/>
                    </w:rPr>
                    <w:t>等约束性要求，按照《河南省淘汰落后产能综合标准体系（2020年本）》，严格执行能耗、环保、质量、安全、技术等法规标准。</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w:t>
                  </w:r>
                  <w:r>
                    <w:rPr>
                      <w:rFonts w:hint="eastAsia" w:ascii="Times New Roman" w:hAnsi="Times New Roman"/>
                      <w:color w:val="auto"/>
                      <w:sz w:val="21"/>
                      <w:szCs w:val="21"/>
                    </w:rPr>
                    <w:t>不属于“两高”项目</w:t>
                  </w:r>
                  <w:r>
                    <w:rPr>
                      <w:rFonts w:ascii="Times New Roman" w:hAnsi="Times New Roman"/>
                      <w:snapToGrid w:val="0"/>
                      <w:color w:val="auto"/>
                      <w:sz w:val="21"/>
                      <w:szCs w:val="21"/>
                    </w:rPr>
                    <w:t>。</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restart"/>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大气生态环境</w:t>
                  </w:r>
                </w:p>
              </w:tc>
              <w:tc>
                <w:tcPr>
                  <w:tcW w:w="1173"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空间布局约束</w:t>
                  </w: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1</w:t>
                  </w:r>
                  <w:r>
                    <w:rPr>
                      <w:rFonts w:ascii="Times New Roman" w:hAnsi="Times New Roman"/>
                      <w:snapToGrid w:val="0"/>
                      <w:color w:val="auto"/>
                      <w:sz w:val="21"/>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VOCs排放建设项目；新建涉VOCs排放的工业企业要入园区；实行区域内VOCs排放等量或倍量削减替代。</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建项目，不属于重污染项目、</w:t>
                  </w:r>
                  <w:r>
                    <w:rPr>
                      <w:rFonts w:ascii="Times New Roman" w:hAnsi="Times New Roman"/>
                      <w:snapToGrid w:val="0"/>
                      <w:color w:val="auto"/>
                      <w:sz w:val="21"/>
                      <w:szCs w:val="21"/>
                    </w:rPr>
                    <w:t>危险化学品等环境风险大的</w:t>
                  </w:r>
                  <w:r>
                    <w:rPr>
                      <w:rFonts w:hint="eastAsia" w:ascii="Times New Roman" w:hAnsi="Times New Roman"/>
                      <w:snapToGrid w:val="0"/>
                      <w:color w:val="auto"/>
                      <w:sz w:val="21"/>
                      <w:szCs w:val="21"/>
                    </w:rPr>
                    <w:t>项目</w:t>
                  </w:r>
                  <w:r>
                    <w:rPr>
                      <w:rFonts w:hint="eastAsia" w:ascii="Times New Roman" w:hAnsi="Times New Roman"/>
                      <w:color w:val="auto"/>
                      <w:sz w:val="21"/>
                      <w:szCs w:val="21"/>
                    </w:rPr>
                    <w:t>，本项目</w:t>
                  </w:r>
                  <w:r>
                    <w:rPr>
                      <w:rFonts w:ascii="Times New Roman" w:hAnsi="Times New Roman"/>
                      <w:color w:val="auto"/>
                      <w:sz w:val="21"/>
                      <w:szCs w:val="21"/>
                    </w:rPr>
                    <w:t>VOCs</w:t>
                  </w:r>
                  <w:r>
                    <w:rPr>
                      <w:color w:val="auto"/>
                      <w:sz w:val="21"/>
                      <w:szCs w:val="21"/>
                    </w:rPr>
                    <w:t>排放</w:t>
                  </w:r>
                  <w:r>
                    <w:rPr>
                      <w:rFonts w:hint="eastAsia"/>
                      <w:color w:val="auto"/>
                      <w:sz w:val="21"/>
                      <w:szCs w:val="21"/>
                    </w:rPr>
                    <w:t>量实行区域内</w:t>
                  </w:r>
                  <w:r>
                    <w:rPr>
                      <w:color w:val="auto"/>
                      <w:sz w:val="21"/>
                      <w:szCs w:val="21"/>
                    </w:rPr>
                    <w:t>倍量削减替代</w:t>
                  </w:r>
                  <w:r>
                    <w:rPr>
                      <w:rFonts w:hint="eastAsia" w:ascii="Times New Roman" w:hAnsi="Times New Roman"/>
                      <w:snapToGrid w:val="0"/>
                      <w:color w:val="auto"/>
                      <w:sz w:val="21"/>
                      <w:szCs w:val="21"/>
                    </w:rPr>
                    <w:t>。</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1173" w:type="dxa"/>
                  <w:vMerge w:val="restart"/>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污染物排放管控</w:t>
                  </w: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ascii="Times New Roman" w:hAnsi="Times New Roman"/>
                      <w:snapToGrid w:val="0"/>
                      <w:color w:val="auto"/>
                      <w:sz w:val="21"/>
                      <w:szCs w:val="21"/>
                    </w:rPr>
                    <w:t>1.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VOCs治理；水泥企业生产工序达到超低排放标准。</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建项目，不属于</w:t>
                  </w:r>
                  <w:r>
                    <w:rPr>
                      <w:rFonts w:ascii="Times New Roman" w:hAnsi="Times New Roman"/>
                      <w:snapToGrid w:val="0"/>
                      <w:color w:val="auto"/>
                      <w:sz w:val="21"/>
                      <w:szCs w:val="21"/>
                    </w:rPr>
                    <w:t>钢铁、水泥、铝加工、平板玻璃、煤化工、煤电、有色金属等</w:t>
                  </w:r>
                  <w:r>
                    <w:rPr>
                      <w:rFonts w:hint="eastAsia" w:ascii="Times New Roman" w:hAnsi="Times New Roman"/>
                      <w:snapToGrid w:val="0"/>
                      <w:color w:val="auto"/>
                      <w:sz w:val="21"/>
                      <w:szCs w:val="21"/>
                    </w:rPr>
                    <w:t>行业。</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1173"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ascii="Times New Roman" w:hAnsi="Times New Roman"/>
                      <w:snapToGrid w:val="0"/>
                      <w:color w:val="auto"/>
                      <w:sz w:val="21"/>
                      <w:szCs w:val="21"/>
                    </w:rPr>
                    <w:t>2.重点行业二氧化硫、氮氧化物、颗粒物、VOCs全面执行大气污染物特别排放限值；综合整治VOCs排放，新改扩建涉VOCs排放项目，应加强废气收集，安装高效治理设施；对确有必要新建或改造升级的高端铸造建设项目，原则上应使用天然气或电力等清洁能源；所有产生颗粒物或VOCs的工序应配备高效收集和处理装置；县级以上建成区餐饮企业全部安装油烟净化设施并符合河南省《餐饮业油烟污染物排放标准》（DB41/1604-2018）。</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hint="eastAsia" w:ascii="Times New Roman" w:hAnsi="Times New Roman" w:eastAsia="宋体"/>
                      <w:snapToGrid w:val="0"/>
                      <w:color w:val="auto"/>
                      <w:sz w:val="21"/>
                      <w:szCs w:val="21"/>
                      <w:lang w:eastAsia="zh-CN"/>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ascii="Times New Roman" w:hAnsi="Times New Roman"/>
                      <w:snapToGrid w:val="0"/>
                      <w:color w:val="auto"/>
                      <w:sz w:val="21"/>
                      <w:szCs w:val="21"/>
                      <w:lang w:eastAsia="zh-CN"/>
                    </w:rPr>
                    <w:t>不属于重点行业</w:t>
                  </w:r>
                  <w:r>
                    <w:rPr>
                      <w:rFonts w:hint="eastAsia" w:ascii="Times New Roman" w:hAnsi="Times New Roman"/>
                      <w:snapToGrid w:val="0"/>
                      <w:color w:val="auto"/>
                      <w:sz w:val="21"/>
                      <w:szCs w:val="21"/>
                    </w:rPr>
                    <w:t>；</w:t>
                  </w:r>
                  <w:r>
                    <w:rPr>
                      <w:rFonts w:hint="eastAsia" w:ascii="Times New Roman" w:hAnsi="Times New Roman"/>
                      <w:snapToGrid w:val="0"/>
                      <w:color w:val="auto"/>
                      <w:sz w:val="21"/>
                      <w:szCs w:val="21"/>
                      <w:lang w:eastAsia="zh-CN"/>
                    </w:rPr>
                    <w:t>项目产生的油品挥发废气采用三级油气回收系统处理。</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FF0000"/>
                      <w:sz w:val="21"/>
                      <w:szCs w:val="21"/>
                    </w:rPr>
                  </w:pPr>
                </w:p>
              </w:tc>
              <w:tc>
                <w:tcPr>
                  <w:tcW w:w="1173" w:type="dxa"/>
                  <w:vMerge w:val="continue"/>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FF0000"/>
                      <w:sz w:val="21"/>
                      <w:szCs w:val="21"/>
                    </w:rPr>
                  </w:pP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FF0000"/>
                      <w:sz w:val="21"/>
                      <w:szCs w:val="21"/>
                    </w:rPr>
                  </w:pPr>
                  <w:r>
                    <w:rPr>
                      <w:rFonts w:ascii="Times New Roman" w:hAnsi="Times New Roman"/>
                      <w:snapToGrid w:val="0"/>
                      <w:color w:val="auto"/>
                      <w:sz w:val="21"/>
                      <w:szCs w:val="21"/>
                    </w:rPr>
                    <w:t>3.强化项目环评及</w:t>
                  </w:r>
                  <w:r>
                    <w:rPr>
                      <w:rFonts w:hint="eastAsia" w:ascii="Times New Roman" w:hAnsi="Times New Roman"/>
                      <w:snapToGrid w:val="0"/>
                      <w:color w:val="auto"/>
                      <w:sz w:val="21"/>
                      <w:szCs w:val="21"/>
                    </w:rPr>
                    <w:t>“</w:t>
                  </w:r>
                  <w:r>
                    <w:rPr>
                      <w:rFonts w:ascii="Times New Roman" w:hAnsi="Times New Roman"/>
                      <w:snapToGrid w:val="0"/>
                      <w:color w:val="auto"/>
                      <w:sz w:val="21"/>
                      <w:szCs w:val="21"/>
                    </w:rPr>
                    <w:t>三同时</w:t>
                  </w:r>
                  <w:r>
                    <w:rPr>
                      <w:rFonts w:hint="eastAsia" w:ascii="Times New Roman" w:hAnsi="Times New Roman"/>
                      <w:snapToGrid w:val="0"/>
                      <w:color w:val="auto"/>
                      <w:sz w:val="21"/>
                      <w:szCs w:val="21"/>
                    </w:rPr>
                    <w:t>”</w:t>
                  </w:r>
                  <w:r>
                    <w:rPr>
                      <w:rFonts w:ascii="Times New Roman" w:hAnsi="Times New Roman"/>
                      <w:snapToGrid w:val="0"/>
                      <w:color w:val="auto"/>
                      <w:sz w:val="21"/>
                      <w:szCs w:val="21"/>
                    </w:rPr>
                    <w:t>管理，国家、省绩效分级重点行业的新改扩建项目达到B级以上要求。</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ascii="Times New Roman" w:hAnsi="Times New Roman"/>
                      <w:snapToGrid w:val="0"/>
                      <w:color w:val="auto"/>
                      <w:sz w:val="21"/>
                      <w:szCs w:val="21"/>
                    </w:rPr>
                    <w:t>，将严格按照要求进行环评及“</w:t>
                  </w:r>
                  <w:r>
                    <w:rPr>
                      <w:rFonts w:ascii="Times New Roman" w:hAnsi="Times New Roman"/>
                      <w:snapToGrid w:val="0"/>
                      <w:color w:val="auto"/>
                      <w:sz w:val="21"/>
                      <w:szCs w:val="21"/>
                    </w:rPr>
                    <w:t>三同时</w:t>
                  </w:r>
                  <w:r>
                    <w:rPr>
                      <w:rFonts w:hint="eastAsia" w:ascii="Times New Roman" w:hAnsi="Times New Roman"/>
                      <w:snapToGrid w:val="0"/>
                      <w:color w:val="auto"/>
                      <w:sz w:val="21"/>
                      <w:szCs w:val="21"/>
                    </w:rPr>
                    <w:t>”</w:t>
                  </w:r>
                  <w:r>
                    <w:rPr>
                      <w:rFonts w:hint="eastAsia" w:ascii="Times New Roman" w:hAnsi="Times New Roman"/>
                      <w:snapToGrid w:val="0"/>
                      <w:color w:val="auto"/>
                      <w:sz w:val="21"/>
                      <w:szCs w:val="21"/>
                      <w:lang w:eastAsia="zh-CN"/>
                    </w:rPr>
                    <w:t>管理</w:t>
                  </w:r>
                  <w:r>
                    <w:rPr>
                      <w:rFonts w:hint="eastAsia" w:ascii="Times New Roman" w:hAnsi="Times New Roman"/>
                      <w:snapToGrid w:val="0"/>
                      <w:color w:val="auto"/>
                      <w:sz w:val="21"/>
                      <w:szCs w:val="21"/>
                    </w:rPr>
                    <w:t>，</w:t>
                  </w:r>
                  <w:r>
                    <w:rPr>
                      <w:rFonts w:hint="eastAsia" w:ascii="Times New Roman" w:hAnsi="Times New Roman"/>
                      <w:color w:val="auto"/>
                      <w:sz w:val="21"/>
                      <w:szCs w:val="21"/>
                    </w:rPr>
                    <w:t>项目</w:t>
                  </w:r>
                  <w:r>
                    <w:rPr>
                      <w:rFonts w:hint="eastAsia" w:ascii="Times New Roman" w:hAnsi="Times New Roman"/>
                      <w:color w:val="auto"/>
                      <w:sz w:val="21"/>
                      <w:szCs w:val="21"/>
                      <w:lang w:eastAsia="zh-CN"/>
                    </w:rPr>
                    <w:t>不属于</w:t>
                  </w:r>
                  <w:r>
                    <w:rPr>
                      <w:rFonts w:ascii="Times New Roman" w:hAnsi="Times New Roman"/>
                      <w:snapToGrid w:val="0"/>
                      <w:color w:val="auto"/>
                      <w:sz w:val="21"/>
                      <w:szCs w:val="21"/>
                    </w:rPr>
                    <w:t>国家、省绩效分级重点行业</w:t>
                  </w:r>
                  <w:r>
                    <w:rPr>
                      <w:rFonts w:hint="eastAsia" w:ascii="Times New Roman" w:hAnsi="Times New Roman"/>
                      <w:color w:val="auto"/>
                      <w:sz w:val="21"/>
                      <w:szCs w:val="21"/>
                      <w:lang w:eastAsia="zh-CN"/>
                    </w:rPr>
                    <w:t>，将</w:t>
                  </w:r>
                  <w:r>
                    <w:rPr>
                      <w:rFonts w:hint="default" w:ascii="Times New Roman" w:hAnsi="Times New Roman" w:eastAsia="宋体" w:cs="Times New Roman"/>
                      <w:color w:val="auto"/>
                      <w:kern w:val="0"/>
                      <w:sz w:val="21"/>
                      <w:szCs w:val="21"/>
                      <w:lang w:val="en-US" w:eastAsia="zh-CN" w:bidi="ar"/>
                    </w:rPr>
                    <w:t>对照《河南省重污染天气通用行业应急减排技术指南》</w:t>
                  </w:r>
                  <w:r>
                    <w:rPr>
                      <w:rFonts w:hint="eastAsia" w:ascii="Times New Roman" w:hAnsi="Times New Roman" w:cs="Times New Roman"/>
                      <w:color w:val="auto"/>
                      <w:kern w:val="0"/>
                      <w:sz w:val="21"/>
                      <w:szCs w:val="21"/>
                      <w:lang w:val="en-US" w:eastAsia="zh-CN" w:bidi="ar"/>
                    </w:rPr>
                    <w:t>中涉VOCs企业基本要求进行建设</w:t>
                  </w:r>
                  <w:r>
                    <w:rPr>
                      <w:rFonts w:hint="default" w:ascii="Times New Roman" w:hAnsi="Times New Roman" w:eastAsia="宋体" w:cs="Times New Roman"/>
                      <w:color w:val="auto"/>
                      <w:kern w:val="0"/>
                      <w:sz w:val="21"/>
                      <w:szCs w:val="21"/>
                      <w:lang w:val="en-US" w:eastAsia="zh-CN" w:bidi="ar"/>
                    </w:rPr>
                    <w:t>。</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重点区域大气生态环境</w:t>
                  </w:r>
                </w:p>
              </w:tc>
              <w:tc>
                <w:tcPr>
                  <w:tcW w:w="1173"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“2</w:t>
                  </w:r>
                  <w:r>
                    <w:rPr>
                      <w:rFonts w:ascii="Times New Roman" w:hAnsi="Times New Roman"/>
                      <w:snapToGrid w:val="0"/>
                      <w:color w:val="auto"/>
                      <w:sz w:val="21"/>
                      <w:szCs w:val="21"/>
                    </w:rPr>
                    <w:t>+26</w:t>
                  </w:r>
                  <w:r>
                    <w:rPr>
                      <w:rFonts w:hint="eastAsia" w:ascii="Times New Roman" w:hAnsi="Times New Roman"/>
                      <w:snapToGrid w:val="0"/>
                      <w:color w:val="auto"/>
                      <w:sz w:val="21"/>
                      <w:szCs w:val="21"/>
                    </w:rPr>
                    <w:t>”城市地区（郑州、开封、安阳、鹤壁、新乡、焦作、濮阳、济源示范区）</w:t>
                  </w:r>
                </w:p>
              </w:tc>
              <w:tc>
                <w:tcPr>
                  <w:tcW w:w="6521"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szCs w:val="21"/>
                    </w:rPr>
                  </w:pPr>
                  <w:r>
                    <w:rPr>
                      <w:rFonts w:ascii="Times New Roman" w:hAnsi="Times New Roman"/>
                      <w:snapToGrid w:val="0"/>
                      <w:color w:val="auto"/>
                      <w:sz w:val="21"/>
                      <w:szCs w:val="21"/>
                    </w:rPr>
                    <w:t>3.严格执行火电、钢铁、石化、化工、有色、水泥行业以及工业锅炉等重点行业二氧化硫、氮氧化物、颗粒物、VOCs大气污染物特别排放限值，推进重点行业污染治理设施升级改造，强化施工扬尘污染治理。</w:t>
                  </w:r>
                </w:p>
              </w:tc>
              <w:tc>
                <w:tcPr>
                  <w:tcW w:w="4176" w:type="dxa"/>
                  <w:tcMar>
                    <w:left w:w="28" w:type="dxa"/>
                    <w:right w:w="28" w:type="dxa"/>
                  </w:tcMar>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snapToGrid w:val="0"/>
                      <w:color w:val="auto"/>
                      <w:sz w:val="21"/>
                    </w:rPr>
                  </w:pPr>
                  <w:r>
                    <w:rPr>
                      <w:rFonts w:hint="eastAsia" w:ascii="Times New Roman" w:hAnsi="Times New Roman"/>
                      <w:snapToGrid w:val="0"/>
                      <w:color w:val="auto"/>
                      <w:sz w:val="21"/>
                    </w:rPr>
                    <w:t>本项目不属于</w:t>
                  </w:r>
                  <w:r>
                    <w:rPr>
                      <w:rFonts w:ascii="Times New Roman" w:hAnsi="Times New Roman"/>
                      <w:snapToGrid w:val="0"/>
                      <w:color w:val="auto"/>
                      <w:sz w:val="21"/>
                      <w:szCs w:val="21"/>
                    </w:rPr>
                    <w:t>火电、钢铁、石化、化工、有色、水泥行业以及工业锅炉等重点行业</w:t>
                  </w:r>
                  <w:r>
                    <w:rPr>
                      <w:rFonts w:hint="eastAsia" w:ascii="Times New Roman" w:hAnsi="Times New Roman"/>
                      <w:snapToGrid w:val="0"/>
                      <w:color w:val="auto"/>
                      <w:sz w:val="21"/>
                      <w:szCs w:val="21"/>
                    </w:rPr>
                    <w:t>。</w:t>
                  </w:r>
                </w:p>
              </w:tc>
              <w:tc>
                <w:tcPr>
                  <w:tcW w:w="790" w:type="dxa"/>
                  <w:tcMar>
                    <w:left w:w="28" w:type="dxa"/>
                    <w:right w:w="28" w:type="dxa"/>
                  </w:tcMar>
                  <w:vAlign w:val="center"/>
                </w:tcPr>
                <w:p>
                  <w:pPr>
                    <w:pStyle w:val="21"/>
                    <w:spacing w:before="0" w:beforeAutospacing="0" w:after="0" w:afterAutospacing="0"/>
                    <w:jc w:val="center"/>
                    <w:outlineLvl w:val="0"/>
                    <w:rPr>
                      <w:rFonts w:ascii="Times New Roman" w:hAnsi="Times New Roman"/>
                      <w:snapToGrid w:val="0"/>
                      <w:color w:val="auto"/>
                      <w:sz w:val="21"/>
                      <w:szCs w:val="21"/>
                    </w:rPr>
                  </w:pPr>
                  <w:r>
                    <w:rPr>
                      <w:rFonts w:hint="eastAsia" w:ascii="Times New Roman" w:hAnsi="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210" w:type="dxa"/>
                  <w:gridSpan w:val="5"/>
                  <w:tcMar>
                    <w:left w:w="28" w:type="dxa"/>
                    <w:right w:w="28" w:type="dxa"/>
                  </w:tcMar>
                  <w:vAlign w:val="center"/>
                </w:tcPr>
                <w:p>
                  <w:pPr>
                    <w:pStyle w:val="21"/>
                    <w:spacing w:before="0" w:beforeAutospacing="0" w:after="0" w:afterAutospacing="0"/>
                    <w:jc w:val="both"/>
                    <w:outlineLvl w:val="0"/>
                    <w:rPr>
                      <w:rFonts w:ascii="Times New Roman" w:hAnsi="Times New Roman"/>
                      <w:snapToGrid w:val="0"/>
                      <w:color w:val="FF0000"/>
                      <w:sz w:val="21"/>
                      <w:szCs w:val="21"/>
                    </w:rPr>
                  </w:pPr>
                  <w:r>
                    <w:rPr>
                      <w:rFonts w:hint="eastAsia" w:ascii="Times New Roman" w:hAnsi="Times New Roman"/>
                      <w:snapToGrid w:val="0"/>
                      <w:color w:val="auto"/>
                      <w:sz w:val="21"/>
                      <w:szCs w:val="21"/>
                    </w:rPr>
                    <w:t>注：本项目仅对与项目建设内容有关的总体准入要求进行对比分析。</w:t>
                  </w:r>
                </w:p>
              </w:tc>
            </w:tr>
          </w:tbl>
          <w:p>
            <w:pPr>
              <w:autoSpaceDE w:val="0"/>
              <w:autoSpaceDN w:val="0"/>
              <w:adjustRightInd w:val="0"/>
              <w:snapToGrid w:val="0"/>
              <w:spacing w:line="460" w:lineRule="exact"/>
              <w:ind w:firstLine="480" w:firstLineChars="200"/>
              <w:rPr>
                <w:color w:val="auto"/>
                <w:sz w:val="24"/>
              </w:rPr>
            </w:pPr>
            <w:r>
              <w:rPr>
                <w:color w:val="auto"/>
                <w:sz w:val="24"/>
              </w:rPr>
              <w:t>由上表可知，本项目符合</w:t>
            </w:r>
            <w:r>
              <w:rPr>
                <w:rFonts w:hint="eastAsia"/>
                <w:color w:val="auto"/>
                <w:kern w:val="0"/>
                <w:sz w:val="24"/>
              </w:rPr>
              <w:t>《河南生态环境分区管控总体要求（试行）》（豫环函[2021</w:t>
            </w:r>
            <w:r>
              <w:rPr>
                <w:color w:val="auto"/>
                <w:kern w:val="0"/>
                <w:sz w:val="24"/>
              </w:rPr>
              <w:t>]</w:t>
            </w:r>
            <w:r>
              <w:rPr>
                <w:rFonts w:hint="eastAsia"/>
                <w:color w:val="auto"/>
                <w:kern w:val="0"/>
                <w:sz w:val="24"/>
              </w:rPr>
              <w:t>171号）</w:t>
            </w:r>
            <w:r>
              <w:rPr>
                <w:color w:val="auto"/>
                <w:sz w:val="24"/>
              </w:rPr>
              <w:t>中的相关要求。</w:t>
            </w:r>
          </w:p>
          <w:p>
            <w:pPr>
              <w:pStyle w:val="9"/>
              <w:bidi w:val="0"/>
              <w:rPr>
                <w:lang w:val="pt-BR"/>
              </w:rPr>
            </w:pPr>
            <w:r>
              <w:rPr>
                <w:lang w:val="pt-BR"/>
              </w:rPr>
              <w:t>本项目与《清单》对比分析一览表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8"/>
              <w:gridCol w:w="779"/>
              <w:gridCol w:w="762"/>
              <w:gridCol w:w="824"/>
              <w:gridCol w:w="5981"/>
              <w:gridCol w:w="3973"/>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8" w:type="dxa"/>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行政区划</w:t>
                  </w:r>
                </w:p>
              </w:tc>
              <w:tc>
                <w:tcPr>
                  <w:tcW w:w="779" w:type="dxa"/>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环境管控单元名称</w:t>
                  </w:r>
                </w:p>
              </w:tc>
              <w:tc>
                <w:tcPr>
                  <w:tcW w:w="762" w:type="dxa"/>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管控单元分类</w:t>
                  </w:r>
                </w:p>
              </w:tc>
              <w:tc>
                <w:tcPr>
                  <w:tcW w:w="6805" w:type="dxa"/>
                  <w:gridSpan w:val="2"/>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管控要求</w:t>
                  </w:r>
                </w:p>
              </w:tc>
              <w:tc>
                <w:tcPr>
                  <w:tcW w:w="3973" w:type="dxa"/>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本项目情况</w:t>
                  </w:r>
                </w:p>
              </w:tc>
              <w:tc>
                <w:tcPr>
                  <w:tcW w:w="539" w:type="dxa"/>
                  <w:vAlign w:val="center"/>
                </w:tcPr>
                <w:p>
                  <w:pPr>
                    <w:pStyle w:val="21"/>
                    <w:spacing w:before="0" w:beforeAutospacing="0" w:after="0" w:afterAutospacing="0"/>
                    <w:jc w:val="center"/>
                    <w:outlineLvl w:val="0"/>
                    <w:rPr>
                      <w:rFonts w:ascii="Times New Roman" w:hAnsi="Times New Roman"/>
                      <w:b/>
                      <w:snapToGrid w:val="0"/>
                      <w:color w:val="auto"/>
                      <w:sz w:val="21"/>
                      <w:szCs w:val="21"/>
                      <w:lang w:val="en-US"/>
                    </w:rPr>
                  </w:pPr>
                  <w:r>
                    <w:rPr>
                      <w:rFonts w:ascii="Times New Roman" w:hAnsi="Times New Roman"/>
                      <w:b/>
                      <w:snapToGrid w:val="0"/>
                      <w:color w:val="auto"/>
                      <w:sz w:val="21"/>
                      <w:szCs w:val="21"/>
                      <w:lang w:val="en-US"/>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Merge w:val="restart"/>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eastAsia="zh-CN"/>
                    </w:rPr>
                    <w:t>新乡市</w:t>
                  </w:r>
                  <w:r>
                    <w:rPr>
                      <w:rFonts w:ascii="Times New Roman" w:hAnsi="Times New Roman"/>
                      <w:snapToGrid w:val="0"/>
                      <w:color w:val="auto"/>
                      <w:sz w:val="21"/>
                      <w:szCs w:val="21"/>
                      <w:lang w:val="en-US"/>
                    </w:rPr>
                    <w:t>生态环境总体准入要求</w:t>
                  </w:r>
                </w:p>
              </w:tc>
              <w:tc>
                <w:tcPr>
                  <w:tcW w:w="824" w:type="dxa"/>
                  <w:vMerge w:val="restart"/>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color w:val="auto"/>
                      <w:sz w:val="21"/>
                      <w:szCs w:val="21"/>
                    </w:rPr>
                    <w:t>空间布局约束</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rPr>
                    <w:t>禁止在自然保护区内进行砍伐、放牧、狩猎、捕捞、采药、开垦、烧荒、开矿、采石、挖沙等活动；但是，法律、行政法规另有规定的除外。</w:t>
                  </w:r>
                </w:p>
                <w:p>
                  <w:pPr>
                    <w:keepNext w:val="0"/>
                    <w:keepLines w:val="0"/>
                    <w:pageBreakBefore w:val="0"/>
                    <w:widowControl/>
                    <w:kinsoku/>
                    <w:wordWrap/>
                    <w:overflowPunct/>
                    <w:topLinePunct w:val="0"/>
                    <w:autoSpaceDE/>
                    <w:autoSpaceDN/>
                    <w:bidi w:val="0"/>
                    <w:adjustRightInd/>
                    <w:snapToGrid/>
                    <w:ind w:firstLine="420" w:firstLineChars="200"/>
                    <w:textAlignment w:val="auto"/>
                    <w:outlineLvl w:val="0"/>
                    <w:rPr>
                      <w:color w:val="auto"/>
                      <w:kern w:val="0"/>
                      <w:szCs w:val="21"/>
                      <w:lang w:val="zh-CN"/>
                    </w:rPr>
                  </w:pPr>
                  <w:r>
                    <w:rPr>
                      <w:rFonts w:hint="eastAsia"/>
                      <w:color w:val="auto"/>
                      <w:kern w:val="0"/>
                      <w:szCs w:val="21"/>
                      <w:lang w:val="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keepNext w:val="0"/>
                    <w:keepLines w:val="0"/>
                    <w:pageBreakBefore w:val="0"/>
                    <w:widowControl/>
                    <w:kinsoku/>
                    <w:wordWrap/>
                    <w:overflowPunct/>
                    <w:topLinePunct w:val="0"/>
                    <w:autoSpaceDE/>
                    <w:autoSpaceDN/>
                    <w:bidi w:val="0"/>
                    <w:adjustRightInd/>
                    <w:snapToGrid/>
                    <w:ind w:firstLine="420" w:firstLineChars="200"/>
                    <w:textAlignment w:val="auto"/>
                    <w:outlineLvl w:val="0"/>
                    <w:rPr>
                      <w:color w:val="auto"/>
                      <w:kern w:val="0"/>
                      <w:szCs w:val="21"/>
                      <w:lang w:val="zh-CN"/>
                    </w:rPr>
                  </w:pPr>
                  <w:r>
                    <w:rPr>
                      <w:rFonts w:hint="eastAsia"/>
                      <w:color w:val="auto"/>
                      <w:kern w:val="0"/>
                      <w:szCs w:val="21"/>
                      <w:lang w:val="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olor w:val="auto"/>
                      <w:sz w:val="21"/>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本项目不涉及。</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Merge w:val="continue"/>
                  <w:vAlign w:val="center"/>
                </w:tcPr>
                <w:p>
                  <w:pPr>
                    <w:pStyle w:val="21"/>
                    <w:spacing w:before="0" w:beforeAutospacing="0" w:after="0" w:afterAutospacing="0"/>
                    <w:jc w:val="center"/>
                    <w:outlineLvl w:val="0"/>
                    <w:rPr>
                      <w:rFonts w:ascii="Times New Roman" w:hAnsi="Times New Roman"/>
                      <w:snapToGrid w:val="0"/>
                      <w:color w:val="FF0000"/>
                      <w:sz w:val="21"/>
                      <w:szCs w:val="21"/>
                      <w:highlight w:val="yellow"/>
                      <w:lang w:val="en-US"/>
                    </w:rPr>
                  </w:pPr>
                </w:p>
              </w:tc>
              <w:tc>
                <w:tcPr>
                  <w:tcW w:w="824" w:type="dxa"/>
                  <w:vMerge w:val="continue"/>
                  <w:vAlign w:val="center"/>
                </w:tcPr>
                <w:p>
                  <w:pPr>
                    <w:pStyle w:val="21"/>
                    <w:spacing w:before="0" w:beforeAutospacing="0" w:after="0" w:afterAutospacing="0"/>
                    <w:jc w:val="both"/>
                    <w:outlineLvl w:val="0"/>
                    <w:rPr>
                      <w:rFonts w:ascii="Times New Roman" w:hAnsi="Times New Roman"/>
                      <w:snapToGrid w:val="0"/>
                      <w:color w:val="auto"/>
                      <w:sz w:val="21"/>
                      <w:szCs w:val="21"/>
                      <w:lang w:val="en-US"/>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eastAsia="宋体" w:cs="Times New Roman"/>
                      <w:snapToGrid w:val="0"/>
                      <w:color w:val="auto"/>
                      <w:kern w:val="0"/>
                      <w:sz w:val="21"/>
                      <w:szCs w:val="21"/>
                      <w:lang w:val="en-US" w:eastAsia="zh-CN" w:bidi="ar-SA"/>
                    </w:rPr>
                  </w:pPr>
                  <w:r>
                    <w:rPr>
                      <w:rFonts w:ascii="Times New Roman" w:hAnsi="Times New Roman"/>
                      <w:color w:val="auto"/>
                      <w:sz w:val="21"/>
                      <w:szCs w:val="21"/>
                    </w:rPr>
                    <w:t>2.</w:t>
                  </w:r>
                  <w:r>
                    <w:rPr>
                      <w:rFonts w:hint="eastAsia" w:ascii="Times New Roman" w:hAnsi="Times New Roman"/>
                      <w:color w:val="auto"/>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ascii="Times New Roman" w:hAnsi="Times New Roman"/>
                      <w:color w:val="auto"/>
                      <w:sz w:val="21"/>
                      <w:szCs w:val="21"/>
                    </w:rPr>
                    <w:t>VOCs</w:t>
                  </w:r>
                  <w:r>
                    <w:rPr>
                      <w:rFonts w:hint="eastAsia" w:ascii="Times New Roman" w:hAnsi="Times New Roman"/>
                      <w:color w:val="auto"/>
                      <w:sz w:val="21"/>
                      <w:szCs w:val="21"/>
                    </w:rPr>
                    <w:t>的项目，应从源头加强控制，使用低（无）</w:t>
                  </w:r>
                  <w:r>
                    <w:rPr>
                      <w:rFonts w:ascii="Times New Roman" w:hAnsi="Times New Roman"/>
                      <w:color w:val="auto"/>
                      <w:sz w:val="21"/>
                      <w:szCs w:val="21"/>
                    </w:rPr>
                    <w:t>VOCs</w:t>
                  </w:r>
                  <w:r>
                    <w:rPr>
                      <w:rFonts w:hint="eastAsia" w:ascii="Times New Roman" w:hAnsi="Times New Roman"/>
                      <w:color w:val="auto"/>
                      <w:sz w:val="21"/>
                      <w:szCs w:val="21"/>
                    </w:rPr>
                    <w:t>含量的原辅材料，配套安装高效收集、治理设施，其中新建涉</w:t>
                  </w:r>
                  <w:r>
                    <w:rPr>
                      <w:rFonts w:ascii="Times New Roman" w:hAnsi="Times New Roman"/>
                      <w:color w:val="auto"/>
                      <w:sz w:val="21"/>
                      <w:szCs w:val="21"/>
                    </w:rPr>
                    <w:t>VOCs</w:t>
                  </w:r>
                  <w:r>
                    <w:rPr>
                      <w:rFonts w:hint="eastAsia" w:ascii="Times New Roman" w:hAnsi="Times New Roman"/>
                      <w:color w:val="auto"/>
                      <w:sz w:val="21"/>
                      <w:szCs w:val="21"/>
                    </w:rPr>
                    <w:t>排放的工业企业要入园区，实行区域内</w:t>
                  </w:r>
                  <w:r>
                    <w:rPr>
                      <w:rFonts w:ascii="Times New Roman" w:hAnsi="Times New Roman"/>
                      <w:color w:val="auto"/>
                      <w:sz w:val="21"/>
                      <w:szCs w:val="21"/>
                    </w:rPr>
                    <w:t>VOCs</w:t>
                  </w:r>
                  <w:r>
                    <w:rPr>
                      <w:rFonts w:hint="eastAsia" w:ascii="Times New Roman" w:hAnsi="Times New Roman"/>
                      <w:color w:val="auto"/>
                      <w:sz w:val="21"/>
                      <w:szCs w:val="21"/>
                    </w:rPr>
                    <w:t>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ascii="Times New Roman" w:hAnsi="Times New Roman"/>
                      <w:snapToGrid w:val="0"/>
                      <w:color w:val="auto"/>
                      <w:sz w:val="21"/>
                      <w:szCs w:val="21"/>
                      <w:lang w:val="en-US"/>
                    </w:rPr>
                    <w:t>，</w:t>
                  </w:r>
                  <w:r>
                    <w:rPr>
                      <w:rFonts w:hint="eastAsia" w:ascii="Times New Roman" w:hAnsi="Times New Roman"/>
                      <w:snapToGrid w:val="0"/>
                      <w:color w:val="auto"/>
                      <w:sz w:val="21"/>
                      <w:szCs w:val="21"/>
                      <w:lang w:val="en-US" w:eastAsia="zh-CN"/>
                    </w:rPr>
                    <w:t>销售的柴油为车用柴油，不销售普通柴油；不</w:t>
                  </w:r>
                  <w:r>
                    <w:rPr>
                      <w:rFonts w:hint="eastAsia" w:ascii="Times New Roman" w:hAnsi="Times New Roman"/>
                      <w:color w:val="auto"/>
                      <w:sz w:val="21"/>
                      <w:szCs w:val="21"/>
                    </w:rPr>
                    <w:t>销售渣油、重油和不符合规定的燃用油。</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Merge w:val="continue"/>
                  <w:vAlign w:val="center"/>
                </w:tcPr>
                <w:p>
                  <w:pPr>
                    <w:pStyle w:val="21"/>
                    <w:spacing w:before="0" w:beforeAutospacing="0" w:after="0" w:afterAutospacing="0"/>
                    <w:jc w:val="center"/>
                    <w:outlineLvl w:val="0"/>
                    <w:rPr>
                      <w:rFonts w:ascii="Times New Roman" w:hAnsi="Times New Roman"/>
                      <w:snapToGrid w:val="0"/>
                      <w:color w:val="FF0000"/>
                      <w:sz w:val="21"/>
                      <w:szCs w:val="21"/>
                      <w:highlight w:val="yellow"/>
                      <w:lang w:val="en-US"/>
                    </w:rPr>
                  </w:pPr>
                </w:p>
              </w:tc>
              <w:tc>
                <w:tcPr>
                  <w:tcW w:w="824" w:type="dxa"/>
                  <w:vMerge w:val="continue"/>
                  <w:vAlign w:val="center"/>
                </w:tcPr>
                <w:p>
                  <w:pPr>
                    <w:pStyle w:val="21"/>
                    <w:spacing w:before="0" w:beforeAutospacing="0" w:after="0" w:afterAutospacing="0"/>
                    <w:jc w:val="both"/>
                    <w:outlineLvl w:val="0"/>
                    <w:rPr>
                      <w:rFonts w:ascii="Times New Roman" w:hAnsi="Times New Roman"/>
                      <w:snapToGrid w:val="0"/>
                      <w:color w:val="auto"/>
                      <w:sz w:val="21"/>
                      <w:szCs w:val="21"/>
                      <w:lang w:val="en-US"/>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eastAsia="宋体" w:cs="Times New Roman"/>
                      <w:snapToGrid w:val="0"/>
                      <w:color w:val="auto"/>
                      <w:kern w:val="0"/>
                      <w:sz w:val="21"/>
                      <w:szCs w:val="21"/>
                      <w:lang w:val="en-US" w:eastAsia="zh-CN" w:bidi="ar-SA"/>
                    </w:rPr>
                  </w:pPr>
                  <w:r>
                    <w:rPr>
                      <w:rFonts w:ascii="Times New Roman" w:hAnsi="Times New Roman"/>
                      <w:color w:val="auto"/>
                      <w:sz w:val="21"/>
                      <w:szCs w:val="21"/>
                    </w:rPr>
                    <w:t>3.</w:t>
                  </w:r>
                  <w:r>
                    <w:rPr>
                      <w:rFonts w:hint="eastAsia" w:ascii="Times New Roman" w:hAnsi="Times New Roman"/>
                      <w:color w:val="auto"/>
                      <w:sz w:val="21"/>
                      <w:szCs w:val="21"/>
                    </w:rPr>
                    <w:t>严格控制新建、扩建钢铁冶炼、水泥、有色金属冶炼、平板玻璃、化工、建筑陶瓷、耐火材料、砖瓦、矿山开采等行业的高排放、高污染项目，促进传统煤化工、水泥行业绿色转型、智能升级。</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本项目不属于“两高”项目。</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Merge w:val="restart"/>
                  <w:vAlign w:val="center"/>
                </w:tcPr>
                <w:p>
                  <w:pPr>
                    <w:pStyle w:val="21"/>
                    <w:spacing w:before="0" w:beforeAutospacing="0" w:after="0" w:afterAutospacing="0"/>
                    <w:jc w:val="center"/>
                    <w:outlineLvl w:val="0"/>
                    <w:rPr>
                      <w:rFonts w:ascii="Times New Roman" w:hAnsi="Times New Roman"/>
                      <w:snapToGrid w:val="0"/>
                      <w:color w:val="FF0000"/>
                      <w:sz w:val="21"/>
                      <w:szCs w:val="21"/>
                      <w:lang w:val="en-US"/>
                    </w:rPr>
                  </w:pPr>
                </w:p>
              </w:tc>
              <w:tc>
                <w:tcPr>
                  <w:tcW w:w="824" w:type="dxa"/>
                  <w:vMerge w:val="restart"/>
                  <w:vAlign w:val="center"/>
                </w:tcPr>
                <w:p>
                  <w:pPr>
                    <w:pStyle w:val="21"/>
                    <w:jc w:val="center"/>
                    <w:outlineLvl w:val="0"/>
                    <w:rPr>
                      <w:rFonts w:ascii="Times New Roman" w:hAnsi="Times New Roman"/>
                      <w:snapToGrid w:val="0"/>
                      <w:color w:val="auto"/>
                      <w:sz w:val="21"/>
                      <w:szCs w:val="21"/>
                      <w:lang w:val="en-US"/>
                    </w:rPr>
                  </w:pPr>
                  <w:r>
                    <w:rPr>
                      <w:rFonts w:hint="eastAsia"/>
                      <w:bCs/>
                      <w:color w:val="auto"/>
                      <w:sz w:val="21"/>
                      <w:szCs w:val="21"/>
                    </w:rPr>
                    <w:t>污染物排放管控</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eastAsia="宋体" w:cs="Times New Roman"/>
                      <w:snapToGrid w:val="0"/>
                      <w:color w:val="auto"/>
                      <w:kern w:val="0"/>
                      <w:sz w:val="21"/>
                      <w:szCs w:val="21"/>
                      <w:lang w:val="en-US" w:eastAsia="zh-CN" w:bidi="ar-SA"/>
                    </w:rPr>
                  </w:pPr>
                  <w:r>
                    <w:rPr>
                      <w:rFonts w:ascii="Times New Roman" w:hAnsi="Times New Roman"/>
                      <w:color w:val="auto"/>
                      <w:sz w:val="21"/>
                      <w:szCs w:val="21"/>
                    </w:rPr>
                    <w:t>1.</w:t>
                  </w:r>
                  <w:r>
                    <w:rPr>
                      <w:rFonts w:hint="eastAsia" w:ascii="Times New Roman" w:hAnsi="Times New Roman"/>
                      <w:color w:val="auto"/>
                      <w:sz w:val="21"/>
                      <w:szCs w:val="21"/>
                    </w:rPr>
                    <w:t>新、改、扩建项目主要污染物排放要求满足当地总量减排要求；</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color w:val="auto"/>
                      <w:sz w:val="21"/>
                      <w:szCs w:val="21"/>
                    </w:rPr>
                    <w:t>本项目为</w:t>
                  </w:r>
                  <w:r>
                    <w:rPr>
                      <w:rFonts w:hint="eastAsia" w:ascii="Times New Roman" w:hAnsi="Times New Roman"/>
                      <w:color w:val="auto"/>
                      <w:sz w:val="21"/>
                      <w:szCs w:val="21"/>
                      <w:lang w:val="en-US" w:eastAsia="zh-CN"/>
                    </w:rPr>
                    <w:t>扩建</w:t>
                  </w:r>
                  <w:r>
                    <w:rPr>
                      <w:rFonts w:hint="eastAsia" w:ascii="Times New Roman" w:hAnsi="Times New Roman"/>
                      <w:color w:val="auto"/>
                      <w:sz w:val="21"/>
                      <w:szCs w:val="21"/>
                    </w:rPr>
                    <w:t>项目，</w:t>
                  </w:r>
                  <w:r>
                    <w:rPr>
                      <w:rFonts w:ascii="Times New Roman" w:hAnsi="Times New Roman"/>
                      <w:snapToGrid w:val="0"/>
                      <w:color w:val="auto"/>
                      <w:sz w:val="21"/>
                      <w:szCs w:val="21"/>
                    </w:rPr>
                    <w:t>新增总量污染物为</w:t>
                  </w:r>
                  <w:r>
                    <w:rPr>
                      <w:rFonts w:ascii="Times New Roman" w:hAnsi="Times New Roman"/>
                      <w:color w:val="auto"/>
                      <w:sz w:val="21"/>
                      <w:szCs w:val="21"/>
                    </w:rPr>
                    <w:t>VOCs</w:t>
                  </w:r>
                  <w:r>
                    <w:rPr>
                      <w:rFonts w:ascii="Times New Roman" w:hAnsi="Times New Roman"/>
                      <w:snapToGrid w:val="0"/>
                      <w:color w:val="auto"/>
                      <w:sz w:val="21"/>
                      <w:szCs w:val="21"/>
                    </w:rPr>
                    <w:t>，污染物总量将根据要求从区域总量内进行双倍替代。</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Merge w:val="continue"/>
                  <w:vAlign w:val="center"/>
                </w:tcPr>
                <w:p>
                  <w:pPr>
                    <w:pStyle w:val="21"/>
                    <w:spacing w:before="0" w:beforeAutospacing="0" w:after="0" w:afterAutospacing="0"/>
                    <w:jc w:val="center"/>
                    <w:outlineLvl w:val="0"/>
                    <w:rPr>
                      <w:rFonts w:ascii="Times New Roman" w:hAnsi="Times New Roman"/>
                      <w:snapToGrid w:val="0"/>
                      <w:color w:val="FF0000"/>
                      <w:sz w:val="21"/>
                      <w:szCs w:val="21"/>
                      <w:lang w:val="en-US"/>
                    </w:rPr>
                  </w:pPr>
                </w:p>
              </w:tc>
              <w:tc>
                <w:tcPr>
                  <w:tcW w:w="824" w:type="dxa"/>
                  <w:vMerge w:val="continue"/>
                  <w:vAlign w:val="center"/>
                </w:tcPr>
                <w:p>
                  <w:pPr>
                    <w:pStyle w:val="21"/>
                    <w:jc w:val="both"/>
                    <w:outlineLvl w:val="0"/>
                    <w:rPr>
                      <w:rFonts w:ascii="Times New Roman" w:hAnsi="Times New Roman"/>
                      <w:snapToGrid w:val="0"/>
                      <w:color w:val="auto"/>
                      <w:sz w:val="21"/>
                      <w:szCs w:val="21"/>
                      <w:lang w:val="en-US"/>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eastAsia="宋体" w:cs="Times New Roman"/>
                      <w:snapToGrid w:val="0"/>
                      <w:color w:val="auto"/>
                      <w:kern w:val="0"/>
                      <w:sz w:val="21"/>
                      <w:szCs w:val="21"/>
                      <w:lang w:val="en-US" w:eastAsia="zh-CN" w:bidi="ar-SA"/>
                    </w:rPr>
                  </w:pPr>
                  <w:r>
                    <w:rPr>
                      <w:rFonts w:ascii="Times New Roman" w:hAnsi="Times New Roman"/>
                      <w:color w:val="auto"/>
                      <w:sz w:val="21"/>
                      <w:szCs w:val="21"/>
                    </w:rPr>
                    <w:t>2.</w:t>
                  </w:r>
                  <w:r>
                    <w:rPr>
                      <w:rFonts w:hint="eastAsia" w:ascii="Times New Roman" w:hAnsi="Times New Roman"/>
                      <w:color w:val="auto"/>
                      <w:sz w:val="21"/>
                      <w:szCs w:val="21"/>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本项目不产生重金属污染物。</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9" w:type="dxa"/>
                  <w:gridSpan w:val="3"/>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Align w:val="center"/>
                </w:tcPr>
                <w:p>
                  <w:pPr>
                    <w:pStyle w:val="21"/>
                    <w:jc w:val="center"/>
                    <w:outlineLvl w:val="0"/>
                    <w:rPr>
                      <w:rFonts w:ascii="Times New Roman" w:hAnsi="Times New Roman"/>
                      <w:snapToGrid w:val="0"/>
                      <w:color w:val="auto"/>
                      <w:sz w:val="21"/>
                      <w:szCs w:val="21"/>
                      <w:lang w:val="en-US"/>
                    </w:rPr>
                  </w:pPr>
                  <w:r>
                    <w:rPr>
                      <w:rFonts w:hint="eastAsia"/>
                      <w:bCs/>
                      <w:color w:val="auto"/>
                      <w:sz w:val="21"/>
                      <w:szCs w:val="21"/>
                    </w:rPr>
                    <w:t>资源开发效率要求</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ind w:firstLine="420" w:firstLineChars="200"/>
                    <w:jc w:val="both"/>
                    <w:textAlignment w:val="auto"/>
                    <w:outlineLvl w:val="0"/>
                    <w:rPr>
                      <w:rFonts w:ascii="Times New Roman" w:hAnsi="Times New Roman" w:eastAsia="宋体" w:cs="Times New Roman"/>
                      <w:snapToGrid w:val="0"/>
                      <w:color w:val="auto"/>
                      <w:kern w:val="0"/>
                      <w:sz w:val="21"/>
                      <w:szCs w:val="21"/>
                      <w:lang w:val="en-US" w:eastAsia="zh-CN" w:bidi="ar-SA"/>
                    </w:rPr>
                  </w:pPr>
                  <w:r>
                    <w:rPr>
                      <w:rFonts w:ascii="Times New Roman" w:hAnsi="Times New Roman"/>
                      <w:color w:val="auto"/>
                      <w:sz w:val="21"/>
                      <w:szCs w:val="21"/>
                    </w:rPr>
                    <w:t>1.</w:t>
                  </w:r>
                  <w:r>
                    <w:rPr>
                      <w:rFonts w:hint="eastAsia" w:ascii="Times New Roman" w:hAnsi="Times New Roman"/>
                      <w:color w:val="auto"/>
                      <w:sz w:val="21"/>
                      <w:szCs w:val="21"/>
                    </w:rPr>
                    <w:t>开展高耗水工业行业节水技术改造，大力推广工业水循环利用，推进节水型企业、节水型工业园区建设。</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ascii="Times New Roman" w:hAnsi="Times New Roman"/>
                      <w:snapToGrid w:val="0"/>
                      <w:color w:val="auto"/>
                      <w:sz w:val="21"/>
                      <w:szCs w:val="21"/>
                      <w:lang w:val="en-US"/>
                    </w:rPr>
                    <w:t>，不属于高耗水工业行业。</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restart"/>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新乡县城镇重点单元</w:t>
                  </w:r>
                </w:p>
              </w:tc>
              <w:tc>
                <w:tcPr>
                  <w:tcW w:w="762" w:type="dxa"/>
                  <w:vMerge w:val="restart"/>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重点管控单元3</w:t>
                  </w:r>
                </w:p>
              </w:tc>
              <w:tc>
                <w:tcPr>
                  <w:tcW w:w="824" w:type="dxa"/>
                  <w:vMerge w:val="restart"/>
                  <w:vAlign w:val="center"/>
                </w:tcPr>
                <w:p>
                  <w:pPr>
                    <w:autoSpaceDE w:val="0"/>
                    <w:autoSpaceDN w:val="0"/>
                    <w:adjustRightInd w:val="0"/>
                    <w:jc w:val="center"/>
                    <w:rPr>
                      <w:color w:val="auto"/>
                      <w:szCs w:val="21"/>
                    </w:rPr>
                  </w:pPr>
                  <w:r>
                    <w:rPr>
                      <w:rFonts w:hint="eastAsia"/>
                      <w:color w:val="auto"/>
                      <w:szCs w:val="21"/>
                    </w:rPr>
                    <w:t>空间布局约束</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snapToGrid w:val="0"/>
                      <w:color w:val="auto"/>
                      <w:sz w:val="21"/>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建项目，不产生恶臭气体。</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continue"/>
                  <w:vAlign w:val="center"/>
                </w:tcPr>
                <w:p>
                  <w:pPr>
                    <w:autoSpaceDE w:val="0"/>
                    <w:autoSpaceDN w:val="0"/>
                    <w:adjustRightInd w:val="0"/>
                    <w:jc w:val="center"/>
                    <w:rPr>
                      <w:color w:val="auto"/>
                      <w:szCs w:val="21"/>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2、禁止新建、改建及扩建高排放、高污染项目，包括钢铁、有色、水泥、平板玻璃、建筑陶瓷等行业及其他排放重金属、持久性有机污染物的工业项目等。</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ascii="Times New Roman" w:hAnsi="Times New Roman"/>
                      <w:color w:val="auto"/>
                      <w:sz w:val="21"/>
                      <w:szCs w:val="21"/>
                      <w:lang w:val="en-US"/>
                    </w:rPr>
                    <w:t>，不属于高排放、高污染项目，不属于钢铁、有色、水泥、平板玻璃、建筑陶瓷等行业及其他排放重金属、持久性有机污染物的工业项目。</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continue"/>
                  <w:vAlign w:val="center"/>
                </w:tcPr>
                <w:p>
                  <w:pPr>
                    <w:autoSpaceDE w:val="0"/>
                    <w:autoSpaceDN w:val="0"/>
                    <w:adjustRightInd w:val="0"/>
                    <w:jc w:val="center"/>
                    <w:rPr>
                      <w:color w:val="auto"/>
                      <w:szCs w:val="21"/>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3、对列入疑似污染地块名单的地块，未经土壤污染状况调查确定为未污染地块的，不得进入用地程序，自然资源部门不得核发建设工程规划许可证。</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rPr>
                    <w:t>本项目位于</w:t>
                  </w:r>
                  <w:r>
                    <w:rPr>
                      <w:rFonts w:hint="eastAsia" w:ascii="Times New Roman" w:hAnsi="Times New Roman"/>
                      <w:color w:val="auto"/>
                      <w:sz w:val="21"/>
                      <w:szCs w:val="21"/>
                      <w:lang w:eastAsia="zh-CN"/>
                    </w:rPr>
                    <w:t>新乡市新乡县七里营镇政府北300m</w:t>
                  </w:r>
                  <w:r>
                    <w:rPr>
                      <w:rFonts w:hint="eastAsia" w:ascii="Times New Roman" w:hAnsi="Times New Roman"/>
                      <w:color w:val="auto"/>
                      <w:sz w:val="21"/>
                      <w:szCs w:val="21"/>
                    </w:rPr>
                    <w:t>，</w:t>
                  </w:r>
                  <w:r>
                    <w:rPr>
                      <w:rFonts w:hint="eastAsia" w:ascii="Times New Roman" w:hAnsi="Times New Roman"/>
                      <w:color w:val="auto"/>
                      <w:sz w:val="21"/>
                      <w:szCs w:val="21"/>
                      <w:lang w:eastAsia="zh-CN"/>
                    </w:rPr>
                    <w:t>用地未被列入</w:t>
                  </w:r>
                  <w:r>
                    <w:rPr>
                      <w:rFonts w:hint="eastAsia" w:ascii="Times New Roman" w:hAnsi="Times New Roman"/>
                      <w:color w:val="auto"/>
                      <w:sz w:val="21"/>
                      <w:szCs w:val="21"/>
                      <w:lang w:val="en-US"/>
                    </w:rPr>
                    <w:t>疑似污染地块名单</w:t>
                  </w:r>
                  <w:r>
                    <w:rPr>
                      <w:rFonts w:hint="eastAsia" w:ascii="Times New Roman" w:hAnsi="Times New Roman"/>
                      <w:color w:val="auto"/>
                      <w:sz w:val="21"/>
                      <w:szCs w:val="21"/>
                    </w:rPr>
                    <w:t>。</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continue"/>
                  <w:vAlign w:val="center"/>
                </w:tcPr>
                <w:p>
                  <w:pPr>
                    <w:autoSpaceDE w:val="0"/>
                    <w:autoSpaceDN w:val="0"/>
                    <w:adjustRightInd w:val="0"/>
                    <w:jc w:val="center"/>
                    <w:rPr>
                      <w:color w:val="auto"/>
                      <w:szCs w:val="21"/>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4、禁止新、改、扩建“两高”项目。</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本项目不属于“两高”项目。</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restart"/>
                  <w:vAlign w:val="center"/>
                </w:tcPr>
                <w:p>
                  <w:pPr>
                    <w:autoSpaceDE w:val="0"/>
                    <w:autoSpaceDN w:val="0"/>
                    <w:adjustRightInd w:val="0"/>
                    <w:jc w:val="center"/>
                    <w:rPr>
                      <w:color w:val="auto"/>
                      <w:szCs w:val="21"/>
                    </w:rPr>
                  </w:pPr>
                  <w:r>
                    <w:rPr>
                      <w:rFonts w:hint="eastAsia"/>
                      <w:color w:val="auto"/>
                      <w:szCs w:val="21"/>
                    </w:rPr>
                    <w:t>污染物排放管控</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1、二氧化硫、氮氧化物、颗粒物、VOCs全面执行大气污染物特别排放限值。</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本项目废气污染物为非甲烷总烃，将按要求全面执行大气污染物特别排放限值。</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continue"/>
                  <w:vAlign w:val="center"/>
                </w:tcPr>
                <w:p>
                  <w:pPr>
                    <w:autoSpaceDE w:val="0"/>
                    <w:autoSpaceDN w:val="0"/>
                    <w:adjustRightInd w:val="0"/>
                    <w:jc w:val="center"/>
                    <w:rPr>
                      <w:color w:val="auto"/>
                      <w:szCs w:val="21"/>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2、加强柴油车NOx排放监管，严格实施非道路移动机械排放标准，推进重点场所清洁能源机械替代。</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本项目不涉及。</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Merge w:val="continue"/>
                  <w:vAlign w:val="center"/>
                </w:tcPr>
                <w:p>
                  <w:pPr>
                    <w:autoSpaceDE w:val="0"/>
                    <w:autoSpaceDN w:val="0"/>
                    <w:adjustRightInd w:val="0"/>
                    <w:jc w:val="center"/>
                    <w:rPr>
                      <w:color w:val="auto"/>
                      <w:szCs w:val="21"/>
                    </w:rPr>
                  </w:pP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3、禁止含重金属废水进入城市生活污水处理厂。</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snapToGrid w:val="0"/>
                      <w:color w:val="auto"/>
                      <w:sz w:val="21"/>
                      <w:szCs w:val="21"/>
                      <w:lang w:val="en-US"/>
                    </w:rPr>
                    <w:t>本项目</w:t>
                  </w:r>
                  <w:r>
                    <w:rPr>
                      <w:rFonts w:hint="eastAsia" w:ascii="Times New Roman" w:hAnsi="Times New Roman"/>
                      <w:snapToGrid w:val="0"/>
                      <w:color w:val="auto"/>
                      <w:sz w:val="21"/>
                      <w:szCs w:val="21"/>
                      <w:lang w:val="en-US" w:eastAsia="zh-CN"/>
                    </w:rPr>
                    <w:t>不涉及</w:t>
                  </w:r>
                  <w:r>
                    <w:rPr>
                      <w:rFonts w:hint="eastAsia" w:ascii="Times New Roman" w:hAnsi="Times New Roman"/>
                      <w:snapToGrid w:val="0"/>
                      <w:color w:val="auto"/>
                      <w:sz w:val="21"/>
                      <w:szCs w:val="21"/>
                      <w:lang w:val="en-US"/>
                    </w:rPr>
                    <w:t>重金属</w:t>
                  </w:r>
                  <w:r>
                    <w:rPr>
                      <w:rFonts w:hint="eastAsia" w:ascii="Times New Roman" w:hAnsi="Times New Roman"/>
                      <w:snapToGrid w:val="0"/>
                      <w:color w:val="auto"/>
                      <w:sz w:val="21"/>
                      <w:szCs w:val="21"/>
                      <w:lang w:val="en-US" w:eastAsia="zh-CN"/>
                    </w:rPr>
                    <w:t>废水</w:t>
                  </w:r>
                  <w:r>
                    <w:rPr>
                      <w:rFonts w:hint="eastAsia" w:ascii="Times New Roman" w:hAnsi="Times New Roman"/>
                      <w:snapToGrid w:val="0"/>
                      <w:color w:val="auto"/>
                      <w:sz w:val="21"/>
                      <w:szCs w:val="21"/>
                      <w:lang w:val="en-US"/>
                    </w:rPr>
                    <w:t>。</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Align w:val="center"/>
                </w:tcPr>
                <w:p>
                  <w:pPr>
                    <w:autoSpaceDE w:val="0"/>
                    <w:autoSpaceDN w:val="0"/>
                    <w:adjustRightInd w:val="0"/>
                    <w:jc w:val="center"/>
                    <w:rPr>
                      <w:color w:val="auto"/>
                      <w:szCs w:val="21"/>
                    </w:rPr>
                  </w:pPr>
                  <w:r>
                    <w:rPr>
                      <w:rFonts w:hint="eastAsia"/>
                      <w:color w:val="auto"/>
                      <w:szCs w:val="21"/>
                    </w:rPr>
                    <w:t>环境风险防控</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高关注地块划分污染风险等级，纳入优先管控名录。</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bCs/>
                      <w:color w:val="auto"/>
                      <w:sz w:val="21"/>
                      <w:szCs w:val="21"/>
                    </w:rPr>
                    <w:t>本项目选址不属于高关注地块。</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7" w:type="dxa"/>
                  <w:gridSpan w:val="2"/>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762" w:type="dxa"/>
                  <w:vMerge w:val="continue"/>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p>
              </w:tc>
              <w:tc>
                <w:tcPr>
                  <w:tcW w:w="824" w:type="dxa"/>
                  <w:vAlign w:val="center"/>
                </w:tcPr>
                <w:p>
                  <w:pPr>
                    <w:autoSpaceDE w:val="0"/>
                    <w:autoSpaceDN w:val="0"/>
                    <w:adjustRightInd w:val="0"/>
                    <w:jc w:val="center"/>
                    <w:rPr>
                      <w:color w:val="auto"/>
                      <w:szCs w:val="21"/>
                    </w:rPr>
                  </w:pPr>
                  <w:r>
                    <w:rPr>
                      <w:rFonts w:hint="eastAsia"/>
                      <w:color w:val="auto"/>
                      <w:szCs w:val="21"/>
                    </w:rPr>
                    <w:t>资源利用效率要求</w:t>
                  </w:r>
                </w:p>
              </w:tc>
              <w:tc>
                <w:tcPr>
                  <w:tcW w:w="5981"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进一步优化能源结构，加快集中供热、供气及配套管网建设。不得新改扩建分散燃煤设施。</w:t>
                  </w:r>
                </w:p>
              </w:tc>
              <w:tc>
                <w:tcPr>
                  <w:tcW w:w="3973" w:type="dxa"/>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left"/>
                    <w:textAlignment w:val="auto"/>
                    <w:outlineLvl w:val="0"/>
                    <w:rPr>
                      <w:rFonts w:ascii="Times New Roman" w:hAnsi="Times New Roman"/>
                      <w:color w:val="auto"/>
                      <w:sz w:val="21"/>
                      <w:szCs w:val="21"/>
                      <w:lang w:val="en-US"/>
                    </w:rPr>
                  </w:pPr>
                  <w:r>
                    <w:rPr>
                      <w:rFonts w:hint="eastAsia" w:ascii="Times New Roman" w:hAnsi="Times New Roman"/>
                      <w:color w:val="auto"/>
                      <w:sz w:val="21"/>
                      <w:szCs w:val="21"/>
                      <w:lang w:val="en-US"/>
                    </w:rPr>
                    <w:t>本项目不涉及。</w:t>
                  </w:r>
                </w:p>
              </w:tc>
              <w:tc>
                <w:tcPr>
                  <w:tcW w:w="539" w:type="dxa"/>
                  <w:vAlign w:val="center"/>
                </w:tcPr>
                <w:p>
                  <w:pPr>
                    <w:pStyle w:val="21"/>
                    <w:spacing w:before="0" w:beforeAutospacing="0" w:after="0" w:afterAutospacing="0"/>
                    <w:jc w:val="center"/>
                    <w:outlineLvl w:val="0"/>
                    <w:rPr>
                      <w:rFonts w:ascii="Times New Roman" w:hAnsi="Times New Roman"/>
                      <w:snapToGrid w:val="0"/>
                      <w:color w:val="auto"/>
                      <w:sz w:val="21"/>
                      <w:szCs w:val="21"/>
                      <w:lang w:val="en-US"/>
                    </w:rPr>
                  </w:pPr>
                  <w:r>
                    <w:rPr>
                      <w:rFonts w:hint="eastAsia" w:ascii="Times New Roman" w:hAnsi="Times New Roman"/>
                      <w:snapToGrid w:val="0"/>
                      <w:color w:val="auto"/>
                      <w:sz w:val="21"/>
                      <w:szCs w:val="21"/>
                      <w:lang w:val="en-US"/>
                    </w:rPr>
                    <w:t>符合</w:t>
                  </w:r>
                </w:p>
              </w:tc>
            </w:tr>
          </w:tbl>
          <w:p>
            <w:pPr>
              <w:autoSpaceDE w:val="0"/>
              <w:autoSpaceDN w:val="0"/>
              <w:adjustRightInd w:val="0"/>
              <w:snapToGrid w:val="0"/>
              <w:spacing w:line="460" w:lineRule="exact"/>
              <w:ind w:firstLine="480" w:firstLineChars="200"/>
              <w:rPr>
                <w:color w:val="auto"/>
                <w:sz w:val="24"/>
              </w:rPr>
            </w:pPr>
            <w:r>
              <w:rPr>
                <w:color w:val="auto"/>
                <w:sz w:val="24"/>
              </w:rPr>
              <w:t>由上表可知，本项目符合《</w:t>
            </w:r>
            <w:r>
              <w:rPr>
                <w:rFonts w:hint="eastAsia"/>
                <w:color w:val="auto"/>
                <w:sz w:val="24"/>
              </w:rPr>
              <w:t>新乡市“三线一单”生态环境准入清单（试行）-新乡县环境管控单元生态环境准入清单</w:t>
            </w:r>
            <w:r>
              <w:rPr>
                <w:color w:val="auto"/>
                <w:sz w:val="24"/>
              </w:rPr>
              <w:t>》中的相关要求。</w:t>
            </w:r>
          </w:p>
          <w:p>
            <w:pPr>
              <w:autoSpaceDE w:val="0"/>
              <w:autoSpaceDN w:val="0"/>
              <w:adjustRightInd w:val="0"/>
              <w:snapToGrid w:val="0"/>
              <w:spacing w:line="460" w:lineRule="exact"/>
              <w:ind w:firstLine="482" w:firstLineChars="200"/>
              <w:rPr>
                <w:b/>
                <w:color w:val="auto"/>
                <w:sz w:val="24"/>
              </w:rPr>
            </w:pPr>
            <w:r>
              <w:rPr>
                <w:b/>
                <w:color w:val="auto"/>
                <w:sz w:val="24"/>
              </w:rPr>
              <w:t>5、与其他相关政策文件相符性分析</w:t>
            </w:r>
          </w:p>
          <w:p>
            <w:pPr>
              <w:pStyle w:val="21"/>
              <w:adjustRightInd w:val="0"/>
              <w:snapToGrid w:val="0"/>
              <w:spacing w:before="0" w:beforeAutospacing="0" w:after="0" w:afterAutospacing="0" w:line="460" w:lineRule="exact"/>
              <w:ind w:firstLine="480" w:firstLineChars="200"/>
              <w:jc w:val="both"/>
              <w:outlineLvl w:val="0"/>
              <w:rPr>
                <w:rFonts w:ascii="Times New Roman" w:hAnsi="Times New Roman"/>
                <w:color w:val="auto"/>
                <w:lang w:val="en-US"/>
              </w:rPr>
            </w:pPr>
            <w:r>
              <w:rPr>
                <w:rFonts w:hint="eastAsia" w:ascii="Times New Roman" w:hAnsi="Times New Roman"/>
                <w:color w:val="auto"/>
                <w:lang w:val="en-US"/>
              </w:rPr>
              <w:t>（1）</w:t>
            </w:r>
            <w:r>
              <w:rPr>
                <w:rFonts w:ascii="Times New Roman" w:hAnsi="Times New Roman"/>
                <w:color w:val="auto"/>
                <w:lang w:val="en-US"/>
              </w:rPr>
              <w:t>本项目</w:t>
            </w:r>
            <w:r>
              <w:rPr>
                <w:rFonts w:hint="eastAsia" w:ascii="Times New Roman" w:hAnsi="Times New Roman"/>
                <w:color w:val="auto"/>
                <w:lang w:val="en-US"/>
              </w:rPr>
              <w:t>与</w:t>
            </w:r>
            <w:r>
              <w:rPr>
                <w:rFonts w:ascii="Times New Roman" w:hAnsi="Times New Roman"/>
                <w:color w:val="auto"/>
                <w:lang w:val="en-US"/>
              </w:rPr>
              <w:t>《</w:t>
            </w:r>
            <w:r>
              <w:rPr>
                <w:rFonts w:hint="eastAsia" w:ascii="Times New Roman" w:hAnsi="Times New Roman"/>
                <w:color w:val="auto"/>
              </w:rPr>
              <w:t>河南省生态环境保护委员会办公室关于印发河南省</w:t>
            </w:r>
            <w:r>
              <w:rPr>
                <w:rFonts w:ascii="Times New Roman" w:hAnsi="Times New Roman"/>
                <w:color w:val="auto"/>
              </w:rPr>
              <w:t>2022</w:t>
            </w:r>
            <w:r>
              <w:rPr>
                <w:rFonts w:hint="eastAsia" w:ascii="Times New Roman" w:hAnsi="Times New Roman"/>
                <w:color w:val="auto"/>
              </w:rPr>
              <w:t>年大气、水、土壤污染防治攻坚战及农业农村污染治理攻坚战实施方案的通知</w:t>
            </w:r>
            <w:r>
              <w:rPr>
                <w:rFonts w:ascii="Times New Roman" w:hAnsi="Times New Roman"/>
                <w:color w:val="auto"/>
                <w:lang w:val="en-US"/>
              </w:rPr>
              <w:t>》（</w:t>
            </w:r>
            <w:r>
              <w:rPr>
                <w:rFonts w:hint="eastAsia" w:ascii="Times New Roman" w:hAnsi="Times New Roman"/>
                <w:color w:val="auto"/>
              </w:rPr>
              <w:t>豫环委办</w:t>
            </w:r>
            <w:r>
              <w:rPr>
                <w:rFonts w:ascii="Times New Roman" w:hAnsi="Times New Roman"/>
                <w:color w:val="auto"/>
                <w:lang w:val="en-US"/>
              </w:rPr>
              <w:t>〔2022〕</w:t>
            </w:r>
            <w:r>
              <w:rPr>
                <w:rFonts w:ascii="Times New Roman" w:hAnsi="Times New Roman"/>
                <w:color w:val="auto"/>
              </w:rPr>
              <w:t>9</w:t>
            </w:r>
            <w:r>
              <w:rPr>
                <w:rFonts w:hint="eastAsia" w:ascii="Times New Roman" w:hAnsi="Times New Roman"/>
                <w:color w:val="auto"/>
              </w:rPr>
              <w:t>号</w:t>
            </w:r>
            <w:r>
              <w:rPr>
                <w:rFonts w:ascii="Times New Roman" w:hAnsi="Times New Roman"/>
                <w:color w:val="auto"/>
                <w:lang w:val="en-US"/>
              </w:rPr>
              <w:t>）</w:t>
            </w:r>
            <w:r>
              <w:rPr>
                <w:rFonts w:hint="eastAsia" w:ascii="Times New Roman" w:hAnsi="Times New Roman"/>
                <w:color w:val="auto"/>
                <w:lang w:val="en-US"/>
              </w:rPr>
              <w:t>（以下简称《攻坚战实施方案》）对比分析</w:t>
            </w:r>
          </w:p>
          <w:p>
            <w:pPr>
              <w:pStyle w:val="9"/>
              <w:bidi w:val="0"/>
            </w:pPr>
            <w:r>
              <w:t>与《攻坚战实施方案》对比表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9"/>
              <w:gridCol w:w="8068"/>
              <w:gridCol w:w="4178"/>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27" w:type="dxa"/>
                  <w:gridSpan w:val="2"/>
                  <w:vAlign w:val="center"/>
                </w:tcPr>
                <w:p>
                  <w:pPr>
                    <w:adjustRightInd w:val="0"/>
                    <w:snapToGrid w:val="0"/>
                    <w:jc w:val="center"/>
                    <w:textAlignment w:val="baseline"/>
                    <w:outlineLvl w:val="0"/>
                    <w:rPr>
                      <w:b/>
                      <w:bCs/>
                      <w:color w:val="auto"/>
                      <w:szCs w:val="21"/>
                    </w:rPr>
                  </w:pPr>
                  <w:r>
                    <w:rPr>
                      <w:b/>
                      <w:bCs/>
                      <w:color w:val="auto"/>
                      <w:szCs w:val="21"/>
                    </w:rPr>
                    <w:t>与本项目相关条文</w:t>
                  </w:r>
                </w:p>
              </w:tc>
              <w:tc>
                <w:tcPr>
                  <w:tcW w:w="4111" w:type="dxa"/>
                  <w:vAlign w:val="center"/>
                </w:tcPr>
                <w:p>
                  <w:pPr>
                    <w:adjustRightInd w:val="0"/>
                    <w:snapToGrid w:val="0"/>
                    <w:jc w:val="center"/>
                    <w:textAlignment w:val="baseline"/>
                    <w:outlineLvl w:val="0"/>
                    <w:rPr>
                      <w:b/>
                      <w:bCs/>
                      <w:color w:val="auto"/>
                      <w:szCs w:val="21"/>
                    </w:rPr>
                  </w:pPr>
                  <w:r>
                    <w:rPr>
                      <w:b/>
                      <w:bCs/>
                      <w:color w:val="auto"/>
                      <w:szCs w:val="21"/>
                    </w:rPr>
                    <w:t>本项目情况</w:t>
                  </w:r>
                </w:p>
              </w:tc>
              <w:tc>
                <w:tcPr>
                  <w:tcW w:w="572" w:type="dxa"/>
                  <w:vAlign w:val="center"/>
                </w:tcPr>
                <w:p>
                  <w:pPr>
                    <w:adjustRightInd w:val="0"/>
                    <w:snapToGrid w:val="0"/>
                    <w:jc w:val="center"/>
                    <w:textAlignment w:val="baseline"/>
                    <w:outlineLvl w:val="0"/>
                    <w:rPr>
                      <w:b/>
                      <w:bCs/>
                      <w:color w:val="auto"/>
                      <w:szCs w:val="21"/>
                    </w:rPr>
                  </w:pPr>
                  <w:r>
                    <w:rPr>
                      <w:b/>
                      <w:bCs/>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pPr>
                    <w:adjustRightInd w:val="0"/>
                    <w:snapToGrid w:val="0"/>
                    <w:jc w:val="center"/>
                    <w:textAlignment w:val="baseline"/>
                    <w:outlineLvl w:val="0"/>
                    <w:rPr>
                      <w:b/>
                      <w:bCs/>
                      <w:color w:val="auto"/>
                      <w:szCs w:val="21"/>
                    </w:rPr>
                  </w:pPr>
                  <w:r>
                    <w:rPr>
                      <w:rFonts w:hint="eastAsia"/>
                      <w:b/>
                      <w:color w:val="auto"/>
                      <w:szCs w:val="21"/>
                    </w:rPr>
                    <w:t>《河南省</w:t>
                  </w:r>
                  <w:r>
                    <w:rPr>
                      <w:b/>
                      <w:color w:val="auto"/>
                      <w:szCs w:val="21"/>
                    </w:rPr>
                    <w:t>2022</w:t>
                  </w:r>
                  <w:r>
                    <w:rPr>
                      <w:rFonts w:hint="eastAsia"/>
                      <w:b/>
                      <w:color w:val="auto"/>
                      <w:szCs w:val="21"/>
                    </w:rPr>
                    <w:t>年大气污染防治攻坚战实施方案》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9" w:type="dxa"/>
                  <w:vAlign w:val="center"/>
                </w:tcPr>
                <w:p>
                  <w:pPr>
                    <w:adjustRightInd w:val="0"/>
                    <w:snapToGrid w:val="0"/>
                    <w:jc w:val="center"/>
                    <w:textAlignment w:val="baseline"/>
                    <w:outlineLvl w:val="0"/>
                    <w:rPr>
                      <w:color w:val="auto"/>
                      <w:szCs w:val="21"/>
                    </w:rPr>
                  </w:pPr>
                  <w:r>
                    <w:rPr>
                      <w:color w:val="auto"/>
                    </w:rPr>
                    <w:t>3.</w:t>
                  </w:r>
                  <w:r>
                    <w:rPr>
                      <w:rFonts w:ascii="宋体" w:hAnsi="宋体"/>
                      <w:color w:val="auto"/>
                    </w:rPr>
                    <w:t>推进绿色低碳产业发展</w:t>
                  </w:r>
                </w:p>
              </w:tc>
              <w:tc>
                <w:tcPr>
                  <w:tcW w:w="7938"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ascii="宋体" w:hAnsi="宋体"/>
                      <w:color w:val="auto"/>
                    </w:rPr>
                    <w:t>落实国家产业规划、产业政策、</w:t>
                  </w:r>
                  <w:r>
                    <w:rPr>
                      <w:rFonts w:hint="eastAsia" w:ascii="宋体" w:hAnsi="宋体"/>
                      <w:color w:val="auto"/>
                    </w:rPr>
                    <w:t>“</w:t>
                  </w:r>
                  <w:r>
                    <w:rPr>
                      <w:rFonts w:ascii="宋体" w:hAnsi="宋体"/>
                      <w:color w:val="auto"/>
                    </w:rPr>
                    <w:t>三线一单</w:t>
                  </w:r>
                  <w:r>
                    <w:rPr>
                      <w:rFonts w:hint="eastAsia" w:ascii="宋体" w:hAnsi="宋体"/>
                      <w:color w:val="auto"/>
                    </w:rPr>
                    <w:t>”</w:t>
                  </w:r>
                  <w:r>
                    <w:rPr>
                      <w:rFonts w:ascii="宋体" w:hAnsi="宋体"/>
                      <w:color w:val="auto"/>
                    </w:rPr>
                    <w:t>、规划环评</w:t>
                  </w:r>
                  <w:r>
                    <w:rPr>
                      <w:rFonts w:hint="eastAsia" w:ascii="宋体" w:hAnsi="宋体"/>
                      <w:color w:val="auto"/>
                    </w:rPr>
                    <w:t>，</w:t>
                  </w:r>
                  <w:r>
                    <w:rPr>
                      <w:rFonts w:ascii="宋体" w:hAnsi="宋体"/>
                      <w:color w:val="auto"/>
                    </w:rPr>
                    <w:t>以及产能置换、煤炭消费减量替代、区域污染物削减等相关要求</w:t>
                  </w:r>
                  <w:r>
                    <w:rPr>
                      <w:rFonts w:hint="eastAsia" w:ascii="宋体" w:hAnsi="宋体"/>
                      <w:color w:val="auto"/>
                    </w:rPr>
                    <w:t>，</w:t>
                  </w:r>
                  <w:r>
                    <w:rPr>
                      <w:rFonts w:ascii="宋体" w:hAnsi="宋体"/>
                      <w:color w:val="auto"/>
                    </w:rPr>
                    <w:t>积极支持节能环保、新能源等战略性新兴产业发展</w:t>
                  </w:r>
                  <w:r>
                    <w:rPr>
                      <w:rFonts w:hint="eastAsia" w:ascii="宋体" w:hAnsi="宋体"/>
                      <w:color w:val="auto"/>
                    </w:rPr>
                    <w:t>，</w:t>
                  </w:r>
                  <w:r>
                    <w:rPr>
                      <w:rFonts w:ascii="宋体" w:hAnsi="宋体"/>
                      <w:color w:val="auto"/>
                    </w:rPr>
                    <w:t>坚决遏制高耗能、高排放项目盲目建设。落实</w:t>
                  </w:r>
                  <w:r>
                    <w:rPr>
                      <w:rFonts w:hint="eastAsia" w:ascii="宋体" w:hAnsi="宋体"/>
                      <w:color w:val="auto"/>
                    </w:rPr>
                    <w:t>“</w:t>
                  </w:r>
                  <w:r>
                    <w:rPr>
                      <w:rFonts w:ascii="宋体" w:hAnsi="宋体"/>
                      <w:color w:val="auto"/>
                    </w:rPr>
                    <w:t>两高</w:t>
                  </w:r>
                  <w:r>
                    <w:rPr>
                      <w:rFonts w:hint="eastAsia" w:ascii="宋体" w:hAnsi="宋体"/>
                      <w:color w:val="auto"/>
                    </w:rPr>
                    <w:t>”</w:t>
                  </w:r>
                  <w:r>
                    <w:rPr>
                      <w:rFonts w:ascii="宋体" w:hAnsi="宋体"/>
                      <w:color w:val="auto"/>
                    </w:rPr>
                    <w:t>项目会商联审机制</w:t>
                  </w:r>
                  <w:r>
                    <w:rPr>
                      <w:rFonts w:hint="eastAsia" w:ascii="宋体" w:hAnsi="宋体"/>
                      <w:color w:val="auto"/>
                    </w:rPr>
                    <w:t>，</w:t>
                  </w:r>
                  <w:r>
                    <w:rPr>
                      <w:rFonts w:ascii="宋体" w:hAnsi="宋体"/>
                      <w:color w:val="auto"/>
                    </w:rPr>
                    <w:t>强化项目环评及</w:t>
                  </w:r>
                  <w:r>
                    <w:rPr>
                      <w:rFonts w:hint="eastAsia" w:ascii="宋体" w:hAnsi="宋体"/>
                      <w:color w:val="auto"/>
                    </w:rPr>
                    <w:t>“</w:t>
                  </w:r>
                  <w:r>
                    <w:rPr>
                      <w:rFonts w:ascii="宋体" w:hAnsi="宋体"/>
                      <w:color w:val="auto"/>
                    </w:rPr>
                    <w:t>三同时</w:t>
                  </w:r>
                  <w:r>
                    <w:rPr>
                      <w:rFonts w:hint="eastAsia" w:ascii="宋体" w:hAnsi="宋体"/>
                      <w:color w:val="auto"/>
                    </w:rPr>
                    <w:t>”</w:t>
                  </w:r>
                  <w:r>
                    <w:rPr>
                      <w:rFonts w:ascii="宋体" w:hAnsi="宋体"/>
                      <w:color w:val="auto"/>
                    </w:rPr>
                    <w:t>管理</w:t>
                  </w:r>
                  <w:r>
                    <w:rPr>
                      <w:rFonts w:hint="eastAsia" w:ascii="宋体" w:hAnsi="宋体"/>
                      <w:color w:val="auto"/>
                    </w:rPr>
                    <w:t>，</w:t>
                  </w:r>
                  <w:r>
                    <w:rPr>
                      <w:rFonts w:ascii="宋体" w:hAnsi="宋体"/>
                      <w:color w:val="auto"/>
                    </w:rPr>
                    <w:t>重点行业企业新建、扩建项目达到</w:t>
                  </w:r>
                  <w:r>
                    <w:rPr>
                      <w:color w:val="auto"/>
                    </w:rPr>
                    <w:t>A</w:t>
                  </w:r>
                  <w:r>
                    <w:rPr>
                      <w:rFonts w:ascii="宋体" w:hAnsi="宋体"/>
                      <w:color w:val="auto"/>
                    </w:rPr>
                    <w:t>级绩效水平</w:t>
                  </w:r>
                  <w:r>
                    <w:rPr>
                      <w:rFonts w:hint="eastAsia" w:ascii="宋体" w:hAnsi="宋体"/>
                      <w:color w:val="auto"/>
                    </w:rPr>
                    <w:t>，</w:t>
                  </w:r>
                  <w:r>
                    <w:rPr>
                      <w:rFonts w:ascii="宋体" w:hAnsi="宋体"/>
                      <w:color w:val="auto"/>
                    </w:rPr>
                    <w:t>改建项目达到</w:t>
                  </w:r>
                  <w:r>
                    <w:rPr>
                      <w:color w:val="auto"/>
                    </w:rPr>
                    <w:t>B</w:t>
                  </w:r>
                  <w:r>
                    <w:rPr>
                      <w:rFonts w:ascii="宋体" w:hAnsi="宋体"/>
                      <w:color w:val="auto"/>
                    </w:rPr>
                    <w:t>级以上绩效水平。严禁新增钢铁、电解铝、水泥熟料、平板玻璃、煤化工</w:t>
                  </w:r>
                  <w:r>
                    <w:rPr>
                      <w:color w:val="auto"/>
                    </w:rPr>
                    <w:t>(</w:t>
                  </w:r>
                  <w:r>
                    <w:rPr>
                      <w:rFonts w:ascii="宋体" w:hAnsi="宋体"/>
                      <w:color w:val="auto"/>
                    </w:rPr>
                    <w:t>甲醇、合成氨</w:t>
                  </w:r>
                  <w:r>
                    <w:rPr>
                      <w:color w:val="auto"/>
                    </w:rPr>
                    <w:t>)</w:t>
                  </w:r>
                  <w:r>
                    <w:rPr>
                      <w:rFonts w:ascii="宋体" w:hAnsi="宋体"/>
                      <w:color w:val="auto"/>
                    </w:rPr>
                    <w:t>、氧化铝、焦化、铸造、铝用碳素、烧结砖瓦、铁合金等行业产能。禁止耐火材料、铅锌冶炼</w:t>
                  </w:r>
                  <w:r>
                    <w:rPr>
                      <w:color w:val="auto"/>
                    </w:rPr>
                    <w:t>(</w:t>
                  </w:r>
                  <w:r>
                    <w:rPr>
                      <w:rFonts w:ascii="宋体" w:hAnsi="宋体"/>
                      <w:color w:val="auto"/>
                    </w:rPr>
                    <w:t>含再生铅</w:t>
                  </w:r>
                  <w:r>
                    <w:rPr>
                      <w:color w:val="auto"/>
                    </w:rPr>
                    <w:t>)</w:t>
                  </w:r>
                  <w:r>
                    <w:rPr>
                      <w:rFonts w:ascii="宋体" w:hAnsi="宋体"/>
                      <w:color w:val="auto"/>
                    </w:rPr>
                    <w:t>行业单纯新增产能。水泥行业产能置换项目应实现矿石皮带廊密闭运输</w:t>
                  </w:r>
                  <w:r>
                    <w:rPr>
                      <w:rFonts w:hint="eastAsia" w:ascii="宋体" w:hAnsi="宋体"/>
                      <w:color w:val="auto"/>
                    </w:rPr>
                    <w:t>，</w:t>
                  </w:r>
                  <w:r>
                    <w:rPr>
                      <w:rFonts w:ascii="宋体" w:hAnsi="宋体"/>
                      <w:color w:val="auto"/>
                    </w:rPr>
                    <w:t>大宗物料产品清洁运输。</w:t>
                  </w:r>
                </w:p>
              </w:tc>
              <w:tc>
                <w:tcPr>
                  <w:tcW w:w="4111"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rPr>
                    <w:t>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color w:val="auto"/>
                    </w:rPr>
                    <w:t>，位于</w:t>
                  </w:r>
                  <w:r>
                    <w:rPr>
                      <w:rFonts w:hint="eastAsia"/>
                      <w:color w:val="auto"/>
                      <w:lang w:eastAsia="zh-CN"/>
                    </w:rPr>
                    <w:t>新乡市新乡县七里营镇政府北300m</w:t>
                  </w:r>
                  <w:r>
                    <w:rPr>
                      <w:rFonts w:hint="eastAsia"/>
                      <w:color w:val="auto"/>
                    </w:rPr>
                    <w:t>。项目满足“三线一单”生态环境分区管控要求，不属于高耗能、高排放项目，项目将严格按照要求进行环评及“三同时”</w:t>
                  </w:r>
                  <w:r>
                    <w:rPr>
                      <w:rFonts w:hint="eastAsia"/>
                      <w:color w:val="auto"/>
                      <w:lang w:eastAsia="zh-CN"/>
                    </w:rPr>
                    <w:t>管理</w:t>
                  </w:r>
                  <w:r>
                    <w:rPr>
                      <w:rFonts w:hint="eastAsia"/>
                      <w:color w:val="auto"/>
                    </w:rPr>
                    <w:t>，</w:t>
                  </w:r>
                  <w:r>
                    <w:rPr>
                      <w:rFonts w:hint="eastAsia"/>
                      <w:color w:val="auto"/>
                      <w:szCs w:val="21"/>
                    </w:rPr>
                    <w:t>项目</w:t>
                  </w:r>
                  <w:r>
                    <w:rPr>
                      <w:rFonts w:hint="eastAsia" w:ascii="Times New Roman" w:hAnsi="Times New Roman"/>
                      <w:color w:val="auto"/>
                      <w:sz w:val="21"/>
                      <w:szCs w:val="21"/>
                      <w:lang w:eastAsia="zh-CN"/>
                    </w:rPr>
                    <w:t>将</w:t>
                  </w:r>
                  <w:r>
                    <w:rPr>
                      <w:rFonts w:hint="default" w:ascii="Times New Roman" w:hAnsi="Times New Roman" w:eastAsia="宋体" w:cs="Times New Roman"/>
                      <w:color w:val="auto"/>
                      <w:kern w:val="0"/>
                      <w:sz w:val="21"/>
                      <w:szCs w:val="21"/>
                      <w:lang w:val="en-US" w:eastAsia="zh-CN" w:bidi="ar"/>
                    </w:rPr>
                    <w:t>对照《河南省重污染天气通用行业应急减排技术指南》</w:t>
                  </w:r>
                  <w:r>
                    <w:rPr>
                      <w:rFonts w:hint="eastAsia" w:ascii="Times New Roman" w:hAnsi="Times New Roman" w:cs="Times New Roman"/>
                      <w:color w:val="auto"/>
                      <w:kern w:val="0"/>
                      <w:sz w:val="21"/>
                      <w:szCs w:val="21"/>
                      <w:lang w:val="en-US" w:eastAsia="zh-CN" w:bidi="ar"/>
                    </w:rPr>
                    <w:t>中涉VOCs企业基本要求进行建设</w:t>
                  </w:r>
                  <w:r>
                    <w:rPr>
                      <w:rFonts w:hint="default" w:ascii="Times New Roman" w:hAnsi="Times New Roman" w:eastAsia="宋体" w:cs="Times New Roman"/>
                      <w:color w:val="auto"/>
                      <w:kern w:val="0"/>
                      <w:sz w:val="21"/>
                      <w:szCs w:val="21"/>
                      <w:lang w:val="en-US" w:eastAsia="zh-CN" w:bidi="ar"/>
                    </w:rPr>
                    <w:t>。</w:t>
                  </w:r>
                </w:p>
              </w:tc>
              <w:tc>
                <w:tcPr>
                  <w:tcW w:w="572" w:type="dxa"/>
                  <w:vAlign w:val="center"/>
                </w:tcPr>
                <w:p>
                  <w:pPr>
                    <w:adjustRightInd w:val="0"/>
                    <w:snapToGrid w:val="0"/>
                    <w:jc w:val="center"/>
                    <w:textAlignment w:val="baseline"/>
                    <w:outlineLv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9" w:type="dxa"/>
                  <w:vAlign w:val="center"/>
                </w:tcPr>
                <w:p>
                  <w:pPr>
                    <w:adjustRightInd w:val="0"/>
                    <w:snapToGrid w:val="0"/>
                    <w:jc w:val="center"/>
                    <w:textAlignment w:val="baseline"/>
                    <w:outlineLvl w:val="0"/>
                    <w:rPr>
                      <w:color w:val="auto"/>
                    </w:rPr>
                  </w:pPr>
                  <w:r>
                    <w:rPr>
                      <w:color w:val="auto"/>
                      <w:szCs w:val="21"/>
                    </w:rPr>
                    <w:t>27.强化VOCs日常监管</w:t>
                  </w:r>
                </w:p>
              </w:tc>
              <w:tc>
                <w:tcPr>
                  <w:tcW w:w="7938"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rFonts w:ascii="宋体" w:hAnsi="宋体"/>
                      <w:color w:val="auto"/>
                    </w:rPr>
                  </w:pPr>
                  <w:r>
                    <w:rPr>
                      <w:color w:val="auto"/>
                      <w:szCs w:val="21"/>
                    </w:rPr>
                    <w:t>加强臭氧污染天气下的挥发性有机物排放管理</w:t>
                  </w:r>
                  <w:r>
                    <w:rPr>
                      <w:rFonts w:hint="eastAsia"/>
                      <w:color w:val="auto"/>
                      <w:szCs w:val="21"/>
                    </w:rPr>
                    <w:t>，</w:t>
                  </w:r>
                  <w:r>
                    <w:rPr>
                      <w:color w:val="auto"/>
                      <w:szCs w:val="21"/>
                    </w:rPr>
                    <w:t>指导涉VOCs污染物排放企业妥善安排生产计划</w:t>
                  </w:r>
                  <w:r>
                    <w:rPr>
                      <w:rFonts w:hint="eastAsia"/>
                      <w:color w:val="auto"/>
                      <w:szCs w:val="21"/>
                    </w:rPr>
                    <w:t>，</w:t>
                  </w:r>
                  <w:r>
                    <w:rPr>
                      <w:color w:val="auto"/>
                      <w:szCs w:val="21"/>
                    </w:rPr>
                    <w:t>在夏季减少开停车、放空、开釜等操作。涉VOCs防腐、防水、防锈等涂装作业及大中型装修、外立面改造、道路划线、沥青铺设等施工作业</w:t>
                  </w:r>
                  <w:r>
                    <w:rPr>
                      <w:rFonts w:hint="eastAsia"/>
                      <w:color w:val="auto"/>
                      <w:szCs w:val="21"/>
                    </w:rPr>
                    <w:t>，</w:t>
                  </w:r>
                  <w:r>
                    <w:rPr>
                      <w:color w:val="auto"/>
                      <w:szCs w:val="21"/>
                    </w:rPr>
                    <w:t>应当避开臭氧污染易发的高温时段。加强非正常工况废气排放管理</w:t>
                  </w:r>
                  <w:r>
                    <w:rPr>
                      <w:rFonts w:hint="eastAsia"/>
                      <w:color w:val="auto"/>
                      <w:szCs w:val="21"/>
                    </w:rPr>
                    <w:t>，</w:t>
                  </w:r>
                  <w:r>
                    <w:rPr>
                      <w:color w:val="auto"/>
                      <w:szCs w:val="21"/>
                    </w:rPr>
                    <w:t>钢铁、焦化、医药、石化、化工等重点行业企业应提前向当地生态环境部门报告开停车、检维修计划</w:t>
                  </w:r>
                  <w:r>
                    <w:rPr>
                      <w:rFonts w:hint="eastAsia"/>
                      <w:color w:val="auto"/>
                      <w:szCs w:val="21"/>
                    </w:rPr>
                    <w:t>，</w:t>
                  </w:r>
                  <w:r>
                    <w:rPr>
                      <w:color w:val="auto"/>
                      <w:szCs w:val="21"/>
                    </w:rPr>
                    <w:t>火炬、煤气放散管应安装引燃设施</w:t>
                  </w:r>
                  <w:r>
                    <w:rPr>
                      <w:rFonts w:hint="eastAsia"/>
                      <w:color w:val="auto"/>
                      <w:szCs w:val="21"/>
                    </w:rPr>
                    <w:t>，</w:t>
                  </w:r>
                  <w:r>
                    <w:rPr>
                      <w:color w:val="auto"/>
                      <w:szCs w:val="21"/>
                    </w:rPr>
                    <w:t>配套建设燃烧温度监控、废气流量计、助燃气体流量计等</w:t>
                  </w:r>
                  <w:r>
                    <w:rPr>
                      <w:rFonts w:hint="eastAsia"/>
                      <w:color w:val="auto"/>
                      <w:szCs w:val="21"/>
                    </w:rPr>
                    <w:t>，</w:t>
                  </w:r>
                  <w:r>
                    <w:rPr>
                      <w:color w:val="auto"/>
                      <w:szCs w:val="21"/>
                    </w:rPr>
                    <w:t>排放废气热值达不到要求时应及时补充燃气体。</w:t>
                  </w:r>
                </w:p>
              </w:tc>
              <w:tc>
                <w:tcPr>
                  <w:tcW w:w="4111"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rPr>
                  </w:pPr>
                  <w:r>
                    <w:rPr>
                      <w:rFonts w:hint="eastAsia"/>
                      <w:color w:val="auto"/>
                      <w:szCs w:val="21"/>
                    </w:rPr>
                    <w:t>本项目</w:t>
                  </w:r>
                  <w:r>
                    <w:rPr>
                      <w:rFonts w:hint="eastAsia"/>
                      <w:color w:val="auto"/>
                      <w:szCs w:val="21"/>
                      <w:lang w:eastAsia="zh-CN"/>
                    </w:rPr>
                    <w:t>运营</w:t>
                  </w:r>
                  <w:r>
                    <w:rPr>
                      <w:rFonts w:hint="eastAsia"/>
                      <w:color w:val="auto"/>
                      <w:szCs w:val="21"/>
                    </w:rPr>
                    <w:t>中产生</w:t>
                  </w:r>
                  <w:r>
                    <w:rPr>
                      <w:rFonts w:hint="eastAsia"/>
                      <w:color w:val="auto"/>
                      <w:szCs w:val="21"/>
                      <w:lang w:eastAsia="zh-CN"/>
                    </w:rPr>
                    <w:t>的</w:t>
                  </w:r>
                  <w:r>
                    <w:rPr>
                      <w:rFonts w:hint="eastAsia"/>
                      <w:color w:val="auto"/>
                      <w:szCs w:val="21"/>
                    </w:rPr>
                    <w:t>V</w:t>
                  </w:r>
                  <w:r>
                    <w:rPr>
                      <w:color w:val="auto"/>
                      <w:szCs w:val="21"/>
                    </w:rPr>
                    <w:t>OCs</w:t>
                  </w:r>
                  <w:r>
                    <w:rPr>
                      <w:rFonts w:hint="eastAsia"/>
                      <w:color w:val="auto"/>
                      <w:szCs w:val="21"/>
                      <w:lang w:eastAsia="zh-CN"/>
                    </w:rPr>
                    <w:t>配套有油气回收系统</w:t>
                  </w:r>
                  <w:r>
                    <w:rPr>
                      <w:rFonts w:hint="eastAsia"/>
                      <w:color w:val="auto"/>
                      <w:szCs w:val="21"/>
                    </w:rPr>
                    <w:t>。</w:t>
                  </w:r>
                </w:p>
              </w:tc>
              <w:tc>
                <w:tcPr>
                  <w:tcW w:w="572" w:type="dxa"/>
                  <w:vAlign w:val="center"/>
                </w:tcPr>
                <w:p>
                  <w:pPr>
                    <w:adjustRightInd w:val="0"/>
                    <w:snapToGrid w:val="0"/>
                    <w:jc w:val="center"/>
                    <w:textAlignment w:val="baseline"/>
                    <w:outlineLv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vAlign w:val="center"/>
                </w:tcPr>
                <w:p>
                  <w:pPr>
                    <w:adjustRightInd w:val="0"/>
                    <w:snapToGrid w:val="0"/>
                    <w:jc w:val="center"/>
                    <w:textAlignment w:val="baseline"/>
                    <w:outlineLvl w:val="0"/>
                    <w:rPr>
                      <w:color w:val="auto"/>
                      <w:szCs w:val="21"/>
                    </w:rPr>
                  </w:pPr>
                  <w:r>
                    <w:rPr>
                      <w:rFonts w:hint="eastAsia"/>
                      <w:b/>
                      <w:color w:val="auto"/>
                      <w:szCs w:val="21"/>
                    </w:rPr>
                    <w:t>《河南省</w:t>
                  </w:r>
                  <w:r>
                    <w:rPr>
                      <w:b/>
                      <w:color w:val="auto"/>
                      <w:szCs w:val="21"/>
                    </w:rPr>
                    <w:t>2022</w:t>
                  </w:r>
                  <w:r>
                    <w:rPr>
                      <w:rFonts w:hint="eastAsia"/>
                      <w:b/>
                      <w:color w:val="auto"/>
                      <w:szCs w:val="21"/>
                    </w:rPr>
                    <w:t>年水污染防治攻坚战实施方案》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9" w:type="dxa"/>
                  <w:vAlign w:val="center"/>
                </w:tcPr>
                <w:p>
                  <w:pPr>
                    <w:adjustRightInd w:val="0"/>
                    <w:snapToGrid w:val="0"/>
                    <w:jc w:val="center"/>
                    <w:textAlignment w:val="baseline"/>
                    <w:outlineLvl w:val="0"/>
                    <w:rPr>
                      <w:color w:val="auto"/>
                      <w:szCs w:val="21"/>
                    </w:rPr>
                  </w:pPr>
                  <w:r>
                    <w:rPr>
                      <w:color w:val="auto"/>
                    </w:rPr>
                    <w:t>14.</w:t>
                  </w:r>
                  <w:r>
                    <w:rPr>
                      <w:rFonts w:hint="eastAsia" w:ascii="宋体" w:hAnsi="宋体"/>
                      <w:color w:val="auto"/>
                    </w:rPr>
                    <w:t>调整优化产业结构</w:t>
                  </w:r>
                </w:p>
              </w:tc>
              <w:tc>
                <w:tcPr>
                  <w:tcW w:w="7938"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ascii="宋体" w:hAnsi="宋体"/>
                      <w:color w:val="auto"/>
                    </w:rPr>
                    <w:t>落实</w:t>
                  </w:r>
                  <w:r>
                    <w:rPr>
                      <w:rFonts w:hint="eastAsia" w:ascii="宋体" w:hAnsi="宋体"/>
                      <w:color w:val="auto"/>
                    </w:rPr>
                    <w:t>“</w:t>
                  </w:r>
                  <w:r>
                    <w:rPr>
                      <w:rFonts w:ascii="宋体" w:hAnsi="宋体"/>
                      <w:color w:val="auto"/>
                    </w:rPr>
                    <w:t>三线一单</w:t>
                  </w:r>
                  <w:r>
                    <w:rPr>
                      <w:rFonts w:hint="eastAsia" w:ascii="宋体" w:hAnsi="宋体"/>
                      <w:color w:val="auto"/>
                    </w:rPr>
                    <w:t>”</w:t>
                  </w:r>
                  <w:r>
                    <w:rPr>
                      <w:rFonts w:ascii="宋体" w:hAnsi="宋体"/>
                      <w:color w:val="auto"/>
                    </w:rPr>
                    <w:t>生态环境分区管控体系</w:t>
                  </w:r>
                  <w:r>
                    <w:rPr>
                      <w:rFonts w:hint="eastAsia" w:ascii="宋体" w:hAnsi="宋体"/>
                      <w:color w:val="auto"/>
                    </w:rPr>
                    <w:t>，</w:t>
                  </w:r>
                  <w:r>
                    <w:rPr>
                      <w:rFonts w:ascii="宋体" w:hAnsi="宋体"/>
                      <w:color w:val="auto"/>
                    </w:rPr>
                    <w:t>加强重点区域、重点流域、重点行业和产业布局规划环评。持续推进钢铁、有色、石化、化工、电镀、皮革、造纸、印染、农副食品加工等行业改造转型升级</w:t>
                  </w:r>
                  <w:r>
                    <w:rPr>
                      <w:rFonts w:hint="eastAsia" w:ascii="宋体" w:hAnsi="宋体"/>
                      <w:color w:val="auto"/>
                    </w:rPr>
                    <w:t>，</w:t>
                  </w:r>
                  <w:r>
                    <w:rPr>
                      <w:rFonts w:ascii="宋体" w:hAnsi="宋体"/>
                      <w:color w:val="auto"/>
                    </w:rPr>
                    <w:t>推动化工、印染、电镀等产业集群提升改造。推动重点行业、重点区域产业布局调整</w:t>
                  </w:r>
                  <w:r>
                    <w:rPr>
                      <w:rFonts w:hint="eastAsia" w:ascii="宋体" w:hAnsi="宋体"/>
                      <w:color w:val="auto"/>
                    </w:rPr>
                    <w:t>，</w:t>
                  </w:r>
                  <w:r>
                    <w:rPr>
                      <w:rFonts w:ascii="宋体" w:hAnsi="宋体"/>
                      <w:color w:val="auto"/>
                    </w:rPr>
                    <w:t>实施传统产业兼并重组、城市建成区高污染企业退城入园和敏感区域、水污染严重地区高污染企业布局优化</w:t>
                  </w:r>
                  <w:r>
                    <w:rPr>
                      <w:rFonts w:hint="eastAsia" w:ascii="宋体" w:hAnsi="宋体"/>
                      <w:color w:val="auto"/>
                    </w:rPr>
                    <w:t>，</w:t>
                  </w:r>
                  <w:r>
                    <w:rPr>
                      <w:rFonts w:ascii="宋体" w:hAnsi="宋体"/>
                      <w:color w:val="auto"/>
                    </w:rPr>
                    <w:t>制定实施落后产能淘汰方案。严禁在黄河干流及主要支流临岸一定范围内新建</w:t>
                  </w:r>
                  <w:r>
                    <w:rPr>
                      <w:rFonts w:hint="eastAsia" w:ascii="宋体" w:hAnsi="宋体"/>
                      <w:color w:val="auto"/>
                    </w:rPr>
                    <w:t>“</w:t>
                  </w:r>
                  <w:r>
                    <w:rPr>
                      <w:rFonts w:ascii="宋体" w:hAnsi="宋体"/>
                      <w:color w:val="auto"/>
                    </w:rPr>
                    <w:t>两高一资</w:t>
                  </w:r>
                  <w:r>
                    <w:rPr>
                      <w:rFonts w:hint="eastAsia" w:ascii="宋体" w:hAnsi="宋体"/>
                      <w:color w:val="auto"/>
                    </w:rPr>
                    <w:t>”</w:t>
                  </w:r>
                  <w:r>
                    <w:rPr>
                      <w:rFonts w:ascii="宋体" w:hAnsi="宋体"/>
                      <w:color w:val="auto"/>
                    </w:rPr>
                    <w:t>项目及相关产业园区。</w:t>
                  </w:r>
                </w:p>
              </w:tc>
              <w:tc>
                <w:tcPr>
                  <w:tcW w:w="4111"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color w:val="auto"/>
                    </w:rPr>
                    <w:t>，位于</w:t>
                  </w:r>
                  <w:r>
                    <w:rPr>
                      <w:rFonts w:hint="eastAsia"/>
                      <w:color w:val="auto"/>
                      <w:lang w:eastAsia="zh-CN"/>
                    </w:rPr>
                    <w:t>新乡市新乡县七里营镇政府北300m</w:t>
                  </w:r>
                  <w:r>
                    <w:rPr>
                      <w:rFonts w:hint="eastAsia"/>
                      <w:color w:val="auto"/>
                    </w:rPr>
                    <w:t>。项目满足“三线一单”生态环境分区管控要求，不属于高耗水、高排放工业项目。</w:t>
                  </w:r>
                </w:p>
              </w:tc>
              <w:tc>
                <w:tcPr>
                  <w:tcW w:w="572" w:type="dxa"/>
                  <w:vAlign w:val="center"/>
                </w:tcPr>
                <w:p>
                  <w:pPr>
                    <w:adjustRightInd w:val="0"/>
                    <w:snapToGrid w:val="0"/>
                    <w:jc w:val="center"/>
                    <w:textAlignment w:val="baseline"/>
                    <w:outlineLvl w:val="0"/>
                    <w:rPr>
                      <w:color w:val="auto"/>
                      <w:szCs w:val="21"/>
                    </w:rPr>
                  </w:pPr>
                  <w:r>
                    <w:rPr>
                      <w:color w:val="auto"/>
                      <w:szCs w:val="21"/>
                    </w:rPr>
                    <w:t>符合</w:t>
                  </w:r>
                </w:p>
              </w:tc>
            </w:tr>
          </w:tbl>
          <w:p>
            <w:pPr>
              <w:pStyle w:val="21"/>
              <w:snapToGrid w:val="0"/>
              <w:spacing w:before="0" w:beforeAutospacing="0" w:after="0" w:afterAutospacing="0" w:line="520" w:lineRule="exact"/>
              <w:ind w:firstLine="480" w:firstLineChars="200"/>
              <w:jc w:val="both"/>
              <w:outlineLvl w:val="0"/>
              <w:rPr>
                <w:rFonts w:ascii="Times New Roman" w:hAnsi="Times New Roman" w:eastAsia="黑体"/>
                <w:snapToGrid w:val="0"/>
                <w:color w:val="auto"/>
                <w:sz w:val="30"/>
                <w:szCs w:val="30"/>
                <w:lang w:val="en-US"/>
              </w:rPr>
            </w:pPr>
            <w:r>
              <w:rPr>
                <w:rFonts w:ascii="Times New Roman" w:hAnsi="Times New Roman"/>
                <w:color w:val="auto"/>
                <w:lang w:val="en-US"/>
              </w:rPr>
              <w:t>由上表可知，本项目符合《攻坚战实施方案》相关要求。</w:t>
            </w:r>
          </w:p>
          <w:p>
            <w:pPr>
              <w:pStyle w:val="21"/>
              <w:adjustRightInd w:val="0"/>
              <w:snapToGrid w:val="0"/>
              <w:spacing w:before="0" w:beforeAutospacing="0" w:after="0" w:afterAutospacing="0" w:line="460" w:lineRule="exact"/>
              <w:ind w:firstLine="480" w:firstLineChars="200"/>
              <w:jc w:val="both"/>
              <w:outlineLvl w:val="0"/>
              <w:rPr>
                <w:rFonts w:ascii="Times New Roman" w:hAnsi="Times New Roman"/>
                <w:color w:val="auto"/>
                <w:lang w:val="en-US"/>
              </w:rPr>
            </w:pPr>
            <w:r>
              <w:rPr>
                <w:rFonts w:hint="eastAsia" w:ascii="Times New Roman" w:hAnsi="Times New Roman"/>
                <w:color w:val="auto"/>
                <w:lang w:val="en-US"/>
              </w:rPr>
              <w:t>（</w:t>
            </w:r>
            <w:r>
              <w:rPr>
                <w:rFonts w:ascii="Times New Roman" w:hAnsi="Times New Roman"/>
                <w:color w:val="auto"/>
                <w:lang w:val="en-US"/>
              </w:rPr>
              <w:t>2</w:t>
            </w:r>
            <w:r>
              <w:rPr>
                <w:rFonts w:hint="eastAsia" w:ascii="Times New Roman" w:hAnsi="Times New Roman"/>
                <w:color w:val="auto"/>
                <w:lang w:val="en-US"/>
              </w:rPr>
              <w:t>）</w:t>
            </w:r>
            <w:r>
              <w:rPr>
                <w:rFonts w:ascii="Times New Roman" w:hAnsi="Times New Roman"/>
                <w:color w:val="auto"/>
                <w:lang w:val="en-US"/>
              </w:rPr>
              <w:t>本项目</w:t>
            </w:r>
            <w:r>
              <w:rPr>
                <w:rFonts w:hint="eastAsia" w:ascii="Times New Roman" w:hAnsi="Times New Roman"/>
                <w:color w:val="auto"/>
                <w:lang w:val="en-US"/>
              </w:rPr>
              <w:t>与</w:t>
            </w:r>
            <w:r>
              <w:rPr>
                <w:rFonts w:ascii="Times New Roman" w:hAnsi="Times New Roman"/>
                <w:color w:val="auto"/>
              </w:rPr>
              <w:t>《新乡市环境污染防治攻坚指挥部办公室关于印发新乡市2022年大气、水、土壤污染防治攻坚战及农业农村污染治理攻坚战实施方案的通知》（新环攻坚办〔2022〕60号）</w:t>
            </w:r>
            <w:r>
              <w:rPr>
                <w:rFonts w:hint="eastAsia" w:ascii="Times New Roman" w:hAnsi="Times New Roman"/>
                <w:color w:val="auto"/>
                <w:lang w:val="en-US"/>
              </w:rPr>
              <w:t>（以下简称《攻坚战实施方案》）对比分析</w:t>
            </w:r>
          </w:p>
          <w:p>
            <w:pPr>
              <w:pStyle w:val="9"/>
              <w:bidi w:val="0"/>
            </w:pPr>
            <w:r>
              <w:t>与《攻坚战实施方案》对比表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3"/>
              <w:gridCol w:w="8212"/>
              <w:gridCol w:w="3890"/>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5" w:type="dxa"/>
                  <w:gridSpan w:val="2"/>
                  <w:vAlign w:val="center"/>
                </w:tcPr>
                <w:p>
                  <w:pPr>
                    <w:adjustRightInd w:val="0"/>
                    <w:snapToGrid w:val="0"/>
                    <w:jc w:val="center"/>
                    <w:textAlignment w:val="baseline"/>
                    <w:outlineLvl w:val="0"/>
                    <w:rPr>
                      <w:b/>
                      <w:bCs/>
                      <w:color w:val="auto"/>
                      <w:szCs w:val="21"/>
                    </w:rPr>
                  </w:pPr>
                  <w:r>
                    <w:rPr>
                      <w:b/>
                      <w:bCs/>
                      <w:color w:val="auto"/>
                      <w:szCs w:val="21"/>
                    </w:rPr>
                    <w:t>与本项目相关条文</w:t>
                  </w:r>
                </w:p>
              </w:tc>
              <w:tc>
                <w:tcPr>
                  <w:tcW w:w="3890" w:type="dxa"/>
                  <w:vAlign w:val="center"/>
                </w:tcPr>
                <w:p>
                  <w:pPr>
                    <w:adjustRightInd w:val="0"/>
                    <w:snapToGrid w:val="0"/>
                    <w:jc w:val="center"/>
                    <w:textAlignment w:val="baseline"/>
                    <w:outlineLvl w:val="0"/>
                    <w:rPr>
                      <w:b/>
                      <w:bCs/>
                      <w:color w:val="auto"/>
                      <w:szCs w:val="21"/>
                    </w:rPr>
                  </w:pPr>
                  <w:r>
                    <w:rPr>
                      <w:b/>
                      <w:bCs/>
                      <w:color w:val="auto"/>
                      <w:szCs w:val="21"/>
                    </w:rPr>
                    <w:t>本项目情况</w:t>
                  </w:r>
                </w:p>
              </w:tc>
              <w:tc>
                <w:tcPr>
                  <w:tcW w:w="581" w:type="dxa"/>
                  <w:vAlign w:val="center"/>
                </w:tcPr>
                <w:p>
                  <w:pPr>
                    <w:adjustRightInd w:val="0"/>
                    <w:snapToGrid w:val="0"/>
                    <w:jc w:val="center"/>
                    <w:textAlignment w:val="baseline"/>
                    <w:outlineLvl w:val="0"/>
                    <w:rPr>
                      <w:b/>
                      <w:bCs/>
                      <w:color w:val="auto"/>
                      <w:szCs w:val="21"/>
                    </w:rPr>
                  </w:pPr>
                  <w:r>
                    <w:rPr>
                      <w:b/>
                      <w:bCs/>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26" w:type="dxa"/>
                  <w:gridSpan w:val="4"/>
                  <w:vAlign w:val="center"/>
                </w:tcPr>
                <w:p>
                  <w:pPr>
                    <w:adjustRightInd w:val="0"/>
                    <w:snapToGrid w:val="0"/>
                    <w:jc w:val="center"/>
                    <w:textAlignment w:val="baseline"/>
                    <w:outlineLvl w:val="0"/>
                    <w:rPr>
                      <w:b/>
                      <w:bCs/>
                      <w:color w:val="auto"/>
                      <w:szCs w:val="21"/>
                    </w:rPr>
                  </w:pPr>
                  <w:r>
                    <w:rPr>
                      <w:rFonts w:hint="eastAsia"/>
                      <w:b/>
                      <w:color w:val="auto"/>
                      <w:szCs w:val="21"/>
                    </w:rPr>
                    <w:t>《新乡市</w:t>
                  </w:r>
                  <w:r>
                    <w:rPr>
                      <w:b/>
                      <w:color w:val="auto"/>
                      <w:szCs w:val="21"/>
                    </w:rPr>
                    <w:t>2022</w:t>
                  </w:r>
                  <w:r>
                    <w:rPr>
                      <w:rFonts w:hint="eastAsia"/>
                      <w:b/>
                      <w:color w:val="auto"/>
                      <w:szCs w:val="21"/>
                    </w:rPr>
                    <w:t>年大气污染防治攻坚战实施方案》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3" w:type="dxa"/>
                  <w:vAlign w:val="center"/>
                </w:tcPr>
                <w:p>
                  <w:pPr>
                    <w:adjustRightInd w:val="0"/>
                    <w:snapToGrid w:val="0"/>
                    <w:jc w:val="center"/>
                    <w:textAlignment w:val="baseline"/>
                    <w:outlineLvl w:val="0"/>
                    <w:rPr>
                      <w:color w:val="auto"/>
                      <w:szCs w:val="21"/>
                    </w:rPr>
                  </w:pPr>
                  <w:r>
                    <w:rPr>
                      <w:color w:val="auto"/>
                      <w:szCs w:val="21"/>
                    </w:rPr>
                    <w:t>3.</w:t>
                  </w:r>
                  <w:r>
                    <w:rPr>
                      <w:rFonts w:hint="eastAsia"/>
                      <w:color w:val="auto"/>
                      <w:szCs w:val="21"/>
                    </w:rPr>
                    <w:t>严格项目准入，</w:t>
                  </w:r>
                  <w:r>
                    <w:rPr>
                      <w:color w:val="auto"/>
                      <w:szCs w:val="21"/>
                    </w:rPr>
                    <w:t>推进绿色低碳产业发展</w:t>
                  </w:r>
                </w:p>
              </w:tc>
              <w:tc>
                <w:tcPr>
                  <w:tcW w:w="8212"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A级绩效水平，改建项目达到B级以上绩效水平。</w:t>
                  </w:r>
                </w:p>
              </w:tc>
              <w:tc>
                <w:tcPr>
                  <w:tcW w:w="3890"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rPr>
                    <w:t>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color w:val="auto"/>
                    </w:rPr>
                    <w:t>，位于</w:t>
                  </w:r>
                  <w:r>
                    <w:rPr>
                      <w:rFonts w:hint="eastAsia"/>
                      <w:color w:val="auto"/>
                      <w:lang w:eastAsia="zh-CN"/>
                    </w:rPr>
                    <w:t>新乡市新乡县七里营镇政府北300m</w:t>
                  </w:r>
                  <w:r>
                    <w:rPr>
                      <w:rFonts w:hint="eastAsia"/>
                      <w:color w:val="auto"/>
                    </w:rPr>
                    <w:t>。项目满足“三线一单”生态环境分区管控要求，不属于高耗能、高排放项目，项目将严格按照要求进行环评及“三同时”建设，</w:t>
                  </w:r>
                  <w:r>
                    <w:rPr>
                      <w:rFonts w:hint="eastAsia"/>
                      <w:color w:val="auto"/>
                      <w:szCs w:val="21"/>
                    </w:rPr>
                    <w:t>项目</w:t>
                  </w:r>
                  <w:r>
                    <w:rPr>
                      <w:rFonts w:hint="eastAsia" w:ascii="Times New Roman" w:hAnsi="Times New Roman"/>
                      <w:color w:val="auto"/>
                      <w:sz w:val="21"/>
                      <w:szCs w:val="21"/>
                      <w:lang w:eastAsia="zh-CN"/>
                    </w:rPr>
                    <w:t>将</w:t>
                  </w:r>
                  <w:r>
                    <w:rPr>
                      <w:rFonts w:hint="default" w:ascii="Times New Roman" w:hAnsi="Times New Roman" w:eastAsia="宋体" w:cs="Times New Roman"/>
                      <w:color w:val="auto"/>
                      <w:kern w:val="0"/>
                      <w:sz w:val="21"/>
                      <w:szCs w:val="21"/>
                      <w:lang w:val="en-US" w:eastAsia="zh-CN" w:bidi="ar"/>
                    </w:rPr>
                    <w:t>对照《河南省重污染天气通用行业应急减排技术指南》</w:t>
                  </w:r>
                  <w:r>
                    <w:rPr>
                      <w:rFonts w:hint="eastAsia" w:ascii="Times New Roman" w:hAnsi="Times New Roman" w:cs="Times New Roman"/>
                      <w:color w:val="auto"/>
                      <w:kern w:val="0"/>
                      <w:sz w:val="21"/>
                      <w:szCs w:val="21"/>
                      <w:lang w:val="en-US" w:eastAsia="zh-CN" w:bidi="ar"/>
                    </w:rPr>
                    <w:t>中涉VOCs企业基本要求进行建设</w:t>
                  </w:r>
                  <w:r>
                    <w:rPr>
                      <w:rFonts w:hint="default" w:ascii="Times New Roman" w:hAnsi="Times New Roman" w:eastAsia="宋体" w:cs="Times New Roman"/>
                      <w:color w:val="auto"/>
                      <w:kern w:val="0"/>
                      <w:sz w:val="21"/>
                      <w:szCs w:val="21"/>
                      <w:lang w:val="en-US" w:eastAsia="zh-CN" w:bidi="ar"/>
                    </w:rPr>
                    <w:t>。</w:t>
                  </w:r>
                </w:p>
              </w:tc>
              <w:tc>
                <w:tcPr>
                  <w:tcW w:w="581" w:type="dxa"/>
                  <w:vAlign w:val="center"/>
                </w:tcPr>
                <w:p>
                  <w:pPr>
                    <w:adjustRightInd w:val="0"/>
                    <w:snapToGrid w:val="0"/>
                    <w:jc w:val="center"/>
                    <w:textAlignment w:val="baseline"/>
                    <w:outlineLvl w:val="0"/>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3" w:type="dxa"/>
                  <w:vAlign w:val="center"/>
                </w:tcPr>
                <w:p>
                  <w:pPr>
                    <w:adjustRightInd w:val="0"/>
                    <w:snapToGrid w:val="0"/>
                    <w:jc w:val="center"/>
                    <w:textAlignment w:val="baseline"/>
                    <w:outlineLvl w:val="0"/>
                    <w:rPr>
                      <w:color w:val="auto"/>
                      <w:szCs w:val="21"/>
                    </w:rPr>
                  </w:pPr>
                  <w:r>
                    <w:rPr>
                      <w:color w:val="auto"/>
                      <w:szCs w:val="21"/>
                    </w:rPr>
                    <w:t>27.强化VOCs日常监管</w:t>
                  </w:r>
                </w:p>
              </w:tc>
              <w:tc>
                <w:tcPr>
                  <w:tcW w:w="8212"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color w:val="auto"/>
                      <w:szCs w:val="21"/>
                    </w:rPr>
                    <w:t>加强挥发性有机物排放管理</w:t>
                  </w:r>
                  <w:r>
                    <w:rPr>
                      <w:rFonts w:hint="eastAsia"/>
                      <w:color w:val="auto"/>
                      <w:szCs w:val="21"/>
                    </w:rPr>
                    <w:t>，引导</w:t>
                  </w:r>
                  <w:r>
                    <w:rPr>
                      <w:color w:val="auto"/>
                      <w:szCs w:val="21"/>
                    </w:rPr>
                    <w:t>涉VOCs污染物排放企业妥善安排生产计划</w:t>
                  </w:r>
                  <w:r>
                    <w:rPr>
                      <w:rFonts w:hint="eastAsia"/>
                      <w:color w:val="auto"/>
                      <w:szCs w:val="21"/>
                    </w:rPr>
                    <w:t>，</w:t>
                  </w:r>
                  <w:r>
                    <w:rPr>
                      <w:color w:val="auto"/>
                      <w:szCs w:val="21"/>
                    </w:rPr>
                    <w:t>在夏季</w:t>
                  </w:r>
                  <w:r>
                    <w:rPr>
                      <w:rFonts w:hint="eastAsia"/>
                      <w:color w:val="auto"/>
                      <w:szCs w:val="21"/>
                    </w:rPr>
                    <w:t>（5</w:t>
                  </w:r>
                  <w:r>
                    <w:rPr>
                      <w:color w:val="auto"/>
                      <w:szCs w:val="21"/>
                    </w:rPr>
                    <w:t>-9</w:t>
                  </w:r>
                  <w:r>
                    <w:rPr>
                      <w:rFonts w:hint="eastAsia"/>
                      <w:color w:val="auto"/>
                      <w:szCs w:val="21"/>
                    </w:rPr>
                    <w:t>月份）</w:t>
                  </w:r>
                  <w:r>
                    <w:rPr>
                      <w:color w:val="auto"/>
                      <w:szCs w:val="21"/>
                    </w:rPr>
                    <w:t>减少开停车、放空、开釜等操作。涉VOCs防腐、防水、防锈等涂装作业及大中型装修、外立面改造、道路划线、沥青铺设等施工作业</w:t>
                  </w:r>
                  <w:r>
                    <w:rPr>
                      <w:rFonts w:hint="eastAsia"/>
                      <w:color w:val="auto"/>
                      <w:szCs w:val="21"/>
                    </w:rPr>
                    <w:t>，</w:t>
                  </w:r>
                  <w:r>
                    <w:rPr>
                      <w:color w:val="auto"/>
                      <w:szCs w:val="21"/>
                    </w:rPr>
                    <w:t>应当避开臭氧污染易发的高温时段。加强非正常工况废气排放管理</w:t>
                  </w:r>
                  <w:r>
                    <w:rPr>
                      <w:rFonts w:hint="eastAsia"/>
                      <w:color w:val="auto"/>
                      <w:szCs w:val="21"/>
                    </w:rPr>
                    <w:t>，</w:t>
                  </w:r>
                  <w:r>
                    <w:rPr>
                      <w:color w:val="auto"/>
                      <w:szCs w:val="21"/>
                    </w:rPr>
                    <w:t>医药、化工等重点行业企业应提前向当地生态环境部门报告开停车、检维修计划</w:t>
                  </w:r>
                  <w:r>
                    <w:rPr>
                      <w:rFonts w:hint="eastAsia"/>
                      <w:color w:val="auto"/>
                      <w:szCs w:val="21"/>
                    </w:rPr>
                    <w:t>，</w:t>
                  </w:r>
                  <w:r>
                    <w:rPr>
                      <w:color w:val="auto"/>
                      <w:szCs w:val="21"/>
                    </w:rPr>
                    <w:t>火炬、煤气放散管应安装引燃设施</w:t>
                  </w:r>
                  <w:r>
                    <w:rPr>
                      <w:rFonts w:hint="eastAsia"/>
                      <w:color w:val="auto"/>
                      <w:szCs w:val="21"/>
                    </w:rPr>
                    <w:t>，</w:t>
                  </w:r>
                  <w:r>
                    <w:rPr>
                      <w:color w:val="auto"/>
                      <w:szCs w:val="21"/>
                    </w:rPr>
                    <w:t>配套建设燃烧温度监控、废气流量计、助燃气体流量计等</w:t>
                  </w:r>
                  <w:r>
                    <w:rPr>
                      <w:rFonts w:hint="eastAsia"/>
                      <w:color w:val="auto"/>
                      <w:szCs w:val="21"/>
                    </w:rPr>
                    <w:t>，</w:t>
                  </w:r>
                  <w:r>
                    <w:rPr>
                      <w:color w:val="auto"/>
                      <w:szCs w:val="21"/>
                    </w:rPr>
                    <w:t>排放废气热值达不到要求时应及时补充燃气体。</w:t>
                  </w:r>
                </w:p>
              </w:tc>
              <w:tc>
                <w:tcPr>
                  <w:tcW w:w="3890"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szCs w:val="21"/>
                    </w:rPr>
                    <w:t>本项目</w:t>
                  </w:r>
                  <w:r>
                    <w:rPr>
                      <w:rFonts w:hint="eastAsia"/>
                      <w:color w:val="auto"/>
                      <w:szCs w:val="21"/>
                      <w:lang w:eastAsia="zh-CN"/>
                    </w:rPr>
                    <w:t>运营</w:t>
                  </w:r>
                  <w:r>
                    <w:rPr>
                      <w:rFonts w:hint="eastAsia"/>
                      <w:color w:val="auto"/>
                      <w:szCs w:val="21"/>
                    </w:rPr>
                    <w:t>中产生</w:t>
                  </w:r>
                  <w:r>
                    <w:rPr>
                      <w:rFonts w:hint="eastAsia"/>
                      <w:color w:val="auto"/>
                      <w:szCs w:val="21"/>
                      <w:lang w:eastAsia="zh-CN"/>
                    </w:rPr>
                    <w:t>的</w:t>
                  </w:r>
                  <w:r>
                    <w:rPr>
                      <w:rFonts w:hint="eastAsia"/>
                      <w:color w:val="auto"/>
                      <w:szCs w:val="21"/>
                    </w:rPr>
                    <w:t>V</w:t>
                  </w:r>
                  <w:r>
                    <w:rPr>
                      <w:color w:val="auto"/>
                      <w:szCs w:val="21"/>
                    </w:rPr>
                    <w:t>OCs</w:t>
                  </w:r>
                  <w:r>
                    <w:rPr>
                      <w:rFonts w:hint="eastAsia"/>
                      <w:color w:val="auto"/>
                      <w:szCs w:val="21"/>
                      <w:lang w:eastAsia="zh-CN"/>
                    </w:rPr>
                    <w:t>配套有油气回收系统</w:t>
                  </w:r>
                  <w:r>
                    <w:rPr>
                      <w:rFonts w:hint="eastAsia"/>
                      <w:color w:val="auto"/>
                      <w:szCs w:val="21"/>
                    </w:rPr>
                    <w:t>。</w:t>
                  </w:r>
                </w:p>
              </w:tc>
              <w:tc>
                <w:tcPr>
                  <w:tcW w:w="581" w:type="dxa"/>
                  <w:vAlign w:val="center"/>
                </w:tcPr>
                <w:p>
                  <w:pPr>
                    <w:adjustRightInd w:val="0"/>
                    <w:snapToGrid w:val="0"/>
                    <w:jc w:val="center"/>
                    <w:textAlignment w:val="baseline"/>
                    <w:outlineLvl w:val="0"/>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26" w:type="dxa"/>
                  <w:gridSpan w:val="4"/>
                  <w:vAlign w:val="center"/>
                </w:tcPr>
                <w:p>
                  <w:pPr>
                    <w:adjustRightInd w:val="0"/>
                    <w:snapToGrid w:val="0"/>
                    <w:jc w:val="center"/>
                    <w:textAlignment w:val="baseline"/>
                    <w:outlineLvl w:val="0"/>
                    <w:rPr>
                      <w:color w:val="auto"/>
                      <w:szCs w:val="21"/>
                    </w:rPr>
                  </w:pPr>
                  <w:r>
                    <w:rPr>
                      <w:rFonts w:hint="eastAsia"/>
                      <w:b/>
                      <w:color w:val="auto"/>
                      <w:szCs w:val="21"/>
                    </w:rPr>
                    <w:t>《新乡市</w:t>
                  </w:r>
                  <w:r>
                    <w:rPr>
                      <w:b/>
                      <w:color w:val="auto"/>
                      <w:szCs w:val="21"/>
                    </w:rPr>
                    <w:t>2022</w:t>
                  </w:r>
                  <w:r>
                    <w:rPr>
                      <w:rFonts w:hint="eastAsia"/>
                      <w:b/>
                      <w:color w:val="auto"/>
                      <w:szCs w:val="21"/>
                    </w:rPr>
                    <w:t>年水污染防治攻坚战实施方案》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3" w:type="dxa"/>
                  <w:vAlign w:val="center"/>
                </w:tcPr>
                <w:p>
                  <w:pPr>
                    <w:adjustRightInd w:val="0"/>
                    <w:snapToGrid w:val="0"/>
                    <w:jc w:val="center"/>
                    <w:textAlignment w:val="baseline"/>
                    <w:outlineLvl w:val="0"/>
                    <w:rPr>
                      <w:color w:val="auto"/>
                      <w:szCs w:val="21"/>
                    </w:rPr>
                  </w:pPr>
                  <w:r>
                    <w:rPr>
                      <w:color w:val="auto"/>
                      <w:szCs w:val="21"/>
                    </w:rPr>
                    <w:t>14.</w:t>
                  </w:r>
                  <w:r>
                    <w:rPr>
                      <w:rFonts w:hint="eastAsia"/>
                      <w:color w:val="auto"/>
                      <w:szCs w:val="21"/>
                    </w:rPr>
                    <w:t>调整优化产业结构</w:t>
                  </w:r>
                </w:p>
              </w:tc>
              <w:tc>
                <w:tcPr>
                  <w:tcW w:w="8212"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szCs w:val="21"/>
                    </w:rP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3890"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baseline"/>
                    <w:outlineLvl w:val="0"/>
                    <w:rPr>
                      <w:color w:val="auto"/>
                      <w:szCs w:val="21"/>
                    </w:rPr>
                  </w:pPr>
                  <w:r>
                    <w:rPr>
                      <w:rFonts w:hint="eastAsia"/>
                      <w:color w:val="auto"/>
                    </w:rPr>
                    <w:t>本项目为</w:t>
                  </w:r>
                  <w:r>
                    <w:rPr>
                      <w:rFonts w:hint="eastAsia" w:ascii="Times New Roman" w:hAnsi="Times New Roman"/>
                      <w:snapToGrid w:val="0"/>
                      <w:color w:val="auto"/>
                      <w:sz w:val="21"/>
                      <w:lang w:eastAsia="zh-CN"/>
                    </w:rPr>
                    <w:t>加油站扩</w:t>
                  </w:r>
                  <w:r>
                    <w:rPr>
                      <w:rFonts w:hint="eastAsia" w:ascii="Times New Roman" w:hAnsi="Times New Roman"/>
                      <w:snapToGrid w:val="0"/>
                      <w:color w:val="auto"/>
                      <w:sz w:val="21"/>
                    </w:rPr>
                    <w:t>建项目</w:t>
                  </w:r>
                  <w:r>
                    <w:rPr>
                      <w:rFonts w:hint="eastAsia"/>
                      <w:color w:val="auto"/>
                    </w:rPr>
                    <w:t>，位于</w:t>
                  </w:r>
                  <w:r>
                    <w:rPr>
                      <w:rFonts w:hint="eastAsia"/>
                      <w:color w:val="auto"/>
                      <w:lang w:eastAsia="zh-CN"/>
                    </w:rPr>
                    <w:t>新乡市新乡县七里营镇政府北300m</w:t>
                  </w:r>
                  <w:r>
                    <w:rPr>
                      <w:rFonts w:hint="eastAsia"/>
                      <w:color w:val="auto"/>
                    </w:rPr>
                    <w:t>。项目满足“三线一单”生态环境分区管控要求，不属于“两高一资”项目。</w:t>
                  </w:r>
                </w:p>
              </w:tc>
              <w:tc>
                <w:tcPr>
                  <w:tcW w:w="581" w:type="dxa"/>
                  <w:vAlign w:val="center"/>
                </w:tcPr>
                <w:p>
                  <w:pPr>
                    <w:adjustRightInd w:val="0"/>
                    <w:snapToGrid w:val="0"/>
                    <w:jc w:val="center"/>
                    <w:textAlignment w:val="baseline"/>
                    <w:outlineLvl w:val="0"/>
                    <w:rPr>
                      <w:color w:val="auto"/>
                      <w:szCs w:val="21"/>
                    </w:rPr>
                  </w:pPr>
                  <w:r>
                    <w:rPr>
                      <w:color w:val="auto"/>
                      <w:szCs w:val="21"/>
                    </w:rPr>
                    <w:t>符合</w:t>
                  </w:r>
                </w:p>
              </w:tc>
            </w:tr>
          </w:tbl>
          <w:p>
            <w:pPr>
              <w:pStyle w:val="21"/>
              <w:snapToGrid w:val="0"/>
              <w:spacing w:before="0" w:beforeAutospacing="0" w:after="0" w:afterAutospacing="0" w:line="520" w:lineRule="exact"/>
              <w:ind w:firstLine="480" w:firstLineChars="200"/>
              <w:jc w:val="both"/>
              <w:outlineLvl w:val="0"/>
              <w:rPr>
                <w:rFonts w:ascii="黑体" w:hAnsi="黑体" w:eastAsia="黑体"/>
                <w:snapToGrid w:val="0"/>
                <w:color w:val="auto"/>
                <w:sz w:val="30"/>
                <w:szCs w:val="30"/>
                <w:lang w:val="en-US"/>
              </w:rPr>
            </w:pPr>
            <w:r>
              <w:rPr>
                <w:rFonts w:ascii="Times New Roman" w:hAnsi="Times New Roman"/>
                <w:color w:val="auto"/>
                <w:lang w:val="en-US"/>
              </w:rPr>
              <w:t>由上表可知，本项目符合《攻坚战实施方案》相关要求。</w:t>
            </w:r>
          </w:p>
          <w:p>
            <w:pPr>
              <w:pStyle w:val="21"/>
              <w:adjustRightInd w:val="0"/>
              <w:snapToGrid w:val="0"/>
              <w:spacing w:before="0" w:beforeAutospacing="0" w:after="0" w:afterAutospacing="0" w:line="460" w:lineRule="exact"/>
              <w:ind w:firstLine="480" w:firstLineChars="200"/>
              <w:jc w:val="both"/>
              <w:outlineLvl w:val="0"/>
              <w:rPr>
                <w:rFonts w:ascii="Times New Roman" w:hAnsi="Times New Roman"/>
                <w:color w:val="auto"/>
                <w:lang w:val="en-US"/>
              </w:rPr>
            </w:pPr>
            <w:r>
              <w:rPr>
                <w:rFonts w:hint="eastAsia" w:ascii="Times New Roman" w:hAnsi="Times New Roman"/>
                <w:color w:val="auto"/>
                <w:lang w:val="en-US"/>
              </w:rPr>
              <w:t>（</w:t>
            </w:r>
            <w:r>
              <w:rPr>
                <w:rFonts w:hint="eastAsia" w:ascii="Times New Roman" w:hAnsi="Times New Roman"/>
                <w:color w:val="auto"/>
                <w:lang w:val="en-US" w:eastAsia="zh-CN"/>
              </w:rPr>
              <w:t>2</w:t>
            </w:r>
            <w:r>
              <w:rPr>
                <w:rFonts w:hint="eastAsia" w:ascii="Times New Roman" w:hAnsi="Times New Roman"/>
                <w:color w:val="auto"/>
                <w:lang w:val="en-US"/>
              </w:rPr>
              <w:t>）</w:t>
            </w:r>
            <w:r>
              <w:rPr>
                <w:rFonts w:ascii="Times New Roman" w:hAnsi="Times New Roman"/>
                <w:color w:val="auto"/>
                <w:lang w:val="en-US"/>
              </w:rPr>
              <w:t>与</w:t>
            </w:r>
            <w:r>
              <w:rPr>
                <w:rFonts w:hint="eastAsia" w:ascii="Times New Roman" w:hAnsi="Times New Roman"/>
                <w:color w:val="auto"/>
                <w:lang w:val="en-US"/>
              </w:rPr>
              <w:t>《河南省重污染天气</w:t>
            </w:r>
            <w:r>
              <w:rPr>
                <w:rFonts w:hint="eastAsia" w:ascii="Times New Roman" w:hAnsi="Times New Roman"/>
                <w:color w:val="auto"/>
                <w:lang w:val="en-US" w:eastAsia="zh-CN"/>
              </w:rPr>
              <w:t>通用</w:t>
            </w:r>
            <w:r>
              <w:rPr>
                <w:rFonts w:hint="eastAsia" w:ascii="Times New Roman" w:hAnsi="Times New Roman"/>
                <w:color w:val="auto"/>
                <w:lang w:val="en-US"/>
              </w:rPr>
              <w:t>行业应急减排措施制定技术指南（2021年修订版）》相符性分析</w:t>
            </w:r>
          </w:p>
          <w:p>
            <w:pPr>
              <w:pStyle w:val="21"/>
              <w:adjustRightInd w:val="0"/>
              <w:snapToGrid w:val="0"/>
              <w:spacing w:before="0" w:beforeAutospacing="0" w:after="0" w:afterAutospacing="0" w:line="460" w:lineRule="exact"/>
              <w:ind w:firstLine="480" w:firstLineChars="200"/>
              <w:jc w:val="both"/>
              <w:outlineLvl w:val="0"/>
              <w:rPr>
                <w:rFonts w:ascii="Times New Roman" w:hAnsi="Times New Roman"/>
                <w:color w:val="auto"/>
                <w:lang w:val="en-US"/>
              </w:rPr>
            </w:pPr>
            <w:r>
              <w:rPr>
                <w:rFonts w:ascii="Times New Roman" w:hAnsi="Times New Roman"/>
                <w:color w:val="auto"/>
                <w:lang w:val="en-US"/>
              </w:rPr>
              <w:t>根据《河南省重污染天气</w:t>
            </w:r>
            <w:r>
              <w:rPr>
                <w:rFonts w:hint="eastAsia" w:ascii="Times New Roman" w:hAnsi="Times New Roman"/>
                <w:color w:val="auto"/>
                <w:lang w:val="en-US" w:eastAsia="zh-CN"/>
              </w:rPr>
              <w:t>通用</w:t>
            </w:r>
            <w:r>
              <w:rPr>
                <w:rFonts w:ascii="Times New Roman" w:hAnsi="Times New Roman"/>
                <w:color w:val="auto"/>
                <w:lang w:val="en-US"/>
              </w:rPr>
              <w:t>行业应急减排措施制定技术指南（2021年修订</w:t>
            </w:r>
            <w:r>
              <w:rPr>
                <w:rFonts w:hint="eastAsia" w:ascii="Times New Roman" w:hAnsi="Times New Roman"/>
                <w:color w:val="auto"/>
                <w:lang w:val="en-US"/>
              </w:rPr>
              <w:t>版）</w:t>
            </w:r>
            <w:r>
              <w:rPr>
                <w:rFonts w:ascii="Times New Roman" w:hAnsi="Times New Roman"/>
                <w:color w:val="auto"/>
                <w:lang w:val="en-US"/>
              </w:rPr>
              <w:t>》中</w:t>
            </w:r>
            <w:r>
              <w:rPr>
                <w:rFonts w:hint="eastAsia" w:ascii="Times New Roman" w:hAnsi="Times New Roman"/>
                <w:color w:val="auto"/>
                <w:lang w:val="en-US" w:eastAsia="zh-CN"/>
              </w:rPr>
              <w:t>涉VOCs企业</w:t>
            </w:r>
            <w:r>
              <w:rPr>
                <w:rFonts w:hint="eastAsia" w:ascii="Times New Roman" w:hAnsi="Times New Roman"/>
                <w:color w:val="auto"/>
                <w:lang w:val="en-US"/>
              </w:rPr>
              <w:t>行业</w:t>
            </w:r>
            <w:r>
              <w:rPr>
                <w:rFonts w:ascii="Times New Roman" w:hAnsi="Times New Roman"/>
                <w:color w:val="auto"/>
                <w:lang w:val="en-US"/>
              </w:rPr>
              <w:t>的要求，结合本项目的情况，该方案中涉及到本项目的内容与本项目实际情况的对比情况有：</w:t>
            </w:r>
          </w:p>
          <w:p>
            <w:pPr>
              <w:pStyle w:val="9"/>
              <w:bidi w:val="0"/>
            </w:pPr>
            <w:r>
              <w:rPr>
                <w:rFonts w:hint="eastAsia"/>
              </w:rPr>
              <w:t>本项目与《</w:t>
            </w:r>
            <w:r>
              <w:rPr>
                <w:rFonts w:hint="eastAsia"/>
                <w:lang w:eastAsia="zh-CN"/>
              </w:rPr>
              <w:t>河南省</w:t>
            </w:r>
            <w:r>
              <w:rPr>
                <w:rFonts w:hint="eastAsia"/>
              </w:rPr>
              <w:t>重污染天气</w:t>
            </w:r>
            <w:r>
              <w:rPr>
                <w:rFonts w:hint="eastAsia"/>
                <w:lang w:eastAsia="zh-CN"/>
              </w:rPr>
              <w:t>通用</w:t>
            </w:r>
            <w:r>
              <w:rPr>
                <w:rFonts w:hint="eastAsia"/>
              </w:rPr>
              <w:t>行业应急减排措施指南》</w:t>
            </w:r>
            <w:r>
              <w:rPr>
                <w:rFonts w:hint="eastAsia"/>
                <w:lang w:eastAsia="zh-CN"/>
              </w:rPr>
              <w:t>中涉</w:t>
            </w:r>
            <w:r>
              <w:rPr>
                <w:rFonts w:hint="eastAsia"/>
                <w:lang w:val="en-US" w:eastAsia="zh-CN"/>
              </w:rPr>
              <w:t>VOCs企业基本要求</w:t>
            </w:r>
            <w:r>
              <w:t>对比分析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6839"/>
              <w:gridCol w:w="5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指标</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通用行业中的涉</w:t>
                  </w:r>
                  <w:r>
                    <w:rPr>
                      <w:rFonts w:hint="eastAsia" w:ascii="Times New Roman" w:hAnsi="Times New Roman" w:eastAsia="宋体" w:cs="Times New Roman"/>
                      <w:b/>
                      <w:bCs/>
                      <w:color w:val="auto"/>
                      <w:sz w:val="21"/>
                      <w:szCs w:val="21"/>
                      <w:highlight w:val="none"/>
                      <w:lang w:val="en-US" w:eastAsia="zh-CN"/>
                    </w:rPr>
                    <w:t>VOCs</w:t>
                  </w:r>
                  <w:r>
                    <w:rPr>
                      <w:rFonts w:hint="default" w:ascii="Times New Roman" w:hAnsi="Times New Roman" w:eastAsia="宋体" w:cs="Times New Roman"/>
                      <w:b/>
                      <w:bCs/>
                      <w:color w:val="auto"/>
                      <w:sz w:val="21"/>
                      <w:szCs w:val="21"/>
                      <w:highlight w:val="none"/>
                      <w:lang w:val="en-US" w:eastAsia="zh-CN"/>
                    </w:rPr>
                    <w:t>企业基本要求</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物料储存</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涂料、稀释剂、清洗剂等原辅材料密闭存储。盛装过 VOCs物料的包装容器、含 VOCs 废料（渣、液）、废吸附剂等通过加盖、封装等方式密闭储存；生产车间内涉 VOCs 物料应密闭储存。</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本项目为加油站扩建项目，汽油、柴油均以储罐形式密闭储存。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物料转移和输送</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采用密闭管道或密闭容器等输送</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项目汽油、柴油均以密闭管道输送。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工艺过程</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原辅材料调配、使用（施胶、喷涂、干燥等）、回收等过程采用密闭设备或在密闭空间内操作。涉 VOCs 原料装卸、储存、转移和输送、工艺过程等环节的废气全部收集引至 VOCs 处理系统。</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项目储罐呼吸废气和加油作业废气均配置相应的油气回收系统。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运输方式及运输监管</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（1）运输方式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①公路运输。物料公路运输使用达到国五及以上排放标准重型载货车辆（重型燃气车辆达到国六排放标准）或新能源车辆比例（A级100%，B 级不低于 80%），其他车辆达到国四排放标准（重型燃气车辆达到国五及以上排放标准）；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②厂内运输车辆。达到国五及以上排放标准（重型燃气车辆达到国六排放标准）或使用新能源车辆的比例（A 级 100%，B级不低于 80%），其他车辆达到国四排放标准（重型燃气车辆达到国五及以上排放标准）；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③危险品及危废运输。国五及以上或新能源车辆（A 级/B级 100%）；</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④厂内非道路移动机械。国三及以上排放标准或使用新能源机械（A 级/B 级 100%）。</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运输委托第三方公司运输，</w:t>
                  </w:r>
                  <w:r>
                    <w:rPr>
                      <w:rFonts w:hint="eastAsia" w:cs="Times New Roman"/>
                      <w:color w:val="auto"/>
                      <w:sz w:val="21"/>
                      <w:szCs w:val="21"/>
                      <w:lang w:val="en-US" w:eastAsia="zh-CN"/>
                    </w:rPr>
                    <w:t>将</w:t>
                  </w:r>
                  <w:r>
                    <w:rPr>
                      <w:rFonts w:hint="eastAsia" w:ascii="Times New Roman" w:hAnsi="Times New Roman" w:eastAsia="宋体" w:cs="Times New Roman"/>
                      <w:color w:val="auto"/>
                      <w:sz w:val="21"/>
                      <w:szCs w:val="21"/>
                      <w:lang w:val="en-US" w:eastAsia="zh-CN"/>
                    </w:rPr>
                    <w:t>要求运输单位全部</w:t>
                  </w:r>
                  <w:r>
                    <w:rPr>
                      <w:rFonts w:hint="default" w:ascii="Times New Roman" w:hAnsi="Times New Roman" w:eastAsia="宋体" w:cs="Times New Roman"/>
                      <w:color w:val="auto"/>
                      <w:sz w:val="21"/>
                      <w:szCs w:val="21"/>
                      <w:lang w:val="en-US" w:eastAsia="zh-CN"/>
                    </w:rPr>
                    <w:t>使用国五排放标准</w:t>
                  </w:r>
                  <w:r>
                    <w:rPr>
                      <w:rFonts w:hint="eastAsia" w:ascii="Times New Roman" w:hAnsi="Times New Roman" w:eastAsia="宋体" w:cs="Times New Roman"/>
                      <w:color w:val="auto"/>
                      <w:sz w:val="21"/>
                      <w:szCs w:val="21"/>
                      <w:lang w:val="en-US" w:eastAsia="zh-CN"/>
                    </w:rPr>
                    <w:t>车辆</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lang w:val="en-US" w:eastAsia="zh-CN"/>
                    </w:rPr>
                    <w:t>厂内运输车辆；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不涉及危险品及危废运输</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4、不涉及非道路移动机械。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（2）运输监管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厂区货运车辆进出大门口：日均进出货物 150 吨（或载货车辆日进出 10 辆次）及以上（货物包括原料、辅料、燃料、产品和其他与生产相关物料）的企业，或纳入我省重点行业年产值1000 万及以上的企业，拟申报 A、B 级企业时，应参照《重污染天气重点行业移动源应急管理技术指南》建立门禁视频监控系统和电子台账；其他企业建立电子台账。安装高清视频监控系统并7能保留数据 6 个月以上。</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环境管理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要求</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（1）环保档案资料齐全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①环评批复文件和竣工验收文件/现状评估文件；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②废气治理设施运行管理规程；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③一年内废气监测报告；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④国家版排污许可证，并按要求开展自行监测和信息披露，有规范的排气筒监测平台和排污口标识。</w:t>
                  </w:r>
                </w:p>
              </w:tc>
              <w:tc>
                <w:tcPr>
                  <w:tcW w:w="1974" w:type="pct"/>
                  <w:noWrap w:val="0"/>
                  <w:vAlign w:val="center"/>
                </w:tcPr>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1.本项目环评批复文件和竣工环保验收文件将按要求存档备查；</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2.本项目将建立合格的废气治理设施运行管理规程；</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b w:val="0"/>
                      <w:bCs/>
                      <w:color w:val="auto"/>
                      <w:u w:val="none"/>
                      <w:lang w:eastAsia="zh-CN"/>
                    </w:rPr>
                  </w:pPr>
                  <w:r>
                    <w:rPr>
                      <w:rFonts w:hint="eastAsia"/>
                      <w:b w:val="0"/>
                      <w:bCs/>
                      <w:color w:val="auto"/>
                      <w:u w:val="none"/>
                      <w:lang w:val="en-US" w:eastAsia="zh-CN"/>
                    </w:rPr>
                    <w:t>3</w:t>
                  </w:r>
                  <w:r>
                    <w:rPr>
                      <w:rFonts w:hint="eastAsia"/>
                      <w:b w:val="0"/>
                      <w:bCs/>
                      <w:color w:val="auto"/>
                      <w:u w:val="none"/>
                    </w:rPr>
                    <w:t>.本项目建成后将按要求对一年内废气监测报告（符合排污许可证监测项目及频次要求）进行存档备查</w:t>
                  </w:r>
                  <w:r>
                    <w:rPr>
                      <w:rFonts w:hint="eastAsia"/>
                      <w:b w:val="0"/>
                      <w:bCs/>
                      <w:color w:val="auto"/>
                      <w:u w:val="none"/>
                      <w:lang w:eastAsia="zh-CN"/>
                    </w:rPr>
                    <w:t>；</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snapToGrid w:val="0"/>
                      <w:color w:val="auto"/>
                      <w:kern w:val="2"/>
                      <w:sz w:val="21"/>
                      <w:szCs w:val="24"/>
                      <w:u w:val="none"/>
                      <w:lang w:val="en-US" w:eastAsia="zh-CN" w:bidi="ar-SA"/>
                    </w:rPr>
                  </w:pPr>
                  <w:r>
                    <w:rPr>
                      <w:rFonts w:hint="eastAsia"/>
                      <w:b w:val="0"/>
                      <w:bCs/>
                      <w:color w:val="auto"/>
                      <w:u w:val="none"/>
                    </w:rPr>
                    <w:t>4.本项目将按要求按时完成国家版排污许可证</w:t>
                  </w:r>
                  <w:r>
                    <w:rPr>
                      <w:rFonts w:hint="eastAsia"/>
                      <w:b w:val="0"/>
                      <w:bCs/>
                      <w:color w:val="auto"/>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（2）台账记录信息完整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①生产设施运行管理信息（生产时间、 运行负荷、产品产量等）；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②废气污染治理设施运行管理信息（除尘滤料、活性炭等更换量和时间）；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③监测记录信息（主要污染排放口废气排放记录（手工监测和在线监测）等）；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④主要原辅材料、燃料消耗记录（A、B 级企业必需）；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⑤电消耗记录（已安装用电监管设备的 A、B 级企业必需）。</w:t>
                  </w:r>
                </w:p>
              </w:tc>
              <w:tc>
                <w:tcPr>
                  <w:tcW w:w="1974" w:type="pct"/>
                  <w:noWrap w:val="0"/>
                  <w:vAlign w:val="center"/>
                </w:tcPr>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本项目建成后将按要求规范进行下列台账记录：</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1.</w:t>
                  </w:r>
                  <w:r>
                    <w:rPr>
                      <w:rFonts w:hint="eastAsia"/>
                      <w:b w:val="0"/>
                      <w:bCs/>
                      <w:color w:val="auto"/>
                      <w:u w:val="none"/>
                      <w:lang w:eastAsia="zh-CN"/>
                    </w:rPr>
                    <w:t>加油站运营</w:t>
                  </w:r>
                  <w:r>
                    <w:rPr>
                      <w:rFonts w:hint="eastAsia"/>
                      <w:b w:val="0"/>
                      <w:bCs/>
                      <w:color w:val="auto"/>
                      <w:u w:val="none"/>
                    </w:rPr>
                    <w:t>管理信息（</w:t>
                  </w:r>
                  <w:r>
                    <w:rPr>
                      <w:rFonts w:hint="eastAsia"/>
                      <w:b w:val="0"/>
                      <w:bCs/>
                      <w:color w:val="auto"/>
                      <w:u w:val="none"/>
                      <w:lang w:eastAsia="zh-CN"/>
                    </w:rPr>
                    <w:t>日加油量等</w:t>
                  </w:r>
                  <w:r>
                    <w:rPr>
                      <w:rFonts w:hint="eastAsia"/>
                      <w:b w:val="0"/>
                      <w:bCs/>
                      <w:color w:val="auto"/>
                      <w:u w:val="none"/>
                    </w:rPr>
                    <w:t>）；</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2.废气污染治理设施运行管理信息；</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3.监测记录信息（主要污染排放口废气排放记录等）；</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4.主要原辅材料消耗记录；</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color w:val="auto"/>
                      <w:u w:val="none"/>
                    </w:rPr>
                  </w:pPr>
                  <w:r>
                    <w:rPr>
                      <w:rFonts w:hint="eastAsia"/>
                      <w:b w:val="0"/>
                      <w:bCs/>
                      <w:color w:val="auto"/>
                      <w:u w:val="none"/>
                    </w:rPr>
                    <w:t>5.</w:t>
                  </w:r>
                  <w:r>
                    <w:rPr>
                      <w:rFonts w:hint="eastAsia"/>
                      <w:b w:val="0"/>
                      <w:bCs/>
                      <w:color w:val="auto"/>
                      <w:u w:val="none"/>
                      <w:lang w:eastAsia="zh-CN"/>
                    </w:rPr>
                    <w:t>电</w:t>
                  </w:r>
                  <w:r>
                    <w:rPr>
                      <w:rFonts w:hint="eastAsia"/>
                      <w:b w:val="0"/>
                      <w:bCs/>
                      <w:color w:val="auto"/>
                      <w:u w:val="none"/>
                    </w:rPr>
                    <w:t>消耗记录；</w:t>
                  </w:r>
                </w:p>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snapToGrid w:val="0"/>
                      <w:color w:val="auto"/>
                      <w:kern w:val="2"/>
                      <w:sz w:val="21"/>
                      <w:szCs w:val="24"/>
                      <w:u w:val="none"/>
                      <w:lang w:val="en-US" w:eastAsia="zh-CN" w:bidi="ar-SA"/>
                    </w:rPr>
                  </w:pPr>
                  <w:r>
                    <w:rPr>
                      <w:rFonts w:hint="eastAsia"/>
                      <w:b w:val="0"/>
                      <w:bCs/>
                      <w:color w:val="auto"/>
                      <w:u w:val="none"/>
                    </w:rPr>
                    <w:t>6.危废处理记录。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（3）人员配置合理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配备专/兼职环保人员，并具备相应的环境管理能力（学历、培训、从业经验等）。</w:t>
                  </w:r>
                </w:p>
              </w:tc>
              <w:tc>
                <w:tcPr>
                  <w:tcW w:w="1974" w:type="pct"/>
                  <w:noWrap w:val="0"/>
                  <w:vAlign w:val="center"/>
                </w:tcPr>
                <w:p>
                  <w:pPr>
                    <w:pStyle w:val="55"/>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snapToGrid w:val="0"/>
                      <w:color w:val="auto"/>
                      <w:kern w:val="2"/>
                      <w:sz w:val="21"/>
                      <w:szCs w:val="24"/>
                      <w:u w:val="single"/>
                      <w:lang w:val="en-US" w:eastAsia="zh-CN" w:bidi="ar-SA"/>
                    </w:rPr>
                  </w:pPr>
                  <w:r>
                    <w:rPr>
                      <w:rFonts w:hint="eastAsia"/>
                      <w:b w:val="0"/>
                      <w:bCs/>
                      <w:color w:val="auto"/>
                      <w:u w:val="none"/>
                    </w:rPr>
                    <w:t>本项目将配备专职环保人员，并具备相应的环境管理能力。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其他控制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要求</w:t>
                  </w: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（1）生产工艺和装备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不属于《产业结构调整指导目录（2019 年版）》淘汰类，不属于省级和市级政府部门明确列入已经限期淘汰类项目。</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属于《产业结构调整指导目录（2019 年版）》</w:t>
                  </w:r>
                  <w:r>
                    <w:rPr>
                      <w:rFonts w:hint="eastAsia" w:ascii="Times New Roman" w:hAnsi="Times New Roman" w:eastAsia="宋体" w:cs="Times New Roman"/>
                      <w:color w:val="auto"/>
                      <w:sz w:val="21"/>
                      <w:szCs w:val="21"/>
                      <w:lang w:val="en-US" w:eastAsia="zh-CN"/>
                    </w:rPr>
                    <w:t>允许</w:t>
                  </w:r>
                  <w:r>
                    <w:rPr>
                      <w:rFonts w:hint="default" w:ascii="Times New Roman" w:hAnsi="Times New Roman" w:eastAsia="宋体" w:cs="Times New Roman"/>
                      <w:color w:val="auto"/>
                      <w:sz w:val="21"/>
                      <w:szCs w:val="21"/>
                      <w:lang w:val="en-US" w:eastAsia="zh-CN"/>
                    </w:rPr>
                    <w:t>类</w:t>
                  </w: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（2）污染治理副产物</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（3）用电量/视频监管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 A、B 级企业，应在主要生产设备（投料口、卸料口等位置）安装视频监控设施，相关数据保存三个月以上。</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（4）厂容厂貌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厂区内道路、原辅材料和燃料堆场等路面应硬化。厂区内道路采取定期清扫、洒水等措施，保持清洁，路面无明显可见积尘。其他未利用地优先绿化，或进行硬化，无成片裸露土地。</w:t>
                  </w:r>
                </w:p>
              </w:tc>
              <w:tc>
                <w:tcPr>
                  <w:tcW w:w="1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站区</w:t>
                  </w:r>
                  <w:r>
                    <w:rPr>
                      <w:rFonts w:hint="default" w:ascii="Times New Roman" w:hAnsi="Times New Roman" w:eastAsia="宋体" w:cs="Times New Roman"/>
                      <w:color w:val="auto"/>
                      <w:sz w:val="21"/>
                      <w:szCs w:val="21"/>
                      <w:lang w:val="en-US" w:eastAsia="zh-CN"/>
                    </w:rPr>
                    <w:t>全部硬化</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道路</w:t>
                  </w:r>
                  <w:r>
                    <w:rPr>
                      <w:rFonts w:hint="eastAsia" w:cs="Times New Roman"/>
                      <w:color w:val="auto"/>
                      <w:sz w:val="21"/>
                      <w:szCs w:val="21"/>
                      <w:lang w:val="en-US" w:eastAsia="zh-CN"/>
                    </w:rPr>
                    <w:t>将</w:t>
                  </w:r>
                  <w:r>
                    <w:rPr>
                      <w:rFonts w:hint="default" w:ascii="Times New Roman" w:hAnsi="Times New Roman" w:eastAsia="宋体" w:cs="Times New Roman"/>
                      <w:color w:val="auto"/>
                      <w:sz w:val="21"/>
                      <w:szCs w:val="21"/>
                      <w:lang w:val="en-US" w:eastAsia="zh-CN"/>
                    </w:rPr>
                    <w:t>定期清扫、洒水。</w:t>
                  </w:r>
                </w:p>
              </w:tc>
            </w:tr>
          </w:tbl>
          <w:p>
            <w:pPr>
              <w:pStyle w:val="21"/>
              <w:adjustRightInd w:val="0"/>
              <w:snapToGrid w:val="0"/>
              <w:spacing w:before="0" w:beforeAutospacing="0" w:after="0" w:afterAutospacing="0" w:line="460" w:lineRule="exact"/>
              <w:ind w:firstLine="480" w:firstLineChars="200"/>
              <w:jc w:val="both"/>
              <w:outlineLvl w:val="0"/>
              <w:rPr>
                <w:rFonts w:hint="eastAsia" w:ascii="Times New Roman" w:hAnsi="Times New Roman"/>
                <w:color w:val="auto"/>
                <w:szCs w:val="24"/>
                <w:lang w:val="en-US"/>
              </w:rPr>
            </w:pPr>
            <w:r>
              <w:rPr>
                <w:rFonts w:hint="eastAsia" w:ascii="Times New Roman" w:hAnsi="Times New Roman"/>
                <w:color w:val="auto"/>
                <w:szCs w:val="24"/>
                <w:lang w:val="en-US"/>
              </w:rPr>
              <w:t>本项目严格按照上述要求进行建设，并积极接受生态环境管理部门的监督检查。</w:t>
            </w:r>
          </w:p>
          <w:p>
            <w:pPr>
              <w:pStyle w:val="21"/>
              <w:adjustRightInd w:val="0"/>
              <w:snapToGrid w:val="0"/>
              <w:spacing w:before="0" w:beforeAutospacing="0" w:after="0" w:afterAutospacing="0" w:line="460" w:lineRule="exact"/>
              <w:ind w:firstLine="480" w:firstLineChars="200"/>
              <w:jc w:val="both"/>
              <w:outlineLvl w:val="0"/>
              <w:rPr>
                <w:rFonts w:ascii="Times New Roman" w:hAnsi="Times New Roman"/>
                <w:snapToGrid w:val="0"/>
                <w:color w:val="FF0000"/>
                <w:szCs w:val="30"/>
                <w:lang w:val="en-US"/>
              </w:rPr>
            </w:pPr>
          </w:p>
        </w:tc>
      </w:tr>
    </w:tbl>
    <w:p>
      <w:pPr>
        <w:pStyle w:val="21"/>
        <w:jc w:val="center"/>
        <w:outlineLvl w:val="0"/>
        <w:rPr>
          <w:rFonts w:ascii="黑体" w:hAnsi="黑体" w:eastAsia="黑体"/>
          <w:snapToGrid w:val="0"/>
          <w:color w:val="FF0000"/>
          <w:sz w:val="30"/>
          <w:szCs w:val="30"/>
        </w:rPr>
        <w:sectPr>
          <w:pgSz w:w="16838" w:h="11906" w:orient="landscape"/>
          <w:pgMar w:top="1531" w:right="1701" w:bottom="1531" w:left="1701" w:header="851" w:footer="851" w:gutter="0"/>
          <w:cols w:space="720" w:num="1"/>
          <w:docGrid w:linePitch="312" w:charSpace="0"/>
        </w:sectPr>
      </w:pPr>
    </w:p>
    <w:p>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0" w:hRule="atLeast"/>
          <w:jc w:val="center"/>
        </w:trPr>
        <w:tc>
          <w:tcPr>
            <w:tcW w:w="823" w:type="dxa"/>
            <w:vAlign w:val="center"/>
          </w:tcPr>
          <w:p>
            <w:pPr>
              <w:pStyle w:val="21"/>
              <w:adjustRightInd w:val="0"/>
              <w:snapToGrid w:val="0"/>
              <w:spacing w:before="0" w:beforeAutospacing="0" w:after="0" w:afterAutospacing="0"/>
              <w:jc w:val="center"/>
              <w:rPr>
                <w:rFonts w:cs="宋体"/>
                <w:color w:val="FF0000"/>
                <w:sz w:val="21"/>
                <w:szCs w:val="21"/>
                <w:lang w:val="en-US"/>
              </w:rPr>
            </w:pPr>
            <w:r>
              <w:rPr>
                <w:rFonts w:hint="eastAsia" w:cs="宋体"/>
                <w:color w:val="auto"/>
                <w:sz w:val="24"/>
                <w:szCs w:val="24"/>
                <w:lang w:val="en-US"/>
              </w:rPr>
              <w:t>建设内容</w:t>
            </w:r>
          </w:p>
        </w:tc>
        <w:tc>
          <w:tcPr>
            <w:tcW w:w="8161" w:type="dxa"/>
          </w:tcPr>
          <w:p>
            <w:pPr>
              <w:adjustRightInd w:val="0"/>
              <w:snapToGrid w:val="0"/>
              <w:spacing w:line="480" w:lineRule="exact"/>
              <w:ind w:firstLine="482" w:firstLineChars="200"/>
              <w:rPr>
                <w:b/>
                <w:color w:val="auto"/>
                <w:sz w:val="24"/>
              </w:rPr>
            </w:pPr>
            <w:r>
              <w:rPr>
                <w:rFonts w:ascii="宋体" w:hAnsi="宋体"/>
                <w:b/>
                <w:bCs/>
                <w:color w:val="auto"/>
                <w:sz w:val="24"/>
              </w:rPr>
              <w:t>1、</w:t>
            </w:r>
            <w:r>
              <w:rPr>
                <w:b/>
                <w:color w:val="auto"/>
                <w:sz w:val="24"/>
              </w:rPr>
              <w:t>项目概况</w:t>
            </w:r>
          </w:p>
          <w:p>
            <w:pPr>
              <w:adjustRightInd w:val="0"/>
              <w:snapToGrid w:val="0"/>
              <w:spacing w:line="480" w:lineRule="exact"/>
              <w:ind w:firstLine="480" w:firstLineChars="200"/>
              <w:rPr>
                <w:rFonts w:hint="eastAsia"/>
                <w:color w:val="auto"/>
                <w:sz w:val="24"/>
                <w:lang w:val="en-US" w:eastAsia="zh-CN"/>
              </w:rPr>
            </w:pPr>
            <w:r>
              <w:rPr>
                <w:rFonts w:hint="eastAsia"/>
                <w:color w:val="auto"/>
                <w:sz w:val="24"/>
                <w:lang w:eastAsia="zh-CN"/>
              </w:rPr>
              <w:t>新乡县七里营镇四达加油站成立于</w:t>
            </w:r>
            <w:r>
              <w:rPr>
                <w:rFonts w:hint="eastAsia"/>
                <w:color w:val="auto"/>
                <w:sz w:val="24"/>
                <w:lang w:val="en-US" w:eastAsia="zh-CN"/>
              </w:rPr>
              <w:t>2000年1月，占地面积2080m</w:t>
            </w:r>
            <w:r>
              <w:rPr>
                <w:rFonts w:hint="eastAsia"/>
                <w:color w:val="auto"/>
                <w:sz w:val="24"/>
                <w:vertAlign w:val="superscript"/>
                <w:lang w:val="en-US" w:eastAsia="zh-CN"/>
              </w:rPr>
              <w:t>2</w:t>
            </w:r>
            <w:r>
              <w:rPr>
                <w:rFonts w:hint="eastAsia"/>
                <w:color w:val="auto"/>
                <w:sz w:val="24"/>
                <w:lang w:val="en-US" w:eastAsia="zh-CN"/>
              </w:rPr>
              <w:t>，位于新乡县七里营镇政府北300米。主要从事汽油、柴油销售。2016年8月，新乡市鸿源环保科技咨询有限公司编制完成了《</w:t>
            </w:r>
            <w:r>
              <w:rPr>
                <w:rFonts w:hint="eastAsia"/>
                <w:color w:val="auto"/>
                <w:sz w:val="24"/>
                <w:lang w:eastAsia="zh-CN"/>
              </w:rPr>
              <w:t>新乡县七里营镇四达加油站加油站项目现状环境影响评估报告</w:t>
            </w:r>
            <w:r>
              <w:rPr>
                <w:rFonts w:hint="eastAsia"/>
                <w:color w:val="auto"/>
                <w:sz w:val="24"/>
                <w:lang w:val="en-US" w:eastAsia="zh-CN"/>
              </w:rPr>
              <w:t>》，该项目于2016年10月10日通过新乡县环境保护局备案，备案号为“新环清备 第01号”，于2020年6月17日取得排污许可证，编号为91410721786232523U001X。现有项目年</w:t>
            </w:r>
            <w:r>
              <w:rPr>
                <w:rFonts w:hint="eastAsia"/>
                <w:color w:val="auto"/>
                <w:sz w:val="24"/>
                <w:lang w:eastAsia="zh-CN"/>
              </w:rPr>
              <w:t>销售规模为汽油、柴油</w:t>
            </w:r>
            <w:r>
              <w:rPr>
                <w:rFonts w:hint="eastAsia"/>
                <w:color w:val="auto"/>
                <w:sz w:val="24"/>
                <w:lang w:val="en-US" w:eastAsia="zh-CN"/>
              </w:rPr>
              <w:t>200t。</w:t>
            </w:r>
          </w:p>
          <w:p>
            <w:pPr>
              <w:adjustRightInd w:val="0"/>
              <w:snapToGrid w:val="0"/>
              <w:spacing w:line="480" w:lineRule="exact"/>
              <w:ind w:firstLine="480" w:firstLineChars="200"/>
              <w:rPr>
                <w:rFonts w:hint="default"/>
                <w:color w:val="auto"/>
                <w:sz w:val="24"/>
                <w:lang w:val="en-US"/>
              </w:rPr>
            </w:pPr>
            <w:r>
              <w:rPr>
                <w:rFonts w:hint="eastAsia"/>
                <w:color w:val="auto"/>
                <w:sz w:val="24"/>
                <w:lang w:val="en-US" w:eastAsia="zh-CN"/>
              </w:rPr>
              <w:t>现企业拟对站区实施扩建，扩建在原有站区范围内实施，不新增占地，将原有2座20m</w:t>
            </w:r>
            <w:r>
              <w:rPr>
                <w:rFonts w:hint="eastAsia"/>
                <w:color w:val="auto"/>
                <w:sz w:val="24"/>
                <w:vertAlign w:val="superscript"/>
                <w:lang w:val="en-US" w:eastAsia="zh-CN"/>
              </w:rPr>
              <w:t>3</w:t>
            </w:r>
            <w:r>
              <w:rPr>
                <w:rFonts w:hint="eastAsia"/>
                <w:color w:val="auto"/>
                <w:sz w:val="24"/>
                <w:lang w:val="en-US" w:eastAsia="zh-CN"/>
              </w:rPr>
              <w:t>的乙醇汽油储罐替换为2座30m</w:t>
            </w:r>
            <w:r>
              <w:rPr>
                <w:rFonts w:hint="eastAsia"/>
                <w:color w:val="auto"/>
                <w:sz w:val="24"/>
                <w:vertAlign w:val="superscript"/>
                <w:lang w:val="en-US" w:eastAsia="zh-CN"/>
              </w:rPr>
              <w:t>3</w:t>
            </w:r>
            <w:r>
              <w:rPr>
                <w:rFonts w:hint="eastAsia"/>
                <w:color w:val="auto"/>
                <w:sz w:val="24"/>
                <w:lang w:val="en-US" w:eastAsia="zh-CN"/>
              </w:rPr>
              <w:t>的乙醇汽油储罐，并将原有2台加油机（1台单枪加油机和1台双枪加油机）替换为2台四枪税控加油机，扩建后汽油、柴油年销售规模增加至250t。</w:t>
            </w:r>
          </w:p>
          <w:p>
            <w:pPr>
              <w:adjustRightInd w:val="0"/>
              <w:snapToGrid w:val="0"/>
              <w:spacing w:line="480" w:lineRule="exact"/>
              <w:ind w:firstLine="482" w:firstLineChars="200"/>
              <w:rPr>
                <w:rFonts w:hint="eastAsia" w:eastAsia="宋体"/>
                <w:b/>
                <w:bCs/>
                <w:color w:val="auto"/>
                <w:sz w:val="24"/>
                <w:lang w:val="en-US" w:eastAsia="zh-CN"/>
              </w:rPr>
            </w:pPr>
            <w:r>
              <w:rPr>
                <w:rFonts w:hint="eastAsia"/>
                <w:b/>
                <w:bCs/>
                <w:color w:val="auto"/>
                <w:sz w:val="24"/>
                <w:lang w:val="en-US" w:eastAsia="zh-CN"/>
              </w:rPr>
              <w:t>2、项目组成</w:t>
            </w:r>
          </w:p>
          <w:p>
            <w:pPr>
              <w:adjustRightInd w:val="0"/>
              <w:snapToGrid w:val="0"/>
              <w:spacing w:line="480" w:lineRule="exact"/>
              <w:ind w:firstLine="480" w:firstLineChars="200"/>
              <w:rPr>
                <w:color w:val="auto"/>
                <w:sz w:val="24"/>
              </w:rPr>
            </w:pPr>
            <w:r>
              <w:rPr>
                <w:color w:val="auto"/>
                <w:sz w:val="24"/>
              </w:rPr>
              <w:t>项目的基本情况见</w:t>
            </w:r>
            <w:r>
              <w:rPr>
                <w:rFonts w:hint="eastAsia"/>
                <w:color w:val="auto"/>
                <w:sz w:val="24"/>
              </w:rPr>
              <w:t>下表</w:t>
            </w:r>
            <w:r>
              <w:rPr>
                <w:color w:val="auto"/>
                <w:sz w:val="24"/>
              </w:rPr>
              <w:t>。</w:t>
            </w:r>
          </w:p>
          <w:p>
            <w:pPr>
              <w:pStyle w:val="9"/>
              <w:bidi w:val="0"/>
              <w:rPr>
                <w:lang w:val="pt-BR"/>
              </w:rPr>
            </w:pPr>
            <w:r>
              <w:rPr>
                <w:lang w:val="pt-BR"/>
              </w:rPr>
              <w:t>项目概况一览表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265"/>
              <w:gridCol w:w="3467"/>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工程类别</w:t>
                  </w: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内容</w:t>
                  </w:r>
                </w:p>
              </w:tc>
              <w:tc>
                <w:tcPr>
                  <w:tcW w:w="3467"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设计能力</w:t>
                  </w:r>
                </w:p>
              </w:tc>
              <w:tc>
                <w:tcPr>
                  <w:tcW w:w="198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主体工程</w:t>
                  </w:r>
                </w:p>
              </w:tc>
              <w:tc>
                <w:tcPr>
                  <w:tcW w:w="1265" w:type="dxa"/>
                  <w:noWrap w:val="0"/>
                  <w:vAlign w:val="center"/>
                </w:tcPr>
                <w:p>
                  <w:pPr>
                    <w:adjustRightInd w:val="0"/>
                    <w:snapToGrid w:val="0"/>
                    <w:jc w:val="center"/>
                    <w:rPr>
                      <w:rFonts w:hint="default" w:ascii="Times New Roman" w:hAnsi="Times New Roman" w:eastAsia="宋体" w:cs="Times New Roman"/>
                      <w:color w:val="000000"/>
                      <w:szCs w:val="21"/>
                      <w:highlight w:val="none"/>
                      <w:lang w:eastAsia="zh-CN"/>
                    </w:rPr>
                  </w:pPr>
                  <w:r>
                    <w:rPr>
                      <w:rFonts w:hint="eastAsia" w:cs="Times New Roman"/>
                      <w:color w:val="000000"/>
                      <w:szCs w:val="21"/>
                      <w:highlight w:val="none"/>
                      <w:lang w:eastAsia="zh-CN"/>
                    </w:rPr>
                    <w:t>营业及办公室</w:t>
                  </w:r>
                </w:p>
              </w:tc>
              <w:tc>
                <w:tcPr>
                  <w:tcW w:w="346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bCs/>
                      <w:color w:val="000000"/>
                      <w:szCs w:val="21"/>
                      <w:highlight w:val="none"/>
                      <w:lang w:eastAsia="zh-CN"/>
                    </w:rPr>
                    <w:t>砖混结构，</w:t>
                  </w:r>
                  <w:r>
                    <w:rPr>
                      <w:rFonts w:hint="default" w:ascii="Times New Roman" w:hAnsi="Times New Roman" w:cs="Times New Roman"/>
                      <w:bCs/>
                      <w:color w:val="000000"/>
                      <w:szCs w:val="21"/>
                      <w:highlight w:val="none"/>
                    </w:rPr>
                    <w:t>一座，</w:t>
                  </w:r>
                  <w:r>
                    <w:rPr>
                      <w:rFonts w:hint="default" w:ascii="Times New Roman" w:hAnsi="Times New Roman" w:cs="Times New Roman"/>
                      <w:bCs/>
                      <w:color w:val="000000"/>
                      <w:szCs w:val="21"/>
                      <w:highlight w:val="none"/>
                      <w:lang w:eastAsia="zh-CN"/>
                    </w:rPr>
                    <w:t>建筑</w:t>
                  </w:r>
                  <w:r>
                    <w:rPr>
                      <w:rFonts w:hint="default" w:ascii="Times New Roman" w:hAnsi="Times New Roman" w:cs="Times New Roman"/>
                      <w:bCs/>
                      <w:color w:val="000000"/>
                      <w:szCs w:val="21"/>
                      <w:highlight w:val="none"/>
                    </w:rPr>
                    <w:t>面积</w:t>
                  </w:r>
                  <w:r>
                    <w:rPr>
                      <w:rFonts w:hint="eastAsia" w:ascii="Times New Roman" w:hAnsi="Times New Roman" w:cs="Times New Roman"/>
                      <w:bCs/>
                      <w:color w:val="000000"/>
                      <w:szCs w:val="21"/>
                      <w:highlight w:val="none"/>
                      <w:lang w:val="en-US" w:eastAsia="zh-CN"/>
                    </w:rPr>
                    <w:t>200</w:t>
                  </w:r>
                  <w:r>
                    <w:rPr>
                      <w:rFonts w:hint="default" w:ascii="Times New Roman" w:hAnsi="Times New Roman" w:cs="Times New Roman"/>
                      <w:bCs/>
                      <w:color w:val="000000"/>
                      <w:szCs w:val="21"/>
                      <w:highlight w:val="none"/>
                    </w:rPr>
                    <w:t>m</w:t>
                  </w:r>
                  <w:r>
                    <w:rPr>
                      <w:rFonts w:hint="default" w:ascii="Times New Roman" w:hAnsi="Times New Roman" w:cs="Times New Roman"/>
                      <w:bCs/>
                      <w:color w:val="000000"/>
                      <w:szCs w:val="21"/>
                      <w:highlight w:val="none"/>
                      <w:vertAlign w:val="superscript"/>
                    </w:rPr>
                    <w:t>2</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加油罩棚</w:t>
                  </w:r>
                </w:p>
              </w:tc>
              <w:tc>
                <w:tcPr>
                  <w:tcW w:w="3467" w:type="dxa"/>
                  <w:noWrap w:val="0"/>
                  <w:vAlign w:val="center"/>
                </w:tcPr>
                <w:p>
                  <w:pPr>
                    <w:adjustRightInd w:val="0"/>
                    <w:snapToGrid w:val="0"/>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lang w:eastAsia="zh-CN"/>
                    </w:rPr>
                    <w:t>钢结构，</w:t>
                  </w:r>
                  <w:r>
                    <w:rPr>
                      <w:rFonts w:hint="default" w:ascii="Times New Roman" w:hAnsi="Times New Roman" w:cs="Times New Roman"/>
                      <w:bCs/>
                      <w:color w:val="000000"/>
                      <w:szCs w:val="21"/>
                      <w:highlight w:val="none"/>
                    </w:rPr>
                    <w:t>一座，</w:t>
                  </w:r>
                  <w:r>
                    <w:rPr>
                      <w:rFonts w:hint="eastAsia" w:ascii="Times New Roman" w:hAnsi="Times New Roman" w:cs="Times New Roman"/>
                      <w:bCs/>
                      <w:color w:val="000000"/>
                      <w:szCs w:val="21"/>
                      <w:highlight w:val="none"/>
                      <w:lang w:eastAsia="zh-CN"/>
                    </w:rPr>
                    <w:t>罩棚</w:t>
                  </w:r>
                  <w:r>
                    <w:rPr>
                      <w:rFonts w:hint="default" w:ascii="Times New Roman" w:hAnsi="Times New Roman" w:cs="Times New Roman"/>
                      <w:bCs/>
                      <w:color w:val="000000"/>
                      <w:szCs w:val="21"/>
                      <w:highlight w:val="none"/>
                    </w:rPr>
                    <w:t>面积</w:t>
                  </w:r>
                  <w:r>
                    <w:rPr>
                      <w:rFonts w:hint="eastAsia" w:ascii="Times New Roman" w:hAnsi="Times New Roman" w:cs="Times New Roman"/>
                      <w:bCs/>
                      <w:color w:val="000000"/>
                      <w:szCs w:val="21"/>
                      <w:highlight w:val="none"/>
                      <w:lang w:val="en-US" w:eastAsia="zh-CN"/>
                    </w:rPr>
                    <w:t>50</w:t>
                  </w:r>
                  <w:r>
                    <w:rPr>
                      <w:rFonts w:hint="default" w:ascii="Times New Roman" w:hAnsi="Times New Roman" w:cs="Times New Roman"/>
                      <w:bCs/>
                      <w:color w:val="000000"/>
                      <w:szCs w:val="21"/>
                      <w:highlight w:val="none"/>
                    </w:rPr>
                    <w:t>m</w:t>
                  </w:r>
                  <w:r>
                    <w:rPr>
                      <w:rFonts w:hint="default" w:ascii="Times New Roman" w:hAnsi="Times New Roman" w:cs="Times New Roman"/>
                      <w:bCs/>
                      <w:color w:val="000000"/>
                      <w:szCs w:val="21"/>
                      <w:highlight w:val="none"/>
                      <w:vertAlign w:val="superscript"/>
                    </w:rPr>
                    <w:t>2</w:t>
                  </w:r>
                </w:p>
              </w:tc>
              <w:tc>
                <w:tcPr>
                  <w:tcW w:w="1985" w:type="dxa"/>
                  <w:noWrap w:val="0"/>
                  <w:vAlign w:val="center"/>
                </w:tcPr>
                <w:p>
                  <w:pPr>
                    <w:adjustRightInd w:val="0"/>
                    <w:snapToGrid w:val="0"/>
                    <w:jc w:val="center"/>
                    <w:rPr>
                      <w:rFonts w:hint="default" w:ascii="Times New Roman" w:hAnsi="Times New Roman" w:cs="Times New Roman"/>
                      <w:color w:val="000000"/>
                      <w:szCs w:val="21"/>
                      <w:highlight w:val="none"/>
                      <w:lang w:eastAsia="zh-CN"/>
                    </w:rPr>
                  </w:pPr>
                  <w:r>
                    <w:rPr>
                      <w:rFonts w:hint="default" w:ascii="Times New Roman" w:hAnsi="Times New Roman" w:eastAsia="宋体" w:cs="Times New Roman"/>
                      <w:color w:val="000000"/>
                      <w:szCs w:val="21"/>
                      <w:highlight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加油机</w:t>
                  </w:r>
                </w:p>
              </w:tc>
              <w:tc>
                <w:tcPr>
                  <w:tcW w:w="3467" w:type="dxa"/>
                  <w:noWrap w:val="0"/>
                  <w:vAlign w:val="center"/>
                </w:tcPr>
                <w:p>
                  <w:pPr>
                    <w:adjustRightInd w:val="0"/>
                    <w:snapToGrid w:val="0"/>
                    <w:jc w:val="center"/>
                    <w:rPr>
                      <w:rFonts w:hint="default" w:ascii="Times New Roman" w:hAnsi="Times New Roman" w:cs="Times New Roman"/>
                      <w:bCs/>
                      <w:color w:val="000000"/>
                      <w:szCs w:val="21"/>
                      <w:highlight w:val="none"/>
                      <w:lang w:val="en-US"/>
                    </w:rPr>
                  </w:pPr>
                  <w:r>
                    <w:rPr>
                      <w:rFonts w:hint="eastAsia" w:ascii="Times New Roman" w:hAnsi="Times New Roman" w:cs="Times New Roman"/>
                      <w:bCs/>
                      <w:color w:val="000000"/>
                      <w:szCs w:val="21"/>
                      <w:highlight w:val="none"/>
                      <w:lang w:val="en-US" w:eastAsia="zh-CN"/>
                    </w:rPr>
                    <w:t>2台四枪税控加油机</w:t>
                  </w:r>
                </w:p>
              </w:tc>
              <w:tc>
                <w:tcPr>
                  <w:tcW w:w="1985" w:type="dxa"/>
                  <w:noWrap w:val="0"/>
                  <w:vAlign w:val="center"/>
                </w:tcPr>
                <w:p>
                  <w:pPr>
                    <w:adjustRightInd w:val="0"/>
                    <w:snapToGrid w:val="0"/>
                    <w:jc w:val="center"/>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szCs w:val="21"/>
                      <w:highlight w:val="none"/>
                      <w:lang w:eastAsia="zh-CN"/>
                    </w:rPr>
                    <w:t>替换，拆除现有</w:t>
                  </w:r>
                  <w:r>
                    <w:rPr>
                      <w:rFonts w:hint="eastAsia" w:cs="Times New Roman"/>
                      <w:color w:val="000000"/>
                      <w:szCs w:val="21"/>
                      <w:highlight w:val="none"/>
                      <w:lang w:val="en-US" w:eastAsia="zh-CN"/>
                    </w:rPr>
                    <w:t>2台加油机（1台单枪加油机和1台双枪加油机）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265" w:type="dxa"/>
                  <w:vMerge w:val="restart"/>
                  <w:noWrap w:val="0"/>
                  <w:vAlign w:val="center"/>
                </w:tcPr>
                <w:p>
                  <w:pPr>
                    <w:adjustRightInd w:val="0"/>
                    <w:snapToGrid w:val="0"/>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埋地油库</w:t>
                  </w:r>
                </w:p>
              </w:tc>
              <w:tc>
                <w:tcPr>
                  <w:tcW w:w="3467" w:type="dxa"/>
                  <w:noWrap w:val="0"/>
                  <w:vAlign w:val="center"/>
                </w:tcPr>
                <w:p>
                  <w:pPr>
                    <w:adjustRightInd w:val="0"/>
                    <w:snapToGrid w:val="0"/>
                    <w:jc w:val="center"/>
                    <w:rPr>
                      <w:rFonts w:hint="default" w:ascii="Times New Roman" w:hAnsi="Times New Roman" w:eastAsia="宋体" w:cs="Times New Roman"/>
                      <w:bCs/>
                      <w:color w:val="000000"/>
                      <w:szCs w:val="21"/>
                      <w:highlight w:val="none"/>
                      <w:lang w:val="en-US" w:eastAsia="zh-CN"/>
                    </w:rPr>
                  </w:pPr>
                  <w:r>
                    <w:rPr>
                      <w:rFonts w:hint="default" w:ascii="Times New Roman" w:hAnsi="Times New Roman" w:cs="Times New Roman"/>
                      <w:bCs/>
                      <w:color w:val="000000"/>
                      <w:szCs w:val="21"/>
                      <w:highlight w:val="none"/>
                      <w:lang w:val="en-US" w:eastAsia="zh-CN"/>
                    </w:rPr>
                    <w:t>2</w:t>
                  </w:r>
                  <w:r>
                    <w:rPr>
                      <w:rFonts w:hint="eastAsia" w:cs="Times New Roman"/>
                      <w:bCs/>
                      <w:color w:val="000000"/>
                      <w:szCs w:val="21"/>
                      <w:highlight w:val="none"/>
                      <w:lang w:val="en-US" w:eastAsia="zh-CN"/>
                    </w:rPr>
                    <w:t>座</w:t>
                  </w:r>
                  <w:r>
                    <w:rPr>
                      <w:rFonts w:hint="default" w:ascii="Times New Roman" w:hAnsi="Times New Roman" w:cs="Times New Roman"/>
                      <w:bCs/>
                      <w:color w:val="000000"/>
                      <w:szCs w:val="21"/>
                      <w:highlight w:val="none"/>
                      <w:lang w:val="en-US" w:eastAsia="zh-CN"/>
                    </w:rPr>
                    <w:t>30</w:t>
                  </w:r>
                  <w:r>
                    <w:rPr>
                      <w:rFonts w:hint="eastAsia" w:ascii="Times New Roman" w:hAnsi="Times New Roman" w:cs="Times New Roman"/>
                      <w:bCs/>
                      <w:color w:val="000000"/>
                      <w:szCs w:val="21"/>
                      <w:highlight w:val="none"/>
                      <w:lang w:val="en-US" w:eastAsia="zh-CN"/>
                    </w:rPr>
                    <w:t>m</w:t>
                  </w:r>
                  <w:r>
                    <w:rPr>
                      <w:rFonts w:hint="eastAsia" w:ascii="Times New Roman" w:hAnsi="Times New Roman" w:cs="Times New Roman"/>
                      <w:bCs/>
                      <w:color w:val="000000"/>
                      <w:szCs w:val="21"/>
                      <w:highlight w:val="none"/>
                      <w:vertAlign w:val="superscript"/>
                      <w:lang w:val="en-US" w:eastAsia="zh-CN"/>
                    </w:rPr>
                    <w:t>3</w:t>
                  </w:r>
                  <w:r>
                    <w:rPr>
                      <w:rFonts w:hint="default" w:ascii="Times New Roman" w:hAnsi="Times New Roman" w:cs="Times New Roman"/>
                      <w:bCs/>
                      <w:color w:val="000000"/>
                      <w:szCs w:val="21"/>
                      <w:highlight w:val="none"/>
                      <w:lang w:val="en-US" w:eastAsia="zh-CN"/>
                    </w:rPr>
                    <w:t>汽油油罐</w:t>
                  </w:r>
                </w:p>
              </w:tc>
              <w:tc>
                <w:tcPr>
                  <w:tcW w:w="1985" w:type="dxa"/>
                  <w:noWrap w:val="0"/>
                  <w:vAlign w:val="center"/>
                </w:tcPr>
                <w:p>
                  <w:pPr>
                    <w:adjustRightInd w:val="0"/>
                    <w:snapToGrid w:val="0"/>
                    <w:jc w:val="center"/>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szCs w:val="21"/>
                      <w:highlight w:val="none"/>
                      <w:lang w:eastAsia="zh-CN"/>
                    </w:rPr>
                    <w:t>替换，拆除现有</w:t>
                  </w:r>
                  <w:r>
                    <w:rPr>
                      <w:rFonts w:hint="eastAsia" w:cs="Times New Roman"/>
                      <w:color w:val="000000"/>
                      <w:szCs w:val="21"/>
                      <w:highlight w:val="none"/>
                      <w:lang w:val="en-US" w:eastAsia="zh-CN"/>
                    </w:rPr>
                    <w:t>2座</w:t>
                  </w:r>
                  <w:r>
                    <w:rPr>
                      <w:rFonts w:hint="eastAsia" w:cs="Times New Roman"/>
                      <w:bCs/>
                      <w:color w:val="000000"/>
                      <w:szCs w:val="21"/>
                      <w:highlight w:val="none"/>
                      <w:lang w:val="en-US" w:eastAsia="zh-CN"/>
                    </w:rPr>
                    <w:t>2</w:t>
                  </w:r>
                  <w:r>
                    <w:rPr>
                      <w:rFonts w:hint="default" w:ascii="Times New Roman" w:hAnsi="Times New Roman" w:cs="Times New Roman"/>
                      <w:bCs/>
                      <w:color w:val="000000"/>
                      <w:szCs w:val="21"/>
                      <w:highlight w:val="none"/>
                      <w:lang w:val="en-US" w:eastAsia="zh-CN"/>
                    </w:rPr>
                    <w:t>0</w:t>
                  </w:r>
                  <w:r>
                    <w:rPr>
                      <w:rFonts w:hint="eastAsia" w:ascii="Times New Roman" w:hAnsi="Times New Roman" w:cs="Times New Roman"/>
                      <w:bCs/>
                      <w:color w:val="000000"/>
                      <w:szCs w:val="21"/>
                      <w:highlight w:val="none"/>
                      <w:lang w:val="en-US" w:eastAsia="zh-CN"/>
                    </w:rPr>
                    <w:t>m</w:t>
                  </w:r>
                  <w:r>
                    <w:rPr>
                      <w:rFonts w:hint="eastAsia" w:ascii="Times New Roman" w:hAnsi="Times New Roman" w:cs="Times New Roman"/>
                      <w:bCs/>
                      <w:color w:val="000000"/>
                      <w:szCs w:val="21"/>
                      <w:highlight w:val="none"/>
                      <w:vertAlign w:val="superscript"/>
                      <w:lang w:val="en-US" w:eastAsia="zh-CN"/>
                    </w:rPr>
                    <w:t>3</w:t>
                  </w:r>
                  <w:r>
                    <w:rPr>
                      <w:rFonts w:hint="eastAsia" w:ascii="Times New Roman" w:hAnsi="Times New Roman" w:eastAsia="宋体" w:cs="Times New Roman"/>
                      <w:color w:val="000000"/>
                      <w:szCs w:val="21"/>
                      <w:highlight w:val="none"/>
                      <w:lang w:eastAsia="zh-CN"/>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0" w:type="dxa"/>
                  <w:vMerge w:val="continue"/>
                  <w:noWrap w:val="0"/>
                  <w:vAlign w:val="center"/>
                </w:tcPr>
                <w:p>
                  <w:pPr>
                    <w:adjustRightInd w:val="0"/>
                    <w:snapToGrid w:val="0"/>
                    <w:jc w:val="center"/>
                  </w:pPr>
                </w:p>
              </w:tc>
              <w:tc>
                <w:tcPr>
                  <w:tcW w:w="1265" w:type="dxa"/>
                  <w:vMerge w:val="continue"/>
                  <w:noWrap w:val="0"/>
                  <w:vAlign w:val="center"/>
                </w:tcPr>
                <w:p>
                  <w:pPr>
                    <w:adjustRightInd w:val="0"/>
                    <w:snapToGrid w:val="0"/>
                    <w:jc w:val="center"/>
                  </w:pPr>
                </w:p>
              </w:tc>
              <w:tc>
                <w:tcPr>
                  <w:tcW w:w="3467" w:type="dxa"/>
                  <w:noWrap w:val="0"/>
                  <w:vAlign w:val="center"/>
                </w:tcPr>
                <w:p>
                  <w:pPr>
                    <w:adjustRightInd w:val="0"/>
                    <w:snapToGrid w:val="0"/>
                    <w:jc w:val="center"/>
                    <w:rPr>
                      <w:rFonts w:hint="default" w:ascii="Times New Roman" w:hAnsi="Times New Roman" w:cs="Times New Roman"/>
                      <w:bCs/>
                      <w:color w:val="000000"/>
                      <w:szCs w:val="21"/>
                      <w:highlight w:val="none"/>
                      <w:lang w:val="en-US" w:eastAsia="zh-CN"/>
                    </w:rPr>
                  </w:pPr>
                  <w:r>
                    <w:rPr>
                      <w:rFonts w:hint="eastAsia" w:ascii="Times New Roman" w:hAnsi="Times New Roman" w:cs="Times New Roman"/>
                      <w:bCs/>
                      <w:color w:val="000000"/>
                      <w:szCs w:val="21"/>
                      <w:highlight w:val="none"/>
                      <w:lang w:val="en-US" w:eastAsia="zh-CN"/>
                    </w:rPr>
                    <w:t>1</w:t>
                  </w:r>
                  <w:r>
                    <w:rPr>
                      <w:rFonts w:hint="eastAsia" w:cs="Times New Roman"/>
                      <w:bCs/>
                      <w:color w:val="000000"/>
                      <w:szCs w:val="21"/>
                      <w:highlight w:val="none"/>
                      <w:lang w:val="en-US" w:eastAsia="zh-CN"/>
                    </w:rPr>
                    <w:t>座</w:t>
                  </w:r>
                  <w:r>
                    <w:rPr>
                      <w:rFonts w:hint="eastAsia" w:ascii="Times New Roman" w:hAnsi="Times New Roman" w:cs="Times New Roman"/>
                      <w:bCs/>
                      <w:color w:val="000000"/>
                      <w:szCs w:val="21"/>
                      <w:highlight w:val="none"/>
                      <w:lang w:val="en-US" w:eastAsia="zh-CN"/>
                    </w:rPr>
                    <w:t>30m</w:t>
                  </w:r>
                  <w:r>
                    <w:rPr>
                      <w:rFonts w:hint="eastAsia" w:ascii="Times New Roman" w:hAnsi="Times New Roman" w:cs="Times New Roman"/>
                      <w:bCs/>
                      <w:color w:val="000000"/>
                      <w:szCs w:val="21"/>
                      <w:highlight w:val="none"/>
                      <w:vertAlign w:val="superscript"/>
                      <w:lang w:val="en-US" w:eastAsia="zh-CN"/>
                    </w:rPr>
                    <w:t>3</w:t>
                  </w:r>
                  <w:r>
                    <w:rPr>
                      <w:rFonts w:hint="default" w:ascii="Times New Roman" w:hAnsi="Times New Roman" w:cs="Times New Roman"/>
                      <w:bCs/>
                      <w:color w:val="000000"/>
                      <w:szCs w:val="21"/>
                      <w:highlight w:val="none"/>
                      <w:lang w:val="en-US" w:eastAsia="zh-CN"/>
                    </w:rPr>
                    <w:t>的</w:t>
                  </w:r>
                  <w:r>
                    <w:rPr>
                      <w:rFonts w:hint="eastAsia" w:ascii="Times New Roman" w:hAnsi="Times New Roman" w:cs="Times New Roman"/>
                      <w:bCs/>
                      <w:color w:val="000000"/>
                      <w:szCs w:val="21"/>
                      <w:highlight w:val="none"/>
                      <w:lang w:val="en-US" w:eastAsia="zh-CN"/>
                    </w:rPr>
                    <w:t>柴油</w:t>
                  </w:r>
                  <w:r>
                    <w:rPr>
                      <w:rFonts w:hint="default" w:ascii="Times New Roman" w:hAnsi="Times New Roman" w:cs="Times New Roman"/>
                      <w:bCs/>
                      <w:color w:val="000000"/>
                      <w:szCs w:val="21"/>
                      <w:highlight w:val="none"/>
                      <w:lang w:val="en-US" w:eastAsia="zh-CN"/>
                    </w:rPr>
                    <w:t>油罐</w:t>
                  </w:r>
                </w:p>
              </w:tc>
              <w:tc>
                <w:tcPr>
                  <w:tcW w:w="1985" w:type="dxa"/>
                  <w:noWrap w:val="0"/>
                  <w:vAlign w:val="center"/>
                </w:tcPr>
                <w:p>
                  <w:pPr>
                    <w:adjustRightInd w:val="0"/>
                    <w:snapToGrid w:val="0"/>
                    <w:jc w:val="center"/>
                    <w:rPr>
                      <w:rFonts w:hint="default" w:ascii="Times New Roman" w:hAnsi="Times New Roman" w:cs="Times New Roman"/>
                      <w:bCs/>
                      <w:color w:val="000000"/>
                      <w:szCs w:val="21"/>
                      <w:highlight w:val="none"/>
                      <w:lang w:val="en-US" w:eastAsia="zh-CN"/>
                    </w:rPr>
                  </w:pPr>
                  <w:r>
                    <w:rPr>
                      <w:rFonts w:hint="default" w:ascii="Times New Roman" w:hAnsi="Times New Roman" w:eastAsia="宋体" w:cs="Times New Roman"/>
                      <w:color w:val="000000"/>
                      <w:szCs w:val="21"/>
                      <w:highlight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restart"/>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公用工程</w:t>
                  </w: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给水</w:t>
                  </w:r>
                </w:p>
              </w:tc>
              <w:tc>
                <w:tcPr>
                  <w:tcW w:w="3467" w:type="dxa"/>
                  <w:noWrap w:val="0"/>
                  <w:vAlign w:val="center"/>
                </w:tcPr>
                <w:p>
                  <w:pPr>
                    <w:adjustRightInd w:val="0"/>
                    <w:snapToGrid w:val="0"/>
                    <w:jc w:val="center"/>
                    <w:rPr>
                      <w:rFonts w:hint="default" w:ascii="Times New Roman" w:hAnsi="Times New Roman" w:eastAsia="宋体" w:cs="Times New Roman"/>
                      <w:color w:val="FF0000"/>
                      <w:szCs w:val="21"/>
                      <w:highlight w:val="none"/>
                      <w:lang w:eastAsia="zh-CN"/>
                    </w:rPr>
                  </w:pPr>
                  <w:r>
                    <w:rPr>
                      <w:rFonts w:hint="eastAsia" w:cs="Times New Roman"/>
                      <w:color w:val="000000"/>
                      <w:szCs w:val="21"/>
                      <w:highlight w:val="none"/>
                      <w:lang w:eastAsia="zh-CN"/>
                    </w:rPr>
                    <w:t>当地供水系统供给</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lang w:eastAsia="zh-CN"/>
                    </w:rPr>
                  </w:pPr>
                  <w:r>
                    <w:rPr>
                      <w:rFonts w:hint="eastAsia" w:cs="Times New Roman"/>
                      <w:color w:val="000000"/>
                      <w:szCs w:val="21"/>
                      <w:lang w:eastAsia="zh-CN"/>
                    </w:rPr>
                    <w:t>不新增供水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排水</w:t>
                  </w:r>
                </w:p>
              </w:tc>
              <w:tc>
                <w:tcPr>
                  <w:tcW w:w="3467" w:type="dxa"/>
                  <w:noWrap w:val="0"/>
                  <w:vAlign w:val="center"/>
                </w:tcPr>
                <w:p>
                  <w:pPr>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color w:val="000000"/>
                      <w:szCs w:val="21"/>
                      <w:highlight w:val="none"/>
                    </w:rPr>
                    <w:t>生活污水依托</w:t>
                  </w:r>
                  <w:r>
                    <w:rPr>
                      <w:rFonts w:hint="default" w:ascii="Times New Roman" w:hAnsi="Times New Roman" w:eastAsia="宋体" w:cs="Times New Roman"/>
                      <w:color w:val="000000"/>
                      <w:szCs w:val="21"/>
                      <w:highlight w:val="none"/>
                      <w:lang w:val="en-US" w:eastAsia="zh-CN"/>
                    </w:rPr>
                    <w:t>化粪池处理后定期清运，不外排</w:t>
                  </w:r>
                </w:p>
              </w:tc>
              <w:tc>
                <w:tcPr>
                  <w:tcW w:w="1985" w:type="dxa"/>
                  <w:noWrap w:val="0"/>
                  <w:vAlign w:val="center"/>
                </w:tcPr>
                <w:p>
                  <w:pPr>
                    <w:adjustRightInd w:val="0"/>
                    <w:snapToGrid w:val="0"/>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不新增排水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00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供电</w:t>
                  </w:r>
                </w:p>
              </w:tc>
              <w:tc>
                <w:tcPr>
                  <w:tcW w:w="3467" w:type="dxa"/>
                  <w:noWrap w:val="0"/>
                  <w:vAlign w:val="center"/>
                </w:tcPr>
                <w:p>
                  <w:pPr>
                    <w:adjustRightInd w:val="0"/>
                    <w:snapToGrid w:val="0"/>
                    <w:jc w:val="center"/>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lang w:eastAsia="zh-CN"/>
                    </w:rPr>
                    <w:t>当地供电系统供给</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restart"/>
                  <w:noWrap w:val="0"/>
                  <w:vAlign w:val="center"/>
                </w:tcPr>
                <w:p>
                  <w:pPr>
                    <w:adjustRightInd w:val="0"/>
                    <w:snapToGrid w:val="0"/>
                    <w:jc w:val="center"/>
                    <w:rPr>
                      <w:rFonts w:hint="default" w:ascii="Times New Roman" w:hAnsi="Times New Roman" w:cs="Times New Roman"/>
                      <w:color w:val="FF0000"/>
                      <w:szCs w:val="21"/>
                    </w:rPr>
                  </w:pPr>
                  <w:r>
                    <w:rPr>
                      <w:rFonts w:hint="default" w:ascii="Times New Roman" w:hAnsi="Times New Roman" w:cs="Times New Roman"/>
                      <w:color w:val="000000"/>
                      <w:szCs w:val="21"/>
                    </w:rPr>
                    <w:t>环保工程</w:t>
                  </w: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w:t>
                  </w:r>
                </w:p>
              </w:tc>
              <w:tc>
                <w:tcPr>
                  <w:tcW w:w="3467" w:type="dxa"/>
                  <w:noWrap w:val="0"/>
                  <w:vAlign w:val="center"/>
                </w:tcPr>
                <w:p>
                  <w:pPr>
                    <w:adjustRightInd w:val="0"/>
                    <w:snapToGrid w:val="0"/>
                    <w:jc w:val="center"/>
                    <w:rPr>
                      <w:rFonts w:hint="default" w:ascii="Times New Roman" w:hAnsi="Times New Roman" w:eastAsia="宋体" w:cs="Times New Roman"/>
                      <w:color w:val="000000"/>
                      <w:szCs w:val="21"/>
                      <w:highlight w:val="none"/>
                      <w:lang w:val="en-US" w:eastAsia="zh-CN"/>
                    </w:rPr>
                  </w:pPr>
                  <w:r>
                    <w:rPr>
                      <w:rFonts w:hint="eastAsia" w:cs="Times New Roman"/>
                      <w:bCs/>
                      <w:szCs w:val="21"/>
                      <w:lang w:eastAsia="zh-CN"/>
                    </w:rPr>
                    <w:t>卸油、储油、加油等过程</w:t>
                  </w:r>
                  <w:r>
                    <w:rPr>
                      <w:rFonts w:hint="default" w:ascii="Times New Roman" w:hAnsi="Times New Roman" w:cs="Times New Roman"/>
                      <w:bCs/>
                      <w:szCs w:val="21"/>
                      <w:lang w:eastAsia="zh-CN"/>
                    </w:rPr>
                    <w:t>产生的</w:t>
                  </w:r>
                  <w:r>
                    <w:rPr>
                      <w:rFonts w:hint="eastAsia" w:cs="Times New Roman"/>
                      <w:bCs/>
                      <w:szCs w:val="21"/>
                      <w:lang w:eastAsia="zh-CN"/>
                    </w:rPr>
                    <w:t>挥发</w:t>
                  </w:r>
                  <w:r>
                    <w:rPr>
                      <w:rFonts w:hint="default" w:ascii="Times New Roman" w:hAnsi="Times New Roman" w:cs="Times New Roman"/>
                      <w:bCs/>
                      <w:szCs w:val="21"/>
                      <w:lang w:eastAsia="zh-CN"/>
                    </w:rPr>
                    <w:t>油气由</w:t>
                  </w:r>
                  <w:r>
                    <w:rPr>
                      <w:rFonts w:hint="eastAsia" w:cs="Times New Roman"/>
                      <w:bCs/>
                      <w:szCs w:val="21"/>
                      <w:lang w:eastAsia="zh-CN"/>
                    </w:rPr>
                    <w:t>三级</w:t>
                  </w:r>
                  <w:r>
                    <w:rPr>
                      <w:rFonts w:hint="default" w:ascii="Times New Roman" w:hAnsi="Times New Roman" w:cs="Times New Roman"/>
                      <w:bCs/>
                      <w:szCs w:val="21"/>
                      <w:lang w:eastAsia="zh-CN"/>
                    </w:rPr>
                    <w:t>油气回收系统处理</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FF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3467" w:type="dxa"/>
                  <w:noWrap w:val="0"/>
                  <w:vAlign w:val="center"/>
                </w:tcPr>
                <w:p>
                  <w:pPr>
                    <w:adjustRightInd w:val="0"/>
                    <w:snapToGrid w:val="0"/>
                    <w:jc w:val="center"/>
                    <w:rPr>
                      <w:rFonts w:hint="default"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rPr>
                    <w:t>生活污水</w:t>
                  </w:r>
                  <w:r>
                    <w:rPr>
                      <w:rFonts w:hint="default" w:ascii="Times New Roman" w:hAnsi="Times New Roman" w:eastAsia="宋体" w:cs="Times New Roman"/>
                      <w:color w:val="000000"/>
                      <w:szCs w:val="21"/>
                      <w:highlight w:val="none"/>
                      <w:lang w:eastAsia="zh-CN"/>
                    </w:rPr>
                    <w:t>经</w:t>
                  </w:r>
                  <w:r>
                    <w:rPr>
                      <w:rFonts w:hint="default" w:ascii="Times New Roman" w:hAnsi="Times New Roman" w:eastAsia="宋体" w:cs="Times New Roman"/>
                      <w:color w:val="000000"/>
                      <w:szCs w:val="21"/>
                      <w:highlight w:val="none"/>
                    </w:rPr>
                    <w:t>化粪池进行处</w:t>
                  </w:r>
                  <w:r>
                    <w:rPr>
                      <w:rFonts w:hint="default" w:ascii="Times New Roman" w:hAnsi="Times New Roman" w:cs="Times New Roman"/>
                      <w:color w:val="000000"/>
                      <w:szCs w:val="21"/>
                      <w:highlight w:val="none"/>
                    </w:rPr>
                    <w:t>理</w:t>
                  </w:r>
                  <w:r>
                    <w:rPr>
                      <w:rFonts w:hint="default" w:ascii="Times New Roman" w:hAnsi="Times New Roman" w:cs="Times New Roman"/>
                      <w:color w:val="000000"/>
                      <w:szCs w:val="21"/>
                      <w:highlight w:val="none"/>
                      <w:lang w:eastAsia="zh-CN"/>
                    </w:rPr>
                    <w:t>后</w:t>
                  </w:r>
                  <w:r>
                    <w:rPr>
                      <w:rFonts w:hint="eastAsia" w:ascii="Times New Roman" w:hAnsi="Times New Roman" w:cs="Times New Roman"/>
                      <w:color w:val="000000"/>
                      <w:szCs w:val="21"/>
                      <w:highlight w:val="none"/>
                      <w:lang w:eastAsia="zh-CN"/>
                    </w:rPr>
                    <w:t>定期清运，不外排</w:t>
                  </w:r>
                </w:p>
              </w:tc>
              <w:tc>
                <w:tcPr>
                  <w:tcW w:w="1985" w:type="dxa"/>
                  <w:noWrap w:val="0"/>
                  <w:vAlign w:val="center"/>
                </w:tcPr>
                <w:p>
                  <w:pPr>
                    <w:adjustRightInd w:val="0"/>
                    <w:snapToGrid w:val="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不新增生活污水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FF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346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基础减震，车辆进、出站速度要放缓，且禁止鸣笛等措施</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noWrap w:val="0"/>
                  <w:vAlign w:val="center"/>
                </w:tcPr>
                <w:p>
                  <w:pPr>
                    <w:adjustRightInd w:val="0"/>
                    <w:snapToGrid w:val="0"/>
                    <w:jc w:val="center"/>
                    <w:rPr>
                      <w:rFonts w:hint="default" w:ascii="Times New Roman" w:hAnsi="Times New Roman" w:cs="Times New Roman"/>
                      <w:color w:val="FF0000"/>
                      <w:szCs w:val="21"/>
                    </w:rPr>
                  </w:pPr>
                </w:p>
              </w:tc>
              <w:tc>
                <w:tcPr>
                  <w:tcW w:w="1265" w:type="dxa"/>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3467" w:type="dxa"/>
                  <w:noWrap w:val="0"/>
                  <w:vAlign w:val="center"/>
                </w:tcPr>
                <w:p>
                  <w:pPr>
                    <w:adjustRightInd w:val="0"/>
                    <w:snapToGrid w:val="0"/>
                    <w:jc w:val="center"/>
                    <w:rPr>
                      <w:rFonts w:hint="default" w:ascii="Times New Roman" w:hAnsi="Times New Roman" w:eastAsia="宋体" w:cs="Times New Roman"/>
                      <w:color w:val="000000"/>
                      <w:szCs w:val="21"/>
                      <w:highlight w:val="none"/>
                      <w:lang w:eastAsia="zh-CN"/>
                    </w:rPr>
                  </w:pPr>
                  <w:r>
                    <w:rPr>
                      <w:rFonts w:hint="eastAsia" w:cs="Times New Roman"/>
                      <w:color w:val="000000"/>
                      <w:szCs w:val="21"/>
                      <w:highlight w:val="none"/>
                      <w:lang w:val="en-US" w:eastAsia="zh-CN"/>
                    </w:rPr>
                    <w:t>清罐油泥、油水烃混合物</w:t>
                  </w:r>
                  <w:r>
                    <w:rPr>
                      <w:rFonts w:hint="default" w:ascii="Times New Roman" w:hAnsi="Times New Roman" w:cs="Times New Roman"/>
                      <w:color w:val="000000"/>
                      <w:szCs w:val="21"/>
                      <w:highlight w:val="none"/>
                      <w:lang w:eastAsia="zh-CN"/>
                    </w:rPr>
                    <w:t>交由有资质单位处置</w:t>
                  </w:r>
                </w:p>
              </w:tc>
              <w:tc>
                <w:tcPr>
                  <w:tcW w:w="1985"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暂存于已建成危废间</w:t>
                  </w:r>
                </w:p>
              </w:tc>
            </w:tr>
          </w:tbl>
          <w:p>
            <w:pPr>
              <w:tabs>
                <w:tab w:val="right" w:pos="9734"/>
              </w:tabs>
              <w:adjustRightInd w:val="0"/>
              <w:snapToGrid w:val="0"/>
              <w:spacing w:line="460" w:lineRule="exact"/>
              <w:ind w:firstLine="482" w:firstLineChars="200"/>
              <w:rPr>
                <w:rFonts w:hint="eastAsia" w:eastAsia="宋体"/>
                <w:b/>
                <w:color w:val="FF0000"/>
                <w:sz w:val="24"/>
                <w:highlight w:val="yellow"/>
                <w:lang w:eastAsia="zh-CN"/>
              </w:rPr>
            </w:pPr>
            <w:r>
              <w:rPr>
                <w:rFonts w:hint="eastAsia"/>
                <w:b/>
                <w:color w:val="auto"/>
                <w:sz w:val="24"/>
                <w:lang w:val="en-US" w:eastAsia="zh-CN"/>
              </w:rPr>
              <w:t>3</w:t>
            </w:r>
            <w:r>
              <w:rPr>
                <w:rFonts w:hint="eastAsia"/>
                <w:b/>
                <w:color w:val="auto"/>
                <w:sz w:val="24"/>
              </w:rPr>
              <w:t>、</w:t>
            </w:r>
            <w:r>
              <w:rPr>
                <w:rFonts w:hint="eastAsia"/>
                <w:b/>
                <w:color w:val="auto"/>
                <w:sz w:val="24"/>
                <w:lang w:eastAsia="zh-CN"/>
              </w:rPr>
              <w:t>主要生产设备</w:t>
            </w:r>
          </w:p>
          <w:p>
            <w:pPr>
              <w:adjustRightInd w:val="0"/>
              <w:snapToGrid w:val="0"/>
              <w:spacing w:line="460" w:lineRule="exact"/>
              <w:ind w:firstLine="480" w:firstLineChars="200"/>
              <w:rPr>
                <w:color w:val="auto"/>
                <w:sz w:val="24"/>
              </w:rPr>
            </w:pPr>
            <w:r>
              <w:rPr>
                <w:rFonts w:hint="eastAsia"/>
                <w:color w:val="auto"/>
                <w:sz w:val="24"/>
              </w:rPr>
              <w:t>项目</w:t>
            </w:r>
            <w:r>
              <w:rPr>
                <w:rFonts w:hint="eastAsia"/>
                <w:color w:val="auto"/>
                <w:sz w:val="24"/>
                <w:lang w:eastAsia="zh-CN"/>
              </w:rPr>
              <w:t>主要生产设备见下表</w:t>
            </w:r>
            <w:r>
              <w:rPr>
                <w:rFonts w:hint="eastAsia"/>
                <w:color w:val="auto"/>
                <w:sz w:val="24"/>
              </w:rPr>
              <w:t>。</w:t>
            </w:r>
          </w:p>
          <w:p>
            <w:pPr>
              <w:pStyle w:val="9"/>
              <w:bidi w:val="0"/>
            </w:pPr>
            <w:r>
              <w:t>项目</w:t>
            </w:r>
            <w:r>
              <w:rPr>
                <w:rFonts w:hint="eastAsia"/>
                <w:lang w:eastAsia="zh-CN"/>
              </w:rPr>
              <w:t>主要生产设备</w:t>
            </w:r>
            <w:r>
              <w:t>一览表</w:t>
            </w:r>
          </w:p>
          <w:tbl>
            <w:tblPr>
              <w:tblStyle w:val="2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678"/>
              <w:gridCol w:w="1131"/>
              <w:gridCol w:w="1187"/>
              <w:gridCol w:w="1241"/>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序号</w:t>
                  </w:r>
                </w:p>
              </w:tc>
              <w:tc>
                <w:tcPr>
                  <w:tcW w:w="16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名称</w:t>
                  </w:r>
                </w:p>
              </w:tc>
              <w:tc>
                <w:tcPr>
                  <w:tcW w:w="113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型号规格</w:t>
                  </w:r>
                </w:p>
              </w:tc>
              <w:tc>
                <w:tcPr>
                  <w:tcW w:w="11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现有数量</w:t>
                  </w:r>
                </w:p>
              </w:tc>
              <w:tc>
                <w:tcPr>
                  <w:tcW w:w="124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扩建后</w:t>
                  </w:r>
                </w:p>
                <w:p>
                  <w:pPr>
                    <w:spacing w:line="240" w:lineRule="auto"/>
                    <w:jc w:val="center"/>
                    <w:rPr>
                      <w:rFonts w:hint="default"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全站</w:t>
                  </w:r>
                  <w:r>
                    <w:rPr>
                      <w:rFonts w:hint="default" w:ascii="Times New Roman" w:hAnsi="Times New Roman" w:eastAsia="宋体" w:cs="Times New Roman"/>
                      <w:color w:val="000000"/>
                      <w:sz w:val="21"/>
                      <w:szCs w:val="21"/>
                      <w:highlight w:val="none"/>
                      <w:lang w:eastAsia="zh-CN"/>
                    </w:rPr>
                    <w:t>数量</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1</w:t>
                  </w:r>
                </w:p>
              </w:tc>
              <w:tc>
                <w:tcPr>
                  <w:tcW w:w="1678"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双层埋地卧式</w:t>
                  </w:r>
                  <w:r>
                    <w:rPr>
                      <w:rFonts w:hint="default" w:ascii="Times New Roman" w:hAnsi="Times New Roman" w:eastAsia="宋体" w:cs="Times New Roman"/>
                      <w:color w:val="000000"/>
                      <w:sz w:val="21"/>
                      <w:szCs w:val="21"/>
                      <w:highlight w:val="none"/>
                      <w:lang w:val="en-US" w:eastAsia="zh-CN"/>
                    </w:rPr>
                    <w:t>汽油</w:t>
                  </w:r>
                  <w:r>
                    <w:rPr>
                      <w:rFonts w:hint="eastAsia" w:cs="Times New Roman"/>
                      <w:color w:val="000000"/>
                      <w:sz w:val="21"/>
                      <w:szCs w:val="21"/>
                      <w:highlight w:val="none"/>
                      <w:lang w:val="en-US" w:eastAsia="zh-CN"/>
                    </w:rPr>
                    <w:t>储罐（隔仓罐）</w:t>
                  </w:r>
                </w:p>
              </w:tc>
              <w:tc>
                <w:tcPr>
                  <w:tcW w:w="113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bCs/>
                      <w:color w:val="000000"/>
                      <w:szCs w:val="21"/>
                      <w:highlight w:val="none"/>
                      <w:lang w:val="en-US" w:eastAsia="zh-CN"/>
                    </w:rPr>
                    <w:t>30</w:t>
                  </w:r>
                  <w:r>
                    <w:rPr>
                      <w:rFonts w:hint="eastAsia" w:ascii="Times New Roman" w:hAnsi="Times New Roman" w:cs="Times New Roman"/>
                      <w:bCs/>
                      <w:color w:val="000000"/>
                      <w:szCs w:val="21"/>
                      <w:highlight w:val="none"/>
                      <w:lang w:val="en-US" w:eastAsia="zh-CN"/>
                    </w:rPr>
                    <w:t>m</w:t>
                  </w:r>
                  <w:r>
                    <w:rPr>
                      <w:rFonts w:hint="eastAsia" w:ascii="Times New Roman" w:hAnsi="Times New Roman" w:cs="Times New Roman"/>
                      <w:bCs/>
                      <w:color w:val="000000"/>
                      <w:szCs w:val="21"/>
                      <w:highlight w:val="none"/>
                      <w:vertAlign w:val="superscript"/>
                      <w:lang w:val="en-US" w:eastAsia="zh-CN"/>
                    </w:rPr>
                    <w:t>3</w:t>
                  </w:r>
                </w:p>
              </w:tc>
              <w:tc>
                <w:tcPr>
                  <w:tcW w:w="11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r>
                    <w:rPr>
                      <w:rFonts w:hint="eastAsia" w:ascii="Times New Roman" w:hAnsi="Times New Roman" w:cs="Times New Roman"/>
                      <w:color w:val="000000"/>
                      <w:sz w:val="21"/>
                      <w:szCs w:val="21"/>
                      <w:highlight w:val="none"/>
                      <w:lang w:val="en-US" w:eastAsia="zh-CN"/>
                    </w:rPr>
                    <w:t>座</w:t>
                  </w:r>
                </w:p>
              </w:tc>
              <w:tc>
                <w:tcPr>
                  <w:tcW w:w="124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2</w:t>
                  </w:r>
                  <w:r>
                    <w:rPr>
                      <w:rFonts w:hint="eastAsia" w:ascii="Times New Roman" w:hAnsi="Times New Roman" w:cs="Times New Roman"/>
                      <w:color w:val="000000"/>
                      <w:sz w:val="21"/>
                      <w:szCs w:val="21"/>
                      <w:highlight w:val="none"/>
                      <w:lang w:val="en-US" w:eastAsia="zh-CN"/>
                    </w:rPr>
                    <w:t>座</w:t>
                  </w:r>
                </w:p>
              </w:tc>
              <w:tc>
                <w:tcPr>
                  <w:tcW w:w="1987"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Cs w:val="21"/>
                      <w:highlight w:val="none"/>
                      <w:lang w:eastAsia="zh-CN"/>
                    </w:rPr>
                    <w:t>拆除原有</w:t>
                  </w:r>
                  <w:r>
                    <w:rPr>
                      <w:rFonts w:hint="eastAsia" w:ascii="Times New Roman" w:hAnsi="Times New Roman" w:eastAsia="宋体" w:cs="Times New Roman"/>
                      <w:color w:val="000000"/>
                      <w:szCs w:val="21"/>
                      <w:highlight w:val="none"/>
                      <w:lang w:eastAsia="zh-CN"/>
                    </w:rPr>
                    <w:t>，</w:t>
                  </w:r>
                  <w:r>
                    <w:rPr>
                      <w:rFonts w:hint="eastAsia" w:ascii="Times New Roman" w:hAnsi="Times New Roman" w:cs="Times New Roman"/>
                      <w:color w:val="000000"/>
                      <w:szCs w:val="21"/>
                      <w:highlight w:val="none"/>
                      <w:lang w:eastAsia="zh-CN"/>
                    </w:rPr>
                    <w:t>新增</w:t>
                  </w:r>
                  <w:r>
                    <w:rPr>
                      <w:rFonts w:hint="eastAsia" w:ascii="Times New Roman" w:hAnsi="Times New Roman" w:cs="Times New Roman"/>
                      <w:color w:val="000000"/>
                      <w:szCs w:val="21"/>
                      <w:highlight w:val="none"/>
                      <w:lang w:val="en-US" w:eastAsia="zh-CN"/>
                    </w:rPr>
                    <w:t>2个</w:t>
                  </w:r>
                  <w:r>
                    <w:rPr>
                      <w:rFonts w:hint="default" w:ascii="Times New Roman" w:hAnsi="Times New Roman" w:cs="Times New Roman"/>
                      <w:bCs/>
                      <w:color w:val="000000"/>
                      <w:szCs w:val="21"/>
                      <w:highlight w:val="none"/>
                      <w:lang w:val="en-US" w:eastAsia="zh-CN"/>
                    </w:rPr>
                    <w:t>30</w:t>
                  </w:r>
                  <w:r>
                    <w:rPr>
                      <w:rFonts w:hint="eastAsia" w:ascii="Times New Roman" w:hAnsi="Times New Roman" w:cs="Times New Roman"/>
                      <w:bCs/>
                      <w:color w:val="000000"/>
                      <w:szCs w:val="21"/>
                      <w:highlight w:val="none"/>
                      <w:lang w:val="en-US" w:eastAsia="zh-CN"/>
                    </w:rPr>
                    <w:t>m</w:t>
                  </w:r>
                  <w:r>
                    <w:rPr>
                      <w:rFonts w:hint="eastAsia" w:ascii="Times New Roman" w:hAnsi="Times New Roman" w:cs="Times New Roman"/>
                      <w:bCs/>
                      <w:color w:val="000000"/>
                      <w:szCs w:val="21"/>
                      <w:highlight w:val="none"/>
                      <w:vertAlign w:val="superscript"/>
                      <w:lang w:val="en-US" w:eastAsia="zh-CN"/>
                    </w:rPr>
                    <w:t>3</w:t>
                  </w:r>
                  <w:r>
                    <w:rPr>
                      <w:rFonts w:hint="eastAsia" w:ascii="Times New Roman" w:hAnsi="Times New Roman" w:eastAsia="宋体" w:cs="Times New Roman"/>
                      <w:color w:val="000000"/>
                      <w:szCs w:val="21"/>
                      <w:highlight w:val="none"/>
                      <w:lang w:eastAsia="zh-CN"/>
                    </w:rPr>
                    <w:t>卧式双层油罐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3"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p>
              </w:tc>
              <w:tc>
                <w:tcPr>
                  <w:tcW w:w="1678"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p>
              </w:tc>
              <w:tc>
                <w:tcPr>
                  <w:tcW w:w="1131" w:type="dxa"/>
                  <w:tcBorders>
                    <w:tl2br w:val="nil"/>
                    <w:tr2bl w:val="nil"/>
                  </w:tcBorders>
                  <w:noWrap w:val="0"/>
                  <w:vAlign w:val="center"/>
                </w:tcPr>
                <w:p>
                  <w:pPr>
                    <w:spacing w:line="240" w:lineRule="auto"/>
                    <w:jc w:val="center"/>
                    <w:rPr>
                      <w:rFonts w:hint="default" w:ascii="Times New Roman" w:hAnsi="Times New Roman" w:cs="Times New Roman"/>
                      <w:bCs/>
                      <w:color w:val="000000"/>
                      <w:szCs w:val="21"/>
                      <w:highlight w:val="none"/>
                      <w:lang w:val="en-US" w:eastAsia="zh-CN"/>
                    </w:rPr>
                  </w:pPr>
                  <w:r>
                    <w:rPr>
                      <w:rFonts w:hint="eastAsia" w:ascii="Times New Roman" w:hAnsi="Times New Roman" w:cs="Times New Roman"/>
                      <w:bCs/>
                      <w:color w:val="000000"/>
                      <w:szCs w:val="21"/>
                      <w:highlight w:val="none"/>
                      <w:lang w:val="en-US" w:eastAsia="zh-CN"/>
                    </w:rPr>
                    <w:t>20m</w:t>
                  </w:r>
                  <w:r>
                    <w:rPr>
                      <w:rFonts w:hint="eastAsia" w:ascii="Times New Roman" w:hAnsi="Times New Roman" w:cs="Times New Roman"/>
                      <w:bCs/>
                      <w:color w:val="000000"/>
                      <w:szCs w:val="21"/>
                      <w:highlight w:val="none"/>
                      <w:vertAlign w:val="superscript"/>
                      <w:lang w:val="en-US" w:eastAsia="zh-CN"/>
                    </w:rPr>
                    <w:t>3</w:t>
                  </w:r>
                </w:p>
              </w:tc>
              <w:tc>
                <w:tcPr>
                  <w:tcW w:w="11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2座</w:t>
                  </w:r>
                </w:p>
              </w:tc>
              <w:tc>
                <w:tcPr>
                  <w:tcW w:w="124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0座</w:t>
                  </w:r>
                </w:p>
              </w:tc>
              <w:tc>
                <w:tcPr>
                  <w:tcW w:w="198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16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双层埋地卧式柴</w:t>
                  </w:r>
                  <w:r>
                    <w:rPr>
                      <w:rFonts w:hint="default" w:ascii="Times New Roman" w:hAnsi="Times New Roman" w:eastAsia="宋体" w:cs="Times New Roman"/>
                      <w:color w:val="000000"/>
                      <w:sz w:val="21"/>
                      <w:szCs w:val="21"/>
                      <w:highlight w:val="none"/>
                      <w:lang w:val="en-US" w:eastAsia="zh-CN"/>
                    </w:rPr>
                    <w:t>油</w:t>
                  </w:r>
                  <w:r>
                    <w:rPr>
                      <w:rFonts w:hint="eastAsia" w:cs="Times New Roman"/>
                      <w:color w:val="000000"/>
                      <w:sz w:val="21"/>
                      <w:szCs w:val="21"/>
                      <w:highlight w:val="none"/>
                      <w:lang w:val="en-US" w:eastAsia="zh-CN"/>
                    </w:rPr>
                    <w:t>储罐（隔仓罐）</w:t>
                  </w:r>
                </w:p>
              </w:tc>
              <w:tc>
                <w:tcPr>
                  <w:tcW w:w="1131" w:type="dxa"/>
                  <w:tcBorders>
                    <w:tl2br w:val="nil"/>
                    <w:tr2bl w:val="nil"/>
                  </w:tcBorders>
                  <w:noWrap w:val="0"/>
                  <w:vAlign w:val="center"/>
                </w:tcPr>
                <w:p>
                  <w:pPr>
                    <w:spacing w:line="240" w:lineRule="auto"/>
                    <w:jc w:val="center"/>
                    <w:rPr>
                      <w:rFonts w:hint="eastAsia" w:ascii="Times New Roman" w:hAnsi="Times New Roman" w:cs="Times New Roman"/>
                      <w:bCs/>
                      <w:color w:val="000000"/>
                      <w:szCs w:val="21"/>
                      <w:highlight w:val="none"/>
                      <w:lang w:val="en-US" w:eastAsia="zh-CN"/>
                    </w:rPr>
                  </w:pPr>
                  <w:r>
                    <w:rPr>
                      <w:rFonts w:hint="default" w:ascii="Times New Roman" w:hAnsi="Times New Roman" w:cs="Times New Roman"/>
                      <w:bCs/>
                      <w:color w:val="000000"/>
                      <w:szCs w:val="21"/>
                      <w:highlight w:val="none"/>
                      <w:lang w:val="en-US" w:eastAsia="zh-CN"/>
                    </w:rPr>
                    <w:t>30</w:t>
                  </w:r>
                  <w:r>
                    <w:rPr>
                      <w:rFonts w:hint="eastAsia" w:ascii="Times New Roman" w:hAnsi="Times New Roman" w:cs="Times New Roman"/>
                      <w:bCs/>
                      <w:color w:val="000000"/>
                      <w:szCs w:val="21"/>
                      <w:highlight w:val="none"/>
                      <w:lang w:val="en-US" w:eastAsia="zh-CN"/>
                    </w:rPr>
                    <w:t>m</w:t>
                  </w:r>
                  <w:r>
                    <w:rPr>
                      <w:rFonts w:hint="eastAsia" w:ascii="Times New Roman" w:hAnsi="Times New Roman" w:cs="Times New Roman"/>
                      <w:bCs/>
                      <w:color w:val="000000"/>
                      <w:szCs w:val="21"/>
                      <w:highlight w:val="none"/>
                      <w:vertAlign w:val="superscript"/>
                      <w:lang w:val="en-US" w:eastAsia="zh-CN"/>
                    </w:rPr>
                    <w:t>3</w:t>
                  </w:r>
                </w:p>
              </w:tc>
              <w:tc>
                <w:tcPr>
                  <w:tcW w:w="1187" w:type="dxa"/>
                  <w:tcBorders>
                    <w:tl2br w:val="nil"/>
                    <w:tr2bl w:val="nil"/>
                  </w:tcBorders>
                  <w:noWrap w:val="0"/>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1座</w:t>
                  </w:r>
                </w:p>
              </w:tc>
              <w:tc>
                <w:tcPr>
                  <w:tcW w:w="1241" w:type="dxa"/>
                  <w:tcBorders>
                    <w:tl2br w:val="nil"/>
                    <w:tr2bl w:val="nil"/>
                  </w:tcBorders>
                  <w:noWrap w:val="0"/>
                  <w:vAlign w:val="center"/>
                </w:tcPr>
                <w:p>
                  <w:pPr>
                    <w:spacing w:line="240" w:lineRule="auto"/>
                    <w:jc w:val="center"/>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1座</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w:t>
                  </w:r>
                </w:p>
              </w:tc>
              <w:tc>
                <w:tcPr>
                  <w:tcW w:w="16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汽油</w:t>
                  </w:r>
                  <w:r>
                    <w:rPr>
                      <w:rFonts w:hint="default" w:ascii="Times New Roman" w:hAnsi="Times New Roman" w:eastAsia="宋体" w:cs="Times New Roman"/>
                      <w:color w:val="000000"/>
                      <w:sz w:val="21"/>
                      <w:szCs w:val="21"/>
                      <w:highlight w:val="none"/>
                      <w:lang w:val="en-US" w:eastAsia="zh-CN"/>
                    </w:rPr>
                    <w:t>加油机</w:t>
                  </w:r>
                </w:p>
              </w:tc>
              <w:tc>
                <w:tcPr>
                  <w:tcW w:w="113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双枪</w:t>
                  </w:r>
                </w:p>
              </w:tc>
              <w:tc>
                <w:tcPr>
                  <w:tcW w:w="11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val="en-US" w:eastAsia="zh-CN"/>
                    </w:rPr>
                    <w:t>台</w:t>
                  </w:r>
                </w:p>
              </w:tc>
              <w:tc>
                <w:tcPr>
                  <w:tcW w:w="124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0台</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w:t>
                  </w:r>
                </w:p>
              </w:tc>
              <w:tc>
                <w:tcPr>
                  <w:tcW w:w="16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柴油</w:t>
                  </w:r>
                  <w:r>
                    <w:rPr>
                      <w:rFonts w:hint="default" w:ascii="Times New Roman" w:hAnsi="Times New Roman" w:eastAsia="宋体" w:cs="Times New Roman"/>
                      <w:color w:val="000000"/>
                      <w:sz w:val="21"/>
                      <w:szCs w:val="21"/>
                      <w:highlight w:val="none"/>
                      <w:lang w:val="en-US" w:eastAsia="zh-CN"/>
                    </w:rPr>
                    <w:t>加油机</w:t>
                  </w:r>
                </w:p>
              </w:tc>
              <w:tc>
                <w:tcPr>
                  <w:tcW w:w="1131" w:type="dxa"/>
                  <w:tcBorders>
                    <w:tl2br w:val="nil"/>
                    <w:tr2bl w:val="nil"/>
                  </w:tcBorders>
                  <w:noWrap w:val="0"/>
                  <w:vAlign w:val="center"/>
                </w:tcPr>
                <w:p>
                  <w:pPr>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单枪</w:t>
                  </w:r>
                </w:p>
              </w:tc>
              <w:tc>
                <w:tcPr>
                  <w:tcW w:w="1187" w:type="dxa"/>
                  <w:tcBorders>
                    <w:tl2br w:val="nil"/>
                    <w:tr2bl w:val="nil"/>
                  </w:tcBorders>
                  <w:noWrap w:val="0"/>
                  <w:vAlign w:val="center"/>
                </w:tcPr>
                <w:p>
                  <w:pPr>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r>
                    <w:rPr>
                      <w:rFonts w:hint="default" w:ascii="Times New Roman" w:hAnsi="Times New Roman" w:eastAsia="宋体" w:cs="Times New Roman"/>
                      <w:color w:val="000000"/>
                      <w:sz w:val="21"/>
                      <w:szCs w:val="21"/>
                      <w:highlight w:val="none"/>
                      <w:lang w:val="en-US" w:eastAsia="zh-CN"/>
                    </w:rPr>
                    <w:t>台</w:t>
                  </w:r>
                </w:p>
              </w:tc>
              <w:tc>
                <w:tcPr>
                  <w:tcW w:w="1241" w:type="dxa"/>
                  <w:tcBorders>
                    <w:tl2br w:val="nil"/>
                    <w:tr2bl w:val="nil"/>
                  </w:tcBorders>
                  <w:noWrap w:val="0"/>
                  <w:vAlign w:val="center"/>
                </w:tcPr>
                <w:p>
                  <w:pPr>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0台</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eastAsia="zh-CN"/>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w:t>
                  </w:r>
                </w:p>
              </w:tc>
              <w:tc>
                <w:tcPr>
                  <w:tcW w:w="1678" w:type="dxa"/>
                  <w:tcBorders>
                    <w:tl2br w:val="nil"/>
                    <w:tr2bl w:val="nil"/>
                  </w:tcBorders>
                  <w:noWrap w:val="0"/>
                  <w:vAlign w:val="center"/>
                </w:tcPr>
                <w:p>
                  <w:pPr>
                    <w:spacing w:line="240" w:lineRule="auto"/>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四枪税控加油机</w:t>
                  </w:r>
                </w:p>
              </w:tc>
              <w:tc>
                <w:tcPr>
                  <w:tcW w:w="1131" w:type="dxa"/>
                  <w:tcBorders>
                    <w:tl2br w:val="nil"/>
                    <w:tr2bl w:val="nil"/>
                  </w:tcBorders>
                  <w:noWrap w:val="0"/>
                  <w:vAlign w:val="center"/>
                </w:tcPr>
                <w:p>
                  <w:pPr>
                    <w:spacing w:line="240" w:lineRule="auto"/>
                    <w:jc w:val="center"/>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四枪税控</w:t>
                  </w:r>
                </w:p>
              </w:tc>
              <w:tc>
                <w:tcPr>
                  <w:tcW w:w="1187" w:type="dxa"/>
                  <w:tcBorders>
                    <w:tl2br w:val="nil"/>
                    <w:tr2bl w:val="nil"/>
                  </w:tcBorders>
                  <w:noWrap w:val="0"/>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0台</w:t>
                  </w:r>
                </w:p>
              </w:tc>
              <w:tc>
                <w:tcPr>
                  <w:tcW w:w="1241" w:type="dxa"/>
                  <w:tcBorders>
                    <w:tl2br w:val="nil"/>
                    <w:tr2bl w:val="nil"/>
                  </w:tcBorders>
                  <w:noWrap w:val="0"/>
                  <w:vAlign w:val="center"/>
                </w:tcPr>
                <w:p>
                  <w:pPr>
                    <w:spacing w:line="240" w:lineRule="auto"/>
                    <w:jc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2台</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eastAsia="zh-CN"/>
                    </w:rPr>
                    <w:t>新建，替换原有</w:t>
                  </w:r>
                  <w:r>
                    <w:rPr>
                      <w:rFonts w:hint="eastAsia" w:cs="Times New Roman"/>
                      <w:color w:val="000000"/>
                      <w:szCs w:val="21"/>
                      <w:highlight w:val="none"/>
                      <w:lang w:val="en-US" w:eastAsia="zh-CN"/>
                    </w:rPr>
                    <w:t>2台加油枪；扩建后一共8把加油枪，2把95#加油枪、4把92#加油枪、2把柴油加油枪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w:t>
                  </w:r>
                </w:p>
              </w:tc>
              <w:tc>
                <w:tcPr>
                  <w:tcW w:w="16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油气回收装置</w:t>
                  </w:r>
                </w:p>
              </w:tc>
              <w:tc>
                <w:tcPr>
                  <w:tcW w:w="113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1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2套</w:t>
                  </w:r>
                  <w:r>
                    <w:rPr>
                      <w:rFonts w:hint="eastAsia" w:cs="Times New Roman"/>
                      <w:color w:val="000000"/>
                      <w:sz w:val="21"/>
                      <w:szCs w:val="21"/>
                      <w:highlight w:val="none"/>
                      <w:lang w:val="en-US" w:eastAsia="zh-CN"/>
                    </w:rPr>
                    <w:t>（二次油气回收）</w:t>
                  </w:r>
                </w:p>
              </w:tc>
              <w:tc>
                <w:tcPr>
                  <w:tcW w:w="124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2套</w:t>
                  </w:r>
                  <w:r>
                    <w:rPr>
                      <w:rFonts w:hint="eastAsia" w:cs="Times New Roman"/>
                      <w:color w:val="000000"/>
                      <w:sz w:val="21"/>
                      <w:szCs w:val="21"/>
                      <w:highlight w:val="none"/>
                      <w:lang w:val="en-US" w:eastAsia="zh-CN"/>
                    </w:rPr>
                    <w:t>（三次油气回收）</w:t>
                  </w:r>
                </w:p>
              </w:tc>
              <w:tc>
                <w:tcPr>
                  <w:tcW w:w="198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油气回收由二次回收改造为三次油气回收</w:t>
                  </w:r>
                </w:p>
              </w:tc>
            </w:tr>
          </w:tbl>
          <w:p>
            <w:pPr>
              <w:adjustRightInd w:val="0"/>
              <w:snapToGrid w:val="0"/>
              <w:spacing w:line="460" w:lineRule="exact"/>
              <w:ind w:firstLine="480" w:firstLineChars="200"/>
              <w:rPr>
                <w:rFonts w:hint="eastAsia"/>
                <w:b/>
                <w:color w:val="FF0000"/>
                <w:sz w:val="24"/>
              </w:rPr>
            </w:pPr>
            <w:r>
              <w:rPr>
                <w:rFonts w:hint="default" w:ascii="Times New Roman" w:hAnsi="Times New Roman" w:eastAsia="宋体" w:cs="Times New Roman"/>
                <w:bCs/>
                <w:color w:val="000000"/>
                <w:sz w:val="24"/>
                <w:szCs w:val="24"/>
                <w:highlight w:val="none"/>
                <w:lang w:val="en-US" w:eastAsia="zh-CN"/>
              </w:rPr>
              <w:t>本项目所用设备均不属于《产业结构调整指导目录（2019年本）》中淘汰类、限制类设备。</w:t>
            </w:r>
          </w:p>
          <w:p>
            <w:pPr>
              <w:pStyle w:val="71"/>
              <w:adjustRightInd w:val="0"/>
              <w:snapToGrid w:val="0"/>
              <w:spacing w:line="520" w:lineRule="exact"/>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、主要产品及产量</w:t>
            </w:r>
          </w:p>
          <w:p>
            <w:pPr>
              <w:pStyle w:val="71"/>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项目主要产品及产量见</w:t>
            </w:r>
            <w:r>
              <w:rPr>
                <w:rFonts w:hint="eastAsia" w:ascii="Times New Roman" w:hAnsi="Times New Roman" w:cs="Times New Roman"/>
                <w:color w:val="auto"/>
                <w:sz w:val="24"/>
                <w:lang w:eastAsia="zh-CN"/>
              </w:rPr>
              <w:t>下</w:t>
            </w:r>
            <w:r>
              <w:rPr>
                <w:rFonts w:hint="default" w:ascii="Times New Roman" w:hAnsi="Times New Roman" w:cs="Times New Roman"/>
                <w:color w:val="auto"/>
                <w:sz w:val="24"/>
              </w:rPr>
              <w:t>表。</w:t>
            </w:r>
          </w:p>
          <w:p>
            <w:pPr>
              <w:pStyle w:val="9"/>
              <w:bidi w:val="0"/>
              <w:rPr>
                <w:rFonts w:hint="default"/>
              </w:rPr>
            </w:pPr>
            <w:r>
              <w:rPr>
                <w:rFonts w:hint="default"/>
              </w:rPr>
              <w:t>项目主要产品一览表</w:t>
            </w:r>
          </w:p>
          <w:tbl>
            <w:tblPr>
              <w:tblStyle w:val="25"/>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38"/>
              <w:gridCol w:w="1891"/>
              <w:gridCol w:w="1978"/>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序号</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名称</w:t>
                  </w:r>
                </w:p>
              </w:tc>
              <w:tc>
                <w:tcPr>
                  <w:tcW w:w="189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现有年</w:t>
                  </w:r>
                  <w:r>
                    <w:rPr>
                      <w:rFonts w:hint="eastAsia" w:ascii="Times New Roman" w:hAnsi="Times New Roman" w:eastAsia="宋体" w:cs="Times New Roman"/>
                      <w:color w:val="000000"/>
                      <w:sz w:val="21"/>
                      <w:szCs w:val="21"/>
                      <w:highlight w:val="none"/>
                      <w:lang w:val="en-US" w:eastAsia="zh-CN"/>
                    </w:rPr>
                    <w:t>销售</w:t>
                  </w:r>
                  <w:r>
                    <w:rPr>
                      <w:rFonts w:hint="default" w:ascii="Times New Roman" w:hAnsi="Times New Roman" w:eastAsia="宋体" w:cs="Times New Roman"/>
                      <w:color w:val="000000"/>
                      <w:sz w:val="21"/>
                      <w:szCs w:val="21"/>
                      <w:highlight w:val="none"/>
                      <w:lang w:val="en-US" w:eastAsia="zh-CN"/>
                    </w:rPr>
                    <w:t>量</w:t>
                  </w:r>
                </w:p>
              </w:tc>
              <w:tc>
                <w:tcPr>
                  <w:tcW w:w="19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扩建后年</w:t>
                  </w:r>
                  <w:r>
                    <w:rPr>
                      <w:rFonts w:hint="eastAsia" w:ascii="Times New Roman" w:hAnsi="Times New Roman" w:eastAsia="宋体" w:cs="Times New Roman"/>
                      <w:color w:val="000000"/>
                      <w:sz w:val="21"/>
                      <w:szCs w:val="21"/>
                      <w:highlight w:val="none"/>
                      <w:lang w:val="en-US" w:eastAsia="zh-CN"/>
                    </w:rPr>
                    <w:t>销售</w:t>
                  </w:r>
                  <w:r>
                    <w:rPr>
                      <w:rFonts w:hint="default" w:ascii="Times New Roman" w:hAnsi="Times New Roman" w:eastAsia="宋体" w:cs="Times New Roman"/>
                      <w:color w:val="000000"/>
                      <w:sz w:val="21"/>
                      <w:szCs w:val="21"/>
                      <w:highlight w:val="none"/>
                      <w:lang w:val="en-US" w:eastAsia="zh-CN"/>
                    </w:rPr>
                    <w:t>量</w:t>
                  </w:r>
                </w:p>
              </w:tc>
              <w:tc>
                <w:tcPr>
                  <w:tcW w:w="259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汽油</w:t>
                  </w:r>
                </w:p>
              </w:tc>
              <w:tc>
                <w:tcPr>
                  <w:tcW w:w="189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160</w:t>
                  </w:r>
                  <w:r>
                    <w:rPr>
                      <w:rFonts w:hint="default" w:ascii="Times New Roman" w:hAnsi="Times New Roman" w:eastAsia="宋体" w:cs="Times New Roman"/>
                      <w:color w:val="000000"/>
                      <w:sz w:val="21"/>
                      <w:szCs w:val="21"/>
                      <w:highlight w:val="none"/>
                      <w:lang w:val="en-US" w:eastAsia="zh-CN"/>
                    </w:rPr>
                    <w:t>t/a</w:t>
                  </w:r>
                </w:p>
              </w:tc>
              <w:tc>
                <w:tcPr>
                  <w:tcW w:w="19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200</w:t>
                  </w:r>
                  <w:r>
                    <w:rPr>
                      <w:rFonts w:hint="default" w:ascii="Times New Roman" w:hAnsi="Times New Roman" w:eastAsia="宋体" w:cs="Times New Roman"/>
                      <w:color w:val="000000"/>
                      <w:sz w:val="21"/>
                      <w:szCs w:val="21"/>
                      <w:highlight w:val="none"/>
                      <w:lang w:val="en-US" w:eastAsia="zh-CN"/>
                    </w:rPr>
                    <w:t>t/a</w:t>
                  </w:r>
                </w:p>
              </w:tc>
              <w:tc>
                <w:tcPr>
                  <w:tcW w:w="259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原型号为93#、97#，</w:t>
                  </w:r>
                  <w:r>
                    <w:rPr>
                      <w:rFonts w:hint="default" w:ascii="Times New Roman" w:hAnsi="Times New Roman" w:eastAsia="宋体" w:cs="Times New Roman"/>
                      <w:color w:val="000000"/>
                      <w:sz w:val="21"/>
                      <w:szCs w:val="21"/>
                      <w:highlight w:val="none"/>
                      <w:lang w:val="en-US" w:eastAsia="zh-CN"/>
                    </w:rPr>
                    <w:t>扩建后型号为92#、95#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柴油</w:t>
                  </w:r>
                </w:p>
              </w:tc>
              <w:tc>
                <w:tcPr>
                  <w:tcW w:w="1891"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40</w:t>
                  </w:r>
                  <w:r>
                    <w:rPr>
                      <w:rFonts w:hint="default" w:ascii="Times New Roman" w:hAnsi="Times New Roman" w:eastAsia="宋体" w:cs="Times New Roman"/>
                      <w:color w:val="000000"/>
                      <w:sz w:val="21"/>
                      <w:szCs w:val="21"/>
                      <w:highlight w:val="none"/>
                      <w:lang w:val="en-US" w:eastAsia="zh-CN"/>
                    </w:rPr>
                    <w:t>t/a</w:t>
                  </w:r>
                </w:p>
              </w:tc>
              <w:tc>
                <w:tcPr>
                  <w:tcW w:w="197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w:t>
                  </w:r>
                  <w:r>
                    <w:rPr>
                      <w:rFonts w:hint="default" w:ascii="Times New Roman" w:hAnsi="Times New Roman" w:eastAsia="宋体" w:cs="Times New Roman"/>
                      <w:color w:val="000000"/>
                      <w:sz w:val="21"/>
                      <w:szCs w:val="21"/>
                      <w:highlight w:val="none"/>
                      <w:lang w:val="en-US" w:eastAsia="zh-CN"/>
                    </w:rPr>
                    <w:t>t/a</w:t>
                  </w:r>
                </w:p>
              </w:tc>
              <w:tc>
                <w:tcPr>
                  <w:tcW w:w="2593"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w:t>
                  </w:r>
                </w:p>
              </w:tc>
            </w:tr>
          </w:tbl>
          <w:p>
            <w:pPr>
              <w:adjustRightInd w:val="0"/>
              <w:snapToGrid w:val="0"/>
              <w:spacing w:line="460" w:lineRule="exact"/>
              <w:ind w:firstLine="482" w:firstLineChars="200"/>
              <w:rPr>
                <w:b/>
                <w:color w:val="auto"/>
                <w:sz w:val="24"/>
              </w:rPr>
            </w:pPr>
            <w:r>
              <w:rPr>
                <w:rFonts w:hint="eastAsia"/>
                <w:b/>
                <w:color w:val="auto"/>
                <w:sz w:val="24"/>
                <w:lang w:val="en-US" w:eastAsia="zh-CN"/>
              </w:rPr>
              <w:t>5</w:t>
            </w:r>
            <w:r>
              <w:rPr>
                <w:b/>
                <w:color w:val="auto"/>
                <w:sz w:val="24"/>
              </w:rPr>
              <w:t>、</w:t>
            </w:r>
            <w:r>
              <w:rPr>
                <w:rFonts w:hint="default"/>
                <w:b/>
                <w:color w:val="auto"/>
                <w:sz w:val="24"/>
                <w:lang w:val="en-US" w:eastAsia="zh-CN"/>
              </w:rPr>
              <w:t>主要原辅材料及能源消耗</w:t>
            </w:r>
          </w:p>
          <w:p>
            <w:pPr>
              <w:adjustRightInd w:val="0"/>
              <w:snapToGrid w:val="0"/>
              <w:spacing w:line="460" w:lineRule="exact"/>
              <w:ind w:firstLine="480" w:firstLineChars="200"/>
              <w:rPr>
                <w:color w:val="auto"/>
                <w:sz w:val="24"/>
              </w:rPr>
            </w:pPr>
            <w:r>
              <w:rPr>
                <w:color w:val="auto"/>
                <w:sz w:val="24"/>
              </w:rPr>
              <w:t>本项目主要</w:t>
            </w:r>
            <w:r>
              <w:rPr>
                <w:rFonts w:hint="eastAsia"/>
                <w:color w:val="auto"/>
                <w:sz w:val="24"/>
                <w:lang w:eastAsia="zh-CN"/>
              </w:rPr>
              <w:t>原辅材料及能源消耗</w:t>
            </w:r>
            <w:r>
              <w:rPr>
                <w:color w:val="auto"/>
                <w:sz w:val="24"/>
              </w:rPr>
              <w:t>见下表。</w:t>
            </w:r>
          </w:p>
          <w:p>
            <w:pPr>
              <w:pStyle w:val="9"/>
              <w:bidi w:val="0"/>
            </w:pPr>
            <w:r>
              <w:rPr>
                <w:rFonts w:hint="eastAsia"/>
                <w:lang w:eastAsia="zh-CN"/>
              </w:rPr>
              <w:t>项目主要原辅材料及能源消耗</w:t>
            </w:r>
            <w:r>
              <w:rPr>
                <w:lang w:val="pt-BR"/>
              </w:rPr>
              <w:t>一览表</w:t>
            </w:r>
          </w:p>
          <w:tbl>
            <w:tblPr>
              <w:tblStyle w:val="25"/>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38"/>
              <w:gridCol w:w="2237"/>
              <w:gridCol w:w="190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序号</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名称</w:t>
                  </w:r>
                </w:p>
              </w:tc>
              <w:tc>
                <w:tcPr>
                  <w:tcW w:w="22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现有年</w:t>
                  </w:r>
                  <w:r>
                    <w:rPr>
                      <w:rFonts w:hint="eastAsia" w:ascii="Times New Roman" w:hAnsi="Times New Roman" w:eastAsia="宋体" w:cs="Times New Roman"/>
                      <w:color w:val="000000"/>
                      <w:sz w:val="21"/>
                      <w:szCs w:val="21"/>
                      <w:highlight w:val="none"/>
                      <w:lang w:val="en-US" w:eastAsia="zh-CN"/>
                    </w:rPr>
                    <w:t>消耗</w:t>
                  </w:r>
                  <w:r>
                    <w:rPr>
                      <w:rFonts w:hint="default" w:ascii="Times New Roman" w:hAnsi="Times New Roman" w:eastAsia="宋体" w:cs="Times New Roman"/>
                      <w:color w:val="000000"/>
                      <w:sz w:val="21"/>
                      <w:szCs w:val="21"/>
                      <w:highlight w:val="none"/>
                      <w:lang w:val="en-US" w:eastAsia="zh-CN"/>
                    </w:rPr>
                    <w:t>量</w:t>
                  </w:r>
                </w:p>
              </w:tc>
              <w:tc>
                <w:tcPr>
                  <w:tcW w:w="1900"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扩建后年</w:t>
                  </w:r>
                  <w:r>
                    <w:rPr>
                      <w:rFonts w:hint="eastAsia" w:ascii="Times New Roman" w:hAnsi="Times New Roman" w:eastAsia="宋体" w:cs="Times New Roman"/>
                      <w:color w:val="000000"/>
                      <w:sz w:val="21"/>
                      <w:szCs w:val="21"/>
                      <w:highlight w:val="none"/>
                      <w:lang w:val="en-US" w:eastAsia="zh-CN"/>
                    </w:rPr>
                    <w:t>消耗</w:t>
                  </w:r>
                  <w:r>
                    <w:rPr>
                      <w:rFonts w:hint="default" w:ascii="Times New Roman" w:hAnsi="Times New Roman" w:eastAsia="宋体" w:cs="Times New Roman"/>
                      <w:color w:val="000000"/>
                      <w:sz w:val="21"/>
                      <w:szCs w:val="21"/>
                      <w:highlight w:val="none"/>
                      <w:lang w:val="en-US" w:eastAsia="zh-CN"/>
                    </w:rPr>
                    <w:t>量</w:t>
                  </w:r>
                </w:p>
              </w:tc>
              <w:tc>
                <w:tcPr>
                  <w:tcW w:w="232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汽油</w:t>
                  </w:r>
                </w:p>
              </w:tc>
              <w:tc>
                <w:tcPr>
                  <w:tcW w:w="22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160</w:t>
                  </w:r>
                  <w:r>
                    <w:rPr>
                      <w:rFonts w:hint="default" w:ascii="Times New Roman" w:hAnsi="Times New Roman" w:eastAsia="宋体" w:cs="Times New Roman"/>
                      <w:color w:val="000000"/>
                      <w:sz w:val="21"/>
                      <w:szCs w:val="21"/>
                      <w:highlight w:val="none"/>
                      <w:lang w:val="en-US" w:eastAsia="zh-CN"/>
                    </w:rPr>
                    <w:t>t/a</w:t>
                  </w:r>
                </w:p>
              </w:tc>
              <w:tc>
                <w:tcPr>
                  <w:tcW w:w="1900"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200</w:t>
                  </w:r>
                  <w:r>
                    <w:rPr>
                      <w:rFonts w:hint="default" w:ascii="Times New Roman" w:hAnsi="Times New Roman" w:eastAsia="宋体" w:cs="Times New Roman"/>
                      <w:color w:val="000000"/>
                      <w:sz w:val="21"/>
                      <w:szCs w:val="21"/>
                      <w:highlight w:val="none"/>
                      <w:lang w:val="en-US" w:eastAsia="zh-CN"/>
                    </w:rPr>
                    <w:t>t/a</w:t>
                  </w:r>
                </w:p>
              </w:tc>
              <w:tc>
                <w:tcPr>
                  <w:tcW w:w="232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原型号为93#、97#，</w:t>
                  </w:r>
                  <w:r>
                    <w:rPr>
                      <w:rFonts w:hint="default" w:ascii="Times New Roman" w:hAnsi="Times New Roman" w:eastAsia="宋体" w:cs="Times New Roman"/>
                      <w:color w:val="000000"/>
                      <w:sz w:val="21"/>
                      <w:szCs w:val="21"/>
                      <w:highlight w:val="none"/>
                      <w:lang w:val="en-US" w:eastAsia="zh-CN"/>
                    </w:rPr>
                    <w:t>扩建后型号为92#、95#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柴油</w:t>
                  </w:r>
                </w:p>
              </w:tc>
              <w:tc>
                <w:tcPr>
                  <w:tcW w:w="22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40</w:t>
                  </w:r>
                  <w:r>
                    <w:rPr>
                      <w:rFonts w:hint="default" w:ascii="Times New Roman" w:hAnsi="Times New Roman" w:eastAsia="宋体" w:cs="Times New Roman"/>
                      <w:color w:val="000000"/>
                      <w:sz w:val="21"/>
                      <w:szCs w:val="21"/>
                      <w:highlight w:val="none"/>
                      <w:lang w:val="en-US" w:eastAsia="zh-CN"/>
                    </w:rPr>
                    <w:t>t/a</w:t>
                  </w:r>
                </w:p>
              </w:tc>
              <w:tc>
                <w:tcPr>
                  <w:tcW w:w="1900"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w:t>
                  </w:r>
                  <w:r>
                    <w:rPr>
                      <w:rFonts w:hint="default" w:ascii="Times New Roman" w:hAnsi="Times New Roman" w:eastAsia="宋体" w:cs="Times New Roman"/>
                      <w:color w:val="000000"/>
                      <w:sz w:val="21"/>
                      <w:szCs w:val="21"/>
                      <w:highlight w:val="none"/>
                      <w:lang w:val="en-US" w:eastAsia="zh-CN"/>
                    </w:rPr>
                    <w:t>t/a</w:t>
                  </w:r>
                </w:p>
              </w:tc>
              <w:tc>
                <w:tcPr>
                  <w:tcW w:w="232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w:t>
                  </w:r>
                </w:p>
              </w:tc>
              <w:tc>
                <w:tcPr>
                  <w:tcW w:w="73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水</w:t>
                  </w:r>
                </w:p>
              </w:tc>
              <w:tc>
                <w:tcPr>
                  <w:tcW w:w="2237" w:type="dxa"/>
                  <w:tcBorders>
                    <w:tl2br w:val="nil"/>
                    <w:tr2bl w:val="nil"/>
                  </w:tcBorders>
                  <w:noWrap w:val="0"/>
                  <w:vAlign w:val="center"/>
                </w:tcPr>
                <w:p>
                  <w:pPr>
                    <w:ind w:left="-105" w:leftChars="-50" w:right="-105" w:rightChars="-5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43.8m</w:t>
                  </w:r>
                  <w:r>
                    <w:rPr>
                      <w:rFonts w:hint="eastAsia" w:ascii="Times New Roman" w:hAnsi="Times New Roman"/>
                      <w:szCs w:val="21"/>
                      <w:vertAlign w:val="superscript"/>
                      <w:lang w:val="en-US" w:eastAsia="zh-CN"/>
                    </w:rPr>
                    <w:t>3</w:t>
                  </w:r>
                  <w:r>
                    <w:rPr>
                      <w:rFonts w:ascii="Times New Roman" w:hAnsi="Times New Roman"/>
                      <w:szCs w:val="21"/>
                    </w:rPr>
                    <w:t>/a</w:t>
                  </w:r>
                </w:p>
              </w:tc>
              <w:tc>
                <w:tcPr>
                  <w:tcW w:w="1900"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szCs w:val="21"/>
                      <w:lang w:val="en-US" w:eastAsia="zh-CN"/>
                    </w:rPr>
                    <w:t>43.8m</w:t>
                  </w:r>
                  <w:r>
                    <w:rPr>
                      <w:rFonts w:hint="eastAsia" w:ascii="Times New Roman" w:hAnsi="Times New Roman"/>
                      <w:szCs w:val="21"/>
                      <w:vertAlign w:val="superscript"/>
                      <w:lang w:val="en-US" w:eastAsia="zh-CN"/>
                    </w:rPr>
                    <w:t>3</w:t>
                  </w:r>
                  <w:r>
                    <w:rPr>
                      <w:rFonts w:ascii="Times New Roman" w:hAnsi="Times New Roman"/>
                      <w:szCs w:val="21"/>
                    </w:rPr>
                    <w:t>/a</w:t>
                  </w:r>
                </w:p>
              </w:tc>
              <w:tc>
                <w:tcPr>
                  <w:tcW w:w="232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bl>
          <w:p>
            <w:pPr>
              <w:adjustRightInd w:val="0"/>
              <w:snapToGrid w:val="0"/>
              <w:spacing w:line="460" w:lineRule="exact"/>
              <w:ind w:firstLine="480" w:firstLineChars="200"/>
              <w:rPr>
                <w:rFonts w:hint="eastAsia"/>
                <w:b/>
                <w:color w:val="FF0000"/>
                <w:sz w:val="24"/>
                <w:highlight w:val="none"/>
              </w:rPr>
            </w:pPr>
            <w:r>
              <w:rPr>
                <w:rFonts w:hint="eastAsia" w:ascii="Times New Roman" w:hAnsi="Times New Roman" w:eastAsia="宋体" w:cs="Times New Roman"/>
                <w:bCs/>
                <w:color w:val="000000"/>
                <w:kern w:val="2"/>
                <w:sz w:val="24"/>
                <w:szCs w:val="24"/>
                <w:highlight w:val="none"/>
                <w:lang w:val="en-US" w:eastAsia="zh-CN" w:bidi="ar-SA"/>
              </w:rPr>
              <w:t>加油站在加油枪及储油量足够的情况下，汽油和柴油销售量仅与顾客相关，因经济发展、道路规划等原因，预计年销售量与现有环评报告中年销售量相比增多，根据企业近期销售情况，预计销售量为250t/a。本项目设2台四枪税控加油机，即共计8把加油枪</w:t>
            </w:r>
            <w:r>
              <w:rPr>
                <w:rFonts w:hint="eastAsia" w:cs="Times New Roman"/>
                <w:bCs/>
                <w:color w:val="000000"/>
                <w:kern w:val="2"/>
                <w:sz w:val="24"/>
                <w:szCs w:val="24"/>
                <w:highlight w:val="none"/>
                <w:lang w:val="en-US" w:eastAsia="zh-CN" w:bidi="ar-SA"/>
              </w:rPr>
              <w:t>（汽油加油枪6台，柴油加油枪2台）</w:t>
            </w:r>
            <w:r>
              <w:rPr>
                <w:rFonts w:hint="eastAsia" w:ascii="Times New Roman" w:hAnsi="Times New Roman" w:eastAsia="宋体" w:cs="Times New Roman"/>
                <w:bCs/>
                <w:color w:val="000000"/>
                <w:kern w:val="2"/>
                <w:sz w:val="24"/>
                <w:szCs w:val="24"/>
                <w:highlight w:val="none"/>
                <w:lang w:val="en-US" w:eastAsia="zh-CN" w:bidi="ar-SA"/>
              </w:rPr>
              <w:t>，单把加油枪加油流量为30L/min，年运营365天，实际运行中因顾客数量限制，加油机间断工作，每把加油枪实际工作时长按1h/d计，则汽油加油枪年最大加油量为</w:t>
            </w:r>
            <w:r>
              <w:rPr>
                <w:rFonts w:hint="eastAsia" w:cs="Times New Roman"/>
                <w:bCs/>
                <w:color w:val="000000"/>
                <w:kern w:val="2"/>
                <w:sz w:val="24"/>
                <w:szCs w:val="24"/>
                <w:highlight w:val="none"/>
                <w:lang w:val="en-US" w:eastAsia="zh-CN" w:bidi="ar-SA"/>
              </w:rPr>
              <w:t>394.2</w:t>
            </w:r>
            <w:r>
              <w:rPr>
                <w:rFonts w:hint="eastAsia" w:ascii="Times New Roman" w:hAnsi="Times New Roman" w:eastAsia="宋体" w:cs="Times New Roman"/>
                <w:bCs/>
                <w:color w:val="000000"/>
                <w:kern w:val="2"/>
                <w:sz w:val="24"/>
                <w:szCs w:val="24"/>
                <w:highlight w:val="none"/>
                <w:lang w:val="en-US" w:eastAsia="zh-CN" w:bidi="ar-SA"/>
              </w:rPr>
              <w:t>万L，柴油</w:t>
            </w:r>
            <w:r>
              <w:rPr>
                <w:rFonts w:hint="eastAsia" w:cs="Times New Roman"/>
                <w:bCs/>
                <w:color w:val="000000"/>
                <w:kern w:val="2"/>
                <w:sz w:val="24"/>
                <w:szCs w:val="24"/>
                <w:highlight w:val="none"/>
                <w:lang w:val="en-US" w:eastAsia="zh-CN" w:bidi="ar-SA"/>
              </w:rPr>
              <w:t>最大</w:t>
            </w:r>
            <w:r>
              <w:rPr>
                <w:rFonts w:hint="eastAsia" w:ascii="Times New Roman" w:hAnsi="Times New Roman" w:eastAsia="宋体" w:cs="Times New Roman"/>
                <w:bCs/>
                <w:color w:val="000000"/>
                <w:kern w:val="2"/>
                <w:sz w:val="24"/>
                <w:szCs w:val="24"/>
                <w:highlight w:val="none"/>
                <w:lang w:val="en-US" w:eastAsia="zh-CN" w:bidi="ar-SA"/>
              </w:rPr>
              <w:t>年加油量为</w:t>
            </w:r>
            <w:r>
              <w:rPr>
                <w:rFonts w:hint="eastAsia" w:cs="Times New Roman"/>
                <w:bCs/>
                <w:color w:val="000000"/>
                <w:kern w:val="2"/>
                <w:sz w:val="24"/>
                <w:szCs w:val="24"/>
                <w:highlight w:val="none"/>
                <w:lang w:val="en-US" w:eastAsia="zh-CN" w:bidi="ar-SA"/>
              </w:rPr>
              <w:t>131.4</w:t>
            </w:r>
            <w:r>
              <w:rPr>
                <w:rFonts w:hint="eastAsia" w:ascii="Times New Roman" w:hAnsi="Times New Roman" w:eastAsia="宋体" w:cs="Times New Roman"/>
                <w:bCs/>
                <w:color w:val="000000"/>
                <w:kern w:val="2"/>
                <w:sz w:val="24"/>
                <w:szCs w:val="24"/>
                <w:highlight w:val="none"/>
                <w:lang w:val="en-US" w:eastAsia="zh-CN" w:bidi="ar-SA"/>
              </w:rPr>
              <w:t>万L。本项目汽油为92#、95#，相对密度取0.75</w:t>
            </w:r>
            <w:r>
              <w:rPr>
                <w:rFonts w:hint="eastAsia" w:ascii="Times New Roman" w:hAnsi="Times New Roman" w:cs="Times New Roman"/>
                <w:color w:val="auto"/>
                <w:sz w:val="24"/>
                <w:lang w:val="en-US" w:eastAsia="zh-CN"/>
              </w:rPr>
              <w:t>kg/L</w:t>
            </w:r>
            <w:r>
              <w:rPr>
                <w:rFonts w:hint="eastAsia" w:ascii="Times New Roman" w:hAnsi="Times New Roman" w:eastAsia="宋体" w:cs="Times New Roman"/>
                <w:bCs/>
                <w:color w:val="000000"/>
                <w:kern w:val="2"/>
                <w:sz w:val="24"/>
                <w:szCs w:val="24"/>
                <w:highlight w:val="none"/>
                <w:lang w:val="en-US" w:eastAsia="zh-CN" w:bidi="ar-SA"/>
              </w:rPr>
              <w:t>，柴油相对密度取0.8</w:t>
            </w:r>
            <w:r>
              <w:rPr>
                <w:rFonts w:hint="eastAsia" w:cs="Times New Roman"/>
                <w:bCs/>
                <w:color w:val="000000"/>
                <w:kern w:val="2"/>
                <w:sz w:val="24"/>
                <w:szCs w:val="24"/>
                <w:highlight w:val="none"/>
                <w:lang w:val="en-US" w:eastAsia="zh-CN" w:bidi="ar-SA"/>
              </w:rPr>
              <w:t>5</w:t>
            </w:r>
            <w:r>
              <w:rPr>
                <w:rFonts w:hint="eastAsia" w:ascii="Times New Roman" w:hAnsi="Times New Roman" w:cs="Times New Roman"/>
                <w:color w:val="auto"/>
                <w:sz w:val="24"/>
                <w:lang w:val="en-US" w:eastAsia="zh-CN"/>
              </w:rPr>
              <w:t>kg/L</w:t>
            </w:r>
            <w:r>
              <w:rPr>
                <w:rFonts w:hint="eastAsia" w:ascii="Times New Roman" w:hAnsi="Times New Roman" w:eastAsia="宋体" w:cs="Times New Roman"/>
                <w:bCs/>
                <w:color w:val="000000"/>
                <w:kern w:val="2"/>
                <w:sz w:val="24"/>
                <w:szCs w:val="24"/>
                <w:highlight w:val="none"/>
                <w:lang w:val="en-US" w:eastAsia="zh-CN" w:bidi="ar-SA"/>
              </w:rPr>
              <w:t>，则汽油加油枪年最大加油量为2956.5t/a，柴油加油枪年最大加油量为</w:t>
            </w:r>
            <w:r>
              <w:rPr>
                <w:rFonts w:hint="eastAsia" w:cs="Times New Roman"/>
                <w:bCs/>
                <w:color w:val="000000"/>
                <w:kern w:val="2"/>
                <w:sz w:val="24"/>
                <w:szCs w:val="24"/>
                <w:highlight w:val="none"/>
                <w:lang w:val="en-US" w:eastAsia="zh-CN" w:bidi="ar-SA"/>
              </w:rPr>
              <w:t>1116.9</w:t>
            </w:r>
            <w:r>
              <w:rPr>
                <w:rFonts w:hint="eastAsia" w:ascii="Times New Roman" w:hAnsi="Times New Roman" w:eastAsia="宋体" w:cs="Times New Roman"/>
                <w:bCs/>
                <w:color w:val="000000"/>
                <w:kern w:val="2"/>
                <w:sz w:val="24"/>
                <w:szCs w:val="24"/>
                <w:highlight w:val="none"/>
                <w:lang w:val="en-US" w:eastAsia="zh-CN" w:bidi="ar-SA"/>
              </w:rPr>
              <w:t>t/a，汽油、柴油加油机最大加油量可以满足实际运行要求。</w:t>
            </w:r>
          </w:p>
          <w:p>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项目物料理化性质如下：</w:t>
            </w:r>
          </w:p>
          <w:p>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汽油：汽油为油品的一大类，</w:t>
            </w:r>
            <w:r>
              <w:rPr>
                <w:rFonts w:hint="eastAsia" w:ascii="Times New Roman" w:hAnsi="Times New Roman" w:eastAsia="宋体" w:cs="Times New Roman"/>
                <w:color w:val="auto"/>
                <w:sz w:val="24"/>
                <w:lang w:val="en-US" w:eastAsia="zh-CN"/>
              </w:rPr>
              <w:t>密度约为</w:t>
            </w:r>
            <w:r>
              <w:rPr>
                <w:rFonts w:hint="eastAsia" w:ascii="Times New Roman" w:hAnsi="Times New Roman" w:eastAsia="宋体" w:cs="Times New Roman"/>
                <w:color w:val="auto"/>
                <w:sz w:val="24"/>
              </w:rPr>
              <w:t>0.7</w:t>
            </w:r>
            <w:r>
              <w:rPr>
                <w:rFonts w:hint="eastAsia" w:ascii="Times New Roman" w:hAnsi="Times New Roman" w:eastAsia="宋体" w:cs="Times New Roman"/>
                <w:color w:val="auto"/>
                <w:sz w:val="24"/>
                <w:lang w:val="en-US" w:eastAsia="zh-CN"/>
              </w:rPr>
              <w:t>5</w:t>
            </w:r>
            <w:r>
              <w:rPr>
                <w:rFonts w:hint="eastAsia" w:ascii="Times New Roman" w:hAnsi="Times New Roman" w:cs="Times New Roman"/>
                <w:color w:val="auto"/>
                <w:sz w:val="24"/>
                <w:lang w:val="en-US" w:eastAsia="zh-CN"/>
              </w:rPr>
              <w:t>kg/L。</w:t>
            </w:r>
            <w:r>
              <w:rPr>
                <w:rFonts w:hint="default" w:ascii="Times New Roman" w:hAnsi="Times New Roman" w:eastAsia="宋体" w:cs="Times New Roman"/>
                <w:color w:val="auto"/>
                <w:sz w:val="24"/>
              </w:rPr>
              <w:t>是四碳至十二碳复杂烃类的混合物，其为无色至淡黄色的易流动液体，易燃，馏程为30℃至205℃，空气中含量为74~123g/m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 xml:space="preserve"> 时遇火爆炸。汽油的热值约为44000kJ/kg。燃料的热值是指1kg 燃料完全燃烧后所产生的热量。英文名为 ULP，主要是由C4~C10 各族烃类组成，按研究法辛烷值分为98号、95号、92号三个牌，标准执行汽油产品目前执行的标准 GB17930-2013《车用汽油》标准。具有较高的辛烷值和优良的抗爆性，用于高压缩比的汽化器式汽油发动机上，可提高发动机的功率，减少燃料消耗量；有良好的蒸发性和燃烧性，能保证发动机运转平稳、燃烧完全、积炭少；具有较好的安定性，在贮运和使用过程中不易出现早期氧化变质，对发动机部件及储油容器无腐蚀性。</w:t>
            </w:r>
          </w:p>
          <w:p>
            <w:pPr>
              <w:numPr>
                <w:ilvl w:val="0"/>
                <w:numId w:val="0"/>
              </w:numPr>
              <w:spacing w:line="520" w:lineRule="exact"/>
              <w:ind w:left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柴油：柴油沸点范围和黏度介于煤油与润滑油之间的液态石油馏分，是</w:t>
            </w:r>
          </w:p>
          <w:p>
            <w:pPr>
              <w:numPr>
                <w:ilvl w:val="0"/>
                <w:numId w:val="0"/>
              </w:numPr>
              <w:spacing w:line="520" w:lineRule="exact"/>
              <w:rPr>
                <w:rFonts w:hint="eastAsia"/>
                <w:b/>
                <w:color w:val="FF0000"/>
                <w:sz w:val="24"/>
              </w:rPr>
            </w:pPr>
            <w:r>
              <w:rPr>
                <w:rFonts w:hint="default" w:ascii="Times New Roman" w:hAnsi="Times New Roman" w:eastAsia="宋体" w:cs="Times New Roman"/>
                <w:color w:val="auto"/>
                <w:sz w:val="24"/>
              </w:rPr>
              <w:t>组分复杂的混合物，</w:t>
            </w:r>
            <w:r>
              <w:rPr>
                <w:rFonts w:hint="eastAsia" w:ascii="Times New Roman" w:hAnsi="Times New Roman" w:eastAsia="宋体" w:cs="Times New Roman"/>
                <w:color w:val="auto"/>
                <w:sz w:val="24"/>
                <w:lang w:val="en-US" w:eastAsia="zh-CN"/>
              </w:rPr>
              <w:t>密度约为</w:t>
            </w:r>
            <w:r>
              <w:rPr>
                <w:rFonts w:hint="eastAsia" w:ascii="Times New Roman" w:hAnsi="Times New Roman" w:eastAsia="宋体" w:cs="Times New Roman"/>
                <w:color w:val="auto"/>
                <w:sz w:val="24"/>
              </w:rPr>
              <w:t>0.</w:t>
            </w:r>
            <w:r>
              <w:rPr>
                <w:rFonts w:hint="eastAsia" w:ascii="Times New Roman" w:hAnsi="Times New Roman" w:cs="Times New Roman"/>
                <w:color w:val="auto"/>
                <w:sz w:val="24"/>
                <w:lang w:val="en-US" w:eastAsia="zh-CN"/>
              </w:rPr>
              <w:t>8</w:t>
            </w:r>
            <w:r>
              <w:rPr>
                <w:rFonts w:hint="eastAsia" w:cs="Times New Roman"/>
                <w:color w:val="auto"/>
                <w:sz w:val="24"/>
                <w:lang w:val="en-US" w:eastAsia="zh-CN"/>
              </w:rPr>
              <w:t>5</w:t>
            </w:r>
            <w:r>
              <w:rPr>
                <w:rFonts w:hint="eastAsia" w:ascii="Times New Roman" w:hAnsi="Times New Roman" w:cs="Times New Roman"/>
                <w:color w:val="auto"/>
                <w:sz w:val="24"/>
                <w:lang w:val="en-US" w:eastAsia="zh-CN"/>
              </w:rPr>
              <w:t>kg/L。</w:t>
            </w:r>
            <w:r>
              <w:rPr>
                <w:rFonts w:hint="default" w:ascii="Times New Roman" w:hAnsi="Times New Roman" w:eastAsia="宋体" w:cs="Times New Roman"/>
                <w:color w:val="auto"/>
                <w:sz w:val="24"/>
              </w:rPr>
              <w:t>沸点范围十六烷值有 180℃ ~370℃ 和 350℃ ~410℃ 两类。由原油、页岩油等经直馏或裂化等过程制得。根据原油性质的不同，有石蜡基柴油、环烷基柴油、环烷-芳烃基柴油等。根据密度的不同，对石油及其加工产品，习惯上对沸点或沸点范围低的称为轻，相反成为重。一般分为轻柴油和重柴油。石蜡基柴油也用作裂解制乙烯、丙烯的原料，还可作吸收油等。商品柴油按凝固点分级，如 10、-20 等，表示低使用温度，柴油广泛用于大型车辆、船舰、发电机等，标准执行 GB 252-2011《普通柴油》。</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sz w:val="24"/>
                <w:highlight w:val="green"/>
              </w:rPr>
            </w:pPr>
            <w:r>
              <w:rPr>
                <w:rFonts w:hint="eastAsia" w:cs="Times New Roman"/>
                <w:b/>
                <w:bCs w:val="0"/>
                <w:color w:val="000000"/>
                <w:kern w:val="2"/>
                <w:sz w:val="24"/>
                <w:szCs w:val="24"/>
                <w:highlight w:val="none"/>
                <w:lang w:val="en-US" w:eastAsia="zh-CN" w:bidi="ar-SA"/>
              </w:rPr>
              <w:t>6</w:t>
            </w:r>
            <w:r>
              <w:rPr>
                <w:rFonts w:hint="default" w:ascii="Times New Roman" w:hAnsi="Times New Roman" w:eastAsia="宋体" w:cs="Times New Roman"/>
                <w:b/>
                <w:bCs w:val="0"/>
                <w:color w:val="000000"/>
                <w:kern w:val="2"/>
                <w:sz w:val="24"/>
                <w:szCs w:val="24"/>
                <w:highlight w:val="none"/>
                <w:lang w:val="en-US" w:eastAsia="zh-CN" w:bidi="ar-SA"/>
              </w:rPr>
              <w:t>、项目水资源</w:t>
            </w:r>
            <w:r>
              <w:rPr>
                <w:rFonts w:hint="default" w:ascii="Times New Roman" w:hAnsi="Times New Roman" w:eastAsia="宋体" w:cs="Times New Roman"/>
                <w:b/>
                <w:bCs w:val="0"/>
                <w:color w:val="000000"/>
                <w:sz w:val="24"/>
                <w:szCs w:val="24"/>
                <w:highlight w:val="none"/>
                <w:lang w:val="en-US" w:eastAsia="zh-CN"/>
              </w:rPr>
              <w:t>使用及排放</w:t>
            </w:r>
            <w:r>
              <w:rPr>
                <w:rFonts w:hint="default" w:ascii="Times New Roman" w:hAnsi="Times New Roman" w:eastAsia="宋体" w:cs="Times New Roman"/>
                <w:bCs/>
                <w:color w:val="000000"/>
                <w:sz w:val="24"/>
                <w:szCs w:val="24"/>
                <w:highlight w:val="green"/>
                <w:lang w:val="en-US" w:eastAsia="zh-CN"/>
              </w:rPr>
              <w:br w:type="textWrapping"/>
            </w:r>
            <w:r>
              <w:rPr>
                <w:rFonts w:hint="default" w:ascii="Times New Roman" w:hAnsi="Times New Roman" w:eastAsia="宋体" w:cs="Times New Roman"/>
                <w:bCs/>
                <w:color w:val="000000"/>
                <w:sz w:val="24"/>
                <w:szCs w:val="24"/>
                <w:highlight w:val="none"/>
                <w:lang w:val="en-US" w:eastAsia="zh-CN"/>
              </w:rPr>
              <w:t xml:space="preserve">    </w:t>
            </w:r>
            <w:r>
              <w:rPr>
                <w:rFonts w:hint="default" w:ascii="Times New Roman" w:hAnsi="Times New Roman" w:cs="Times New Roman"/>
                <w:color w:val="000000"/>
                <w:sz w:val="24"/>
                <w:highlight w:val="none"/>
              </w:rPr>
              <w:t>本项目</w:t>
            </w:r>
            <w:r>
              <w:rPr>
                <w:rFonts w:hint="default" w:ascii="Times New Roman" w:hAnsi="Times New Roman" w:cs="Times New Roman"/>
                <w:color w:val="000000"/>
                <w:sz w:val="24"/>
                <w:highlight w:val="none"/>
                <w:lang w:eastAsia="zh-CN"/>
              </w:rPr>
              <w:t>不新增用水</w:t>
            </w:r>
            <w:r>
              <w:rPr>
                <w:rFonts w:hint="default" w:ascii="Times New Roman" w:hAnsi="Times New Roman" w:cs="Times New Roman"/>
                <w:color w:val="000000"/>
                <w:sz w:val="24"/>
                <w:highlight w:val="none"/>
              </w:rPr>
              <w:t>。</w:t>
            </w:r>
          </w:p>
          <w:p>
            <w:pPr>
              <w:keepNext w:val="0"/>
              <w:keepLines w:val="0"/>
              <w:pageBreakBefore w:val="0"/>
              <w:widowControl/>
              <w:numPr>
                <w:ilvl w:val="0"/>
                <w:numId w:val="0"/>
              </w:numPr>
              <w:kinsoku/>
              <w:wordWrap/>
              <w:overflowPunct/>
              <w:topLinePunct w:val="0"/>
              <w:autoSpaceDE/>
              <w:autoSpaceDN/>
              <w:bidi w:val="0"/>
              <w:spacing w:line="520" w:lineRule="exact"/>
              <w:ind w:firstLine="482" w:firstLineChars="200"/>
              <w:jc w:val="both"/>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7</w:t>
            </w:r>
            <w:r>
              <w:rPr>
                <w:rFonts w:hint="default" w:ascii="Times New Roman" w:hAnsi="Times New Roman" w:cs="Times New Roman"/>
                <w:b/>
                <w:bCs/>
                <w:sz w:val="24"/>
                <w:szCs w:val="24"/>
                <w:lang w:val="en-US" w:eastAsia="zh-CN"/>
              </w:rPr>
              <w:t>、劳动定员及工作制度</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本项目不新增员工，</w:t>
            </w:r>
            <w:r>
              <w:rPr>
                <w:rFonts w:hint="default" w:ascii="Times New Roman" w:hAnsi="Times New Roman" w:cs="Times New Roman"/>
                <w:sz w:val="24"/>
                <w:szCs w:val="24"/>
              </w:rPr>
              <w:t>年</w:t>
            </w:r>
            <w:r>
              <w:rPr>
                <w:rFonts w:hint="default" w:ascii="Times New Roman" w:hAnsi="Times New Roman" w:cs="Times New Roman"/>
                <w:sz w:val="24"/>
                <w:szCs w:val="24"/>
                <w:lang w:eastAsia="zh-CN"/>
              </w:rPr>
              <w:t>运营</w:t>
            </w:r>
            <w:r>
              <w:rPr>
                <w:rFonts w:hint="default" w:ascii="Times New Roman" w:hAnsi="Times New Roman" w:cs="Times New Roman"/>
                <w:sz w:val="24"/>
                <w:szCs w:val="24"/>
              </w:rPr>
              <w:t>3</w:t>
            </w:r>
            <w:r>
              <w:rPr>
                <w:rFonts w:hint="default" w:ascii="Times New Roman" w:hAnsi="Times New Roman" w:cs="Times New Roman"/>
                <w:sz w:val="24"/>
                <w:szCs w:val="24"/>
                <w:lang w:val="en-US" w:eastAsia="zh-CN"/>
              </w:rPr>
              <w:t>6</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天，</w:t>
            </w:r>
            <w:r>
              <w:rPr>
                <w:rFonts w:hint="default" w:ascii="Times New Roman" w:hAnsi="Times New Roman" w:cs="Times New Roman"/>
                <w:sz w:val="24"/>
                <w:szCs w:val="24"/>
                <w:lang w:val="en-US" w:eastAsia="zh-CN"/>
              </w:rPr>
              <w:t>三班制，每班8小时。</w:t>
            </w:r>
          </w:p>
          <w:p>
            <w:pPr>
              <w:adjustRightInd w:val="0"/>
              <w:snapToGrid w:val="0"/>
              <w:spacing w:line="460" w:lineRule="exact"/>
              <w:ind w:firstLine="482" w:firstLineChars="200"/>
              <w:rPr>
                <w:b/>
                <w:color w:val="auto"/>
                <w:sz w:val="24"/>
              </w:rPr>
            </w:pPr>
            <w:r>
              <w:rPr>
                <w:rFonts w:hint="eastAsia"/>
                <w:b/>
                <w:color w:val="auto"/>
                <w:sz w:val="24"/>
                <w:lang w:val="en-US" w:eastAsia="zh-CN"/>
              </w:rPr>
              <w:t>8</w:t>
            </w:r>
            <w:r>
              <w:rPr>
                <w:rFonts w:hint="eastAsia"/>
                <w:b/>
                <w:color w:val="auto"/>
                <w:sz w:val="24"/>
              </w:rPr>
              <w:t>、</w:t>
            </w:r>
            <w:r>
              <w:rPr>
                <w:rFonts w:hint="eastAsia"/>
                <w:b/>
                <w:color w:val="auto"/>
                <w:sz w:val="24"/>
                <w:lang w:val="en-US" w:eastAsia="zh-CN"/>
              </w:rPr>
              <w:t>站</w:t>
            </w:r>
            <w:r>
              <w:rPr>
                <w:rFonts w:hint="eastAsia"/>
                <w:b/>
                <w:color w:val="auto"/>
                <w:sz w:val="24"/>
              </w:rPr>
              <w:t>区平面布置简述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bCs/>
                <w:color w:val="auto"/>
                <w:sz w:val="24"/>
              </w:rPr>
            </w:pPr>
            <w:r>
              <w:rPr>
                <w:color w:val="auto"/>
                <w:sz w:val="24"/>
              </w:rPr>
              <w:t>本项目选址位于</w:t>
            </w:r>
            <w:r>
              <w:rPr>
                <w:rFonts w:hint="eastAsia"/>
                <w:color w:val="auto"/>
                <w:sz w:val="24"/>
                <w:lang w:eastAsia="zh-CN"/>
              </w:rPr>
              <w:t>新乡市新乡县七里营镇政府北300m</w:t>
            </w:r>
            <w:r>
              <w:rPr>
                <w:color w:val="auto"/>
                <w:sz w:val="24"/>
              </w:rPr>
              <w:t>，</w:t>
            </w:r>
            <w:r>
              <w:rPr>
                <w:rFonts w:hint="eastAsia"/>
                <w:color w:val="auto"/>
                <w:sz w:val="24"/>
                <w:lang w:eastAsia="zh-CN"/>
              </w:rPr>
              <w:t>在原有站区范围内</w:t>
            </w:r>
            <w:r>
              <w:rPr>
                <w:color w:val="auto"/>
                <w:sz w:val="24"/>
              </w:rPr>
              <w:t>进行</w:t>
            </w:r>
            <w:r>
              <w:rPr>
                <w:rFonts w:hint="eastAsia"/>
                <w:color w:val="auto"/>
                <w:sz w:val="24"/>
                <w:lang w:eastAsia="zh-CN"/>
              </w:rPr>
              <w:t>扩建</w:t>
            </w:r>
            <w:r>
              <w:rPr>
                <w:color w:val="auto"/>
                <w:sz w:val="24"/>
              </w:rPr>
              <w:t>。根据本项目</w:t>
            </w:r>
            <w:r>
              <w:rPr>
                <w:rFonts w:hint="eastAsia"/>
                <w:color w:val="auto"/>
                <w:sz w:val="24"/>
                <w:lang w:eastAsia="zh-CN"/>
              </w:rPr>
              <w:t>站</w:t>
            </w:r>
            <w:r>
              <w:rPr>
                <w:color w:val="auto"/>
                <w:sz w:val="24"/>
              </w:rPr>
              <w:t>区总平面图</w:t>
            </w:r>
            <w:r>
              <w:rPr>
                <w:rFonts w:hint="eastAsia"/>
                <w:color w:val="auto"/>
                <w:sz w:val="24"/>
                <w:highlight w:val="none"/>
                <w:shd w:val="clear"/>
              </w:rPr>
              <w:t>（详见附图</w:t>
            </w:r>
            <w:r>
              <w:rPr>
                <w:rFonts w:hint="eastAsia"/>
                <w:color w:val="auto"/>
                <w:sz w:val="24"/>
                <w:highlight w:val="none"/>
                <w:shd w:val="clear"/>
                <w:lang w:val="en-US" w:eastAsia="zh-CN"/>
              </w:rPr>
              <w:t>四</w:t>
            </w:r>
            <w:r>
              <w:rPr>
                <w:rFonts w:hint="eastAsia"/>
                <w:color w:val="auto"/>
                <w:sz w:val="24"/>
                <w:highlight w:val="none"/>
                <w:shd w:val="clear"/>
              </w:rPr>
              <w:t>）</w:t>
            </w:r>
            <w:r>
              <w:rPr>
                <w:rFonts w:hint="eastAsia"/>
                <w:color w:val="auto"/>
                <w:sz w:val="24"/>
              </w:rPr>
              <w:t>，</w:t>
            </w:r>
            <w:r>
              <w:rPr>
                <w:rFonts w:hint="eastAsia"/>
                <w:color w:val="auto"/>
                <w:sz w:val="24"/>
                <w:lang w:eastAsia="zh-CN"/>
              </w:rPr>
              <w:t>站</w:t>
            </w:r>
            <w:r>
              <w:rPr>
                <w:color w:val="auto"/>
                <w:sz w:val="24"/>
              </w:rPr>
              <w:t>区的平面布置较为合理</w:t>
            </w:r>
            <w:r>
              <w:rPr>
                <w:rFonts w:hint="eastAsia"/>
                <w:color w:val="auto"/>
                <w:sz w:val="24"/>
              </w:rPr>
              <w:t>：</w:t>
            </w:r>
            <w:r>
              <w:rPr>
                <w:rFonts w:hint="eastAsia"/>
                <w:bCs/>
                <w:color w:val="auto"/>
                <w:sz w:val="24"/>
                <w:lang w:eastAsia="zh-CN"/>
              </w:rPr>
              <w:t>站</w:t>
            </w:r>
            <w:r>
              <w:rPr>
                <w:rFonts w:hint="eastAsia"/>
                <w:bCs/>
                <w:color w:val="auto"/>
                <w:sz w:val="24"/>
              </w:rPr>
              <w:t>区内分为</w:t>
            </w:r>
            <w:r>
              <w:rPr>
                <w:rFonts w:hint="eastAsia"/>
                <w:bCs/>
                <w:color w:val="auto"/>
                <w:sz w:val="24"/>
                <w:lang w:eastAsia="zh-CN"/>
              </w:rPr>
              <w:t>加油</w:t>
            </w:r>
            <w:r>
              <w:rPr>
                <w:bCs/>
                <w:color w:val="auto"/>
                <w:sz w:val="24"/>
              </w:rPr>
              <w:t>区和</w:t>
            </w:r>
            <w:r>
              <w:rPr>
                <w:rFonts w:hint="eastAsia"/>
                <w:bCs/>
                <w:color w:val="auto"/>
                <w:sz w:val="24"/>
                <w:lang w:eastAsia="zh-CN"/>
              </w:rPr>
              <w:t>营业办公</w:t>
            </w:r>
            <w:r>
              <w:rPr>
                <w:bCs/>
                <w:color w:val="auto"/>
                <w:sz w:val="24"/>
              </w:rPr>
              <w:t>区</w:t>
            </w:r>
            <w:r>
              <w:rPr>
                <w:rFonts w:hint="eastAsia"/>
                <w:bCs/>
                <w:color w:val="auto"/>
                <w:sz w:val="24"/>
              </w:rPr>
              <w:t>，</w:t>
            </w:r>
            <w:r>
              <w:rPr>
                <w:rFonts w:hint="eastAsia"/>
                <w:bCs/>
                <w:color w:val="auto"/>
                <w:sz w:val="24"/>
                <w:lang w:eastAsia="zh-CN"/>
              </w:rPr>
              <w:t>站内北侧为营业办公区，南侧为加油</w:t>
            </w:r>
            <w:r>
              <w:rPr>
                <w:rFonts w:hint="eastAsia"/>
                <w:bCs/>
                <w:color w:val="auto"/>
                <w:sz w:val="24"/>
              </w:rPr>
              <w:t>区，</w:t>
            </w:r>
            <w:r>
              <w:rPr>
                <w:rFonts w:hint="eastAsia"/>
                <w:bCs/>
                <w:color w:val="auto"/>
                <w:sz w:val="24"/>
                <w:lang w:eastAsia="zh-CN"/>
              </w:rPr>
              <w:t>东侧为地埋式储罐区，站内分区明确，</w:t>
            </w:r>
            <w:r>
              <w:rPr>
                <w:bCs/>
                <w:color w:val="auto"/>
                <w:sz w:val="24"/>
              </w:rPr>
              <w:t>有利于</w:t>
            </w:r>
            <w:r>
              <w:rPr>
                <w:rFonts w:hint="eastAsia"/>
                <w:bCs/>
                <w:color w:val="auto"/>
                <w:sz w:val="24"/>
                <w:lang w:eastAsia="zh-CN"/>
              </w:rPr>
              <w:t>车</w:t>
            </w:r>
            <w:r>
              <w:rPr>
                <w:bCs/>
                <w:color w:val="auto"/>
                <w:sz w:val="24"/>
              </w:rPr>
              <w:t>流和人流的管理</w:t>
            </w:r>
            <w:r>
              <w:rPr>
                <w:rFonts w:hint="eastAsia"/>
                <w:bCs/>
                <w:color w:val="auto"/>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sz w:val="24"/>
                <w:szCs w:val="24"/>
                <w:lang w:val="en-US" w:eastAsia="zh-CN"/>
              </w:rPr>
            </w:pPr>
            <w:r>
              <w:rPr>
                <w:rFonts w:hint="eastAsia"/>
                <w:bCs/>
                <w:color w:val="auto"/>
                <w:sz w:val="24"/>
                <w:szCs w:val="24"/>
              </w:rPr>
              <w:t>站内</w:t>
            </w:r>
            <w:r>
              <w:rPr>
                <w:rFonts w:hint="eastAsia"/>
                <w:bCs/>
                <w:color w:val="auto"/>
                <w:sz w:val="24"/>
                <w:szCs w:val="24"/>
                <w:lang w:val="en-US" w:eastAsia="zh-CN"/>
              </w:rPr>
              <w:t>各设施间</w:t>
            </w:r>
            <w:r>
              <w:rPr>
                <w:rFonts w:hint="eastAsia"/>
                <w:bCs/>
                <w:color w:val="auto"/>
                <w:sz w:val="24"/>
                <w:szCs w:val="24"/>
              </w:rPr>
              <w:t>的距离</w:t>
            </w:r>
            <w:r>
              <w:rPr>
                <w:rFonts w:hint="eastAsia"/>
                <w:bCs/>
                <w:color w:val="auto"/>
                <w:sz w:val="24"/>
                <w:szCs w:val="24"/>
                <w:lang w:val="en-US" w:eastAsia="zh-CN"/>
              </w:rPr>
              <w:t>和加油站设施与站外建（构）筑物的安全间距</w:t>
            </w:r>
            <w:r>
              <w:rPr>
                <w:rFonts w:hint="eastAsia"/>
                <w:bCs/>
                <w:color w:val="auto"/>
                <w:sz w:val="24"/>
                <w:szCs w:val="24"/>
              </w:rPr>
              <w:t>均满足</w:t>
            </w:r>
            <w:r>
              <w:rPr>
                <w:rFonts w:hint="default" w:ascii="Times New Roman" w:hAnsi="Times New Roman" w:cs="Times New Roman"/>
                <w:b w:val="0"/>
                <w:bCs w:val="0"/>
                <w:color w:val="auto"/>
                <w:sz w:val="24"/>
                <w:szCs w:val="24"/>
              </w:rPr>
              <w:t>《汽车加油加气</w:t>
            </w:r>
            <w:r>
              <w:rPr>
                <w:rFonts w:hint="default" w:ascii="Times New Roman" w:hAnsi="Times New Roman" w:cs="Times New Roman"/>
                <w:b w:val="0"/>
                <w:bCs w:val="0"/>
                <w:color w:val="auto"/>
                <w:sz w:val="24"/>
                <w:szCs w:val="24"/>
                <w:lang w:val="en-US" w:eastAsia="zh-CN"/>
              </w:rPr>
              <w:t>加氢站技术标准</w:t>
            </w:r>
            <w:r>
              <w:rPr>
                <w:rFonts w:hint="default" w:ascii="Times New Roman" w:hAnsi="Times New Roman" w:cs="Times New Roman"/>
                <w:b w:val="0"/>
                <w:bCs w:val="0"/>
                <w:color w:val="auto"/>
                <w:sz w:val="24"/>
                <w:szCs w:val="24"/>
              </w:rPr>
              <w:t>》（GB50156-20</w:t>
            </w:r>
            <w:r>
              <w:rPr>
                <w:rFonts w:hint="default" w:ascii="Times New Roman" w:hAnsi="Times New Roman" w:cs="Times New Roman"/>
                <w:b w:val="0"/>
                <w:bCs w:val="0"/>
                <w:color w:val="auto"/>
                <w:sz w:val="24"/>
                <w:szCs w:val="24"/>
                <w:lang w:val="en-US" w:eastAsia="zh-CN"/>
              </w:rPr>
              <w:t>21</w:t>
            </w:r>
            <w:r>
              <w:rPr>
                <w:rFonts w:hint="default" w:ascii="Times New Roman" w:hAnsi="Times New Roman" w:cs="Times New Roman"/>
                <w:b w:val="0"/>
                <w:bCs w:val="0"/>
                <w:color w:val="auto"/>
                <w:sz w:val="24"/>
                <w:szCs w:val="24"/>
              </w:rPr>
              <w:t>）</w:t>
            </w:r>
            <w:r>
              <w:rPr>
                <w:rFonts w:hint="eastAsia"/>
                <w:bCs/>
                <w:color w:val="auto"/>
                <w:sz w:val="24"/>
                <w:szCs w:val="24"/>
              </w:rPr>
              <w:t>中关于</w:t>
            </w:r>
            <w:r>
              <w:rPr>
                <w:rFonts w:hint="eastAsia"/>
                <w:bCs/>
                <w:color w:val="auto"/>
                <w:sz w:val="24"/>
                <w:szCs w:val="24"/>
                <w:lang w:val="en-US" w:eastAsia="zh-CN"/>
              </w:rPr>
              <w:t>三</w:t>
            </w:r>
            <w:r>
              <w:rPr>
                <w:rFonts w:hint="eastAsia"/>
                <w:bCs/>
                <w:color w:val="auto"/>
                <w:sz w:val="24"/>
                <w:szCs w:val="24"/>
              </w:rPr>
              <w:t>级站中</w:t>
            </w:r>
            <w:r>
              <w:rPr>
                <w:rFonts w:hint="eastAsia"/>
                <w:bCs/>
                <w:color w:val="auto"/>
                <w:sz w:val="24"/>
                <w:szCs w:val="24"/>
                <w:lang w:val="en-US" w:eastAsia="zh-CN"/>
              </w:rPr>
              <w:t>防火</w:t>
            </w:r>
            <w:r>
              <w:rPr>
                <w:rFonts w:hint="eastAsia"/>
                <w:bCs/>
                <w:color w:val="auto"/>
                <w:sz w:val="24"/>
                <w:szCs w:val="24"/>
              </w:rPr>
              <w:t>距离要求</w:t>
            </w:r>
            <w:r>
              <w:rPr>
                <w:rFonts w:hint="eastAsia"/>
                <w:bCs/>
                <w:color w:val="auto"/>
                <w:sz w:val="24"/>
                <w:szCs w:val="24"/>
                <w:lang w:val="en-US" w:eastAsia="zh-CN"/>
              </w:rPr>
              <w:t>且平面布置合理</w:t>
            </w:r>
            <w:r>
              <w:rPr>
                <w:rFonts w:hint="eastAsia"/>
                <w:bCs/>
                <w:color w:val="auto"/>
                <w:sz w:val="24"/>
                <w:szCs w:val="24"/>
                <w:lang w:eastAsia="zh-CN"/>
              </w:rPr>
              <w:t>，</w:t>
            </w:r>
            <w:r>
              <w:rPr>
                <w:rFonts w:hint="default" w:ascii="Times New Roman" w:hAnsi="Times New Roman" w:cs="Times New Roman"/>
                <w:bCs/>
                <w:color w:val="auto"/>
                <w:sz w:val="24"/>
                <w:szCs w:val="24"/>
                <w:lang w:val="en-US" w:eastAsia="zh-CN"/>
              </w:rPr>
              <w:t>加油站</w:t>
            </w:r>
            <w:r>
              <w:rPr>
                <w:rFonts w:hint="default" w:ascii="Times New Roman" w:hAnsi="Times New Roman" w:cs="Times New Roman"/>
                <w:bCs/>
                <w:color w:val="auto"/>
                <w:sz w:val="24"/>
                <w:szCs w:val="24"/>
              </w:rPr>
              <w:t>站内</w:t>
            </w:r>
            <w:r>
              <w:rPr>
                <w:rFonts w:hint="default" w:ascii="Times New Roman" w:hAnsi="Times New Roman" w:cs="Times New Roman"/>
                <w:bCs/>
                <w:color w:val="auto"/>
                <w:sz w:val="24"/>
                <w:szCs w:val="24"/>
                <w:lang w:val="en-US" w:eastAsia="zh-CN"/>
              </w:rPr>
              <w:t>设施</w:t>
            </w:r>
            <w:r>
              <w:rPr>
                <w:rFonts w:hint="default" w:ascii="Times New Roman" w:hAnsi="Times New Roman" w:cs="Times New Roman"/>
                <w:bCs/>
                <w:color w:val="auto"/>
                <w:sz w:val="24"/>
                <w:szCs w:val="24"/>
              </w:rPr>
              <w:t>之间的</w:t>
            </w:r>
            <w:r>
              <w:rPr>
                <w:rFonts w:hint="default" w:ascii="Times New Roman" w:hAnsi="Times New Roman" w:cs="Times New Roman"/>
                <w:bCs/>
                <w:color w:val="auto"/>
                <w:sz w:val="24"/>
                <w:szCs w:val="24"/>
                <w:lang w:val="en-US" w:eastAsia="zh-CN"/>
              </w:rPr>
              <w:t>防火</w:t>
            </w:r>
            <w:r>
              <w:rPr>
                <w:rFonts w:hint="default" w:ascii="Times New Roman" w:hAnsi="Times New Roman" w:cs="Times New Roman"/>
                <w:bCs/>
                <w:color w:val="auto"/>
                <w:sz w:val="24"/>
                <w:szCs w:val="24"/>
              </w:rPr>
              <w:t>距离</w:t>
            </w:r>
            <w:r>
              <w:rPr>
                <w:rFonts w:hint="default" w:ascii="Times New Roman" w:hAnsi="Times New Roman" w:cs="Times New Roman"/>
                <w:bCs/>
                <w:color w:val="auto"/>
                <w:sz w:val="24"/>
                <w:szCs w:val="24"/>
                <w:lang w:val="en-US" w:eastAsia="zh-CN"/>
              </w:rPr>
              <w:t>见</w:t>
            </w:r>
            <w:r>
              <w:rPr>
                <w:rFonts w:hint="default" w:ascii="Times New Roman" w:hAnsi="Times New Roman" w:cs="Times New Roman"/>
                <w:bCs/>
                <w:color w:val="auto"/>
                <w:sz w:val="24"/>
                <w:szCs w:val="24"/>
              </w:rPr>
              <w:t>表</w:t>
            </w:r>
            <w:r>
              <w:rPr>
                <w:rFonts w:hint="eastAsia" w:cs="Times New Roman"/>
                <w:bCs/>
                <w:color w:val="auto"/>
                <w:sz w:val="24"/>
                <w:szCs w:val="24"/>
                <w:lang w:val="en-US" w:eastAsia="zh-CN"/>
              </w:rPr>
              <w:t>11</w:t>
            </w:r>
            <w:r>
              <w:rPr>
                <w:rFonts w:hint="eastAsia" w:ascii="Times New Roman" w:hAnsi="Times New Roman" w:cs="Times New Roman"/>
                <w:bCs/>
                <w:color w:val="auto"/>
                <w:sz w:val="24"/>
                <w:szCs w:val="24"/>
                <w:lang w:val="en-US" w:eastAsia="zh-CN"/>
              </w:rPr>
              <w:t>，加油站设施与站外建（构）筑物的安全间距见表</w:t>
            </w:r>
            <w:r>
              <w:rPr>
                <w:rFonts w:hint="eastAsia" w:cs="Times New Roman"/>
                <w:bCs/>
                <w:color w:val="auto"/>
                <w:sz w:val="24"/>
                <w:szCs w:val="24"/>
                <w:lang w:val="en-US" w:eastAsia="zh-CN"/>
              </w:rPr>
              <w:t>12、13</w:t>
            </w:r>
            <w:r>
              <w:rPr>
                <w:rFonts w:hint="default" w:ascii="Times New Roman" w:hAnsi="Times New Roman" w:cs="Times New Roman"/>
                <w:bCs/>
                <w:color w:val="auto"/>
                <w:sz w:val="24"/>
                <w:szCs w:val="24"/>
                <w:lang w:val="en-US" w:eastAsia="zh-CN"/>
              </w:rPr>
              <w:t>。</w:t>
            </w:r>
          </w:p>
          <w:p>
            <w:pPr>
              <w:pStyle w:val="9"/>
              <w:bidi w:val="0"/>
              <w:rPr>
                <w:rStyle w:val="78"/>
                <w:rFonts w:hint="eastAsia"/>
                <w:b/>
                <w:lang w:val="en-US" w:eastAsia="zh-CN"/>
              </w:rPr>
            </w:pPr>
            <w:r>
              <w:rPr>
                <w:rFonts w:hint="eastAsia" w:ascii="黑体" w:hAnsi="黑体" w:eastAsia="黑体" w:cs="黑体"/>
                <w:b w:val="0"/>
                <w:bCs/>
                <w:color w:val="auto"/>
                <w:sz w:val="24"/>
                <w:szCs w:val="24"/>
                <w:lang w:val="en-US" w:eastAsia="zh-CN"/>
              </w:rPr>
              <w:t xml:space="preserve">   </w:t>
            </w:r>
            <w:r>
              <w:rPr>
                <w:rStyle w:val="78"/>
                <w:rFonts w:hint="eastAsia"/>
                <w:b/>
                <w:lang w:val="en-US" w:eastAsia="zh-CN"/>
              </w:rPr>
              <w:t xml:space="preserve"> 加油站</w:t>
            </w:r>
            <w:r>
              <w:rPr>
                <w:rStyle w:val="78"/>
                <w:rFonts w:hint="eastAsia"/>
                <w:b/>
              </w:rPr>
              <w:t>站内</w:t>
            </w:r>
            <w:r>
              <w:rPr>
                <w:rStyle w:val="78"/>
                <w:rFonts w:hint="eastAsia"/>
                <w:b/>
                <w:lang w:val="en-US" w:eastAsia="zh-CN"/>
              </w:rPr>
              <w:t>设施</w:t>
            </w:r>
            <w:r>
              <w:rPr>
                <w:rStyle w:val="78"/>
                <w:rFonts w:hint="eastAsia"/>
                <w:b/>
              </w:rPr>
              <w:t>之间的</w:t>
            </w:r>
            <w:r>
              <w:rPr>
                <w:rStyle w:val="78"/>
                <w:rFonts w:hint="eastAsia"/>
                <w:b/>
                <w:lang w:val="en-US" w:eastAsia="zh-CN"/>
              </w:rPr>
              <w:t>防火</w:t>
            </w:r>
            <w:r>
              <w:rPr>
                <w:rStyle w:val="78"/>
                <w:rFonts w:hint="eastAsia"/>
                <w:b/>
              </w:rPr>
              <w:t>距离</w:t>
            </w:r>
            <w:r>
              <w:rPr>
                <w:rStyle w:val="78"/>
                <w:rFonts w:hint="eastAsia"/>
                <w:b/>
                <w:lang w:val="en-US" w:eastAsia="zh-CN"/>
              </w:rPr>
              <w:t xml:space="preserve">        单位：m</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48"/>
              <w:gridCol w:w="3041"/>
              <w:gridCol w:w="1062"/>
              <w:gridCol w:w="1049"/>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r>
                    <w:rPr>
                      <w:rFonts w:hint="default" w:ascii="Times New Roman" w:hAnsi="Times New Roman" w:eastAsia="宋体" w:cs="Times New Roman"/>
                      <w:b/>
                      <w:bCs w:val="0"/>
                      <w:i w:val="0"/>
                      <w:iCs w:val="0"/>
                      <w:color w:val="auto"/>
                      <w:sz w:val="21"/>
                      <w:szCs w:val="21"/>
                      <w:vertAlign w:val="baseline"/>
                      <w:lang w:val="en-US" w:eastAsia="zh-CN"/>
                    </w:rPr>
                    <w:t>项目</w:t>
                  </w:r>
                </w:p>
              </w:tc>
              <w:tc>
                <w:tcPr>
                  <w:tcW w:w="1916"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default" w:ascii="Times New Roman" w:hAnsi="Times New Roman" w:eastAsia="宋体" w:cs="Times New Roman"/>
                      <w:b/>
                      <w:bCs w:val="0"/>
                      <w:i w:val="0"/>
                      <w:iCs w:val="0"/>
                      <w:color w:val="auto"/>
                      <w:sz w:val="21"/>
                      <w:szCs w:val="21"/>
                      <w:vertAlign w:val="baseline"/>
                      <w:lang w:val="en-US" w:eastAsia="zh-CN"/>
                    </w:rPr>
                    <w:t>设施名称</w:t>
                  </w:r>
                </w:p>
              </w:tc>
              <w:tc>
                <w:tcPr>
                  <w:tcW w:w="1929" w:type="pct"/>
                  <w:gridSpan w:val="3"/>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r>
                    <w:rPr>
                      <w:rFonts w:hint="default" w:ascii="Times New Roman" w:hAnsi="Times New Roman" w:eastAsia="宋体" w:cs="Times New Roman"/>
                      <w:b/>
                      <w:bCs w:val="0"/>
                      <w:i w:val="0"/>
                      <w:iCs w:val="0"/>
                      <w:color w:val="auto"/>
                      <w:sz w:val="21"/>
                      <w:szCs w:val="21"/>
                      <w:vertAlign w:val="baseline"/>
                      <w:lang w:val="en-US" w:eastAsia="zh-CN"/>
                    </w:rPr>
                    <w:t>防火距离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1916"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default" w:ascii="Times New Roman" w:hAnsi="Times New Roman" w:eastAsia="宋体" w:cs="Times New Roman"/>
                      <w:b/>
                      <w:bCs w:val="0"/>
                      <w:i w:val="0"/>
                      <w:iCs w:val="0"/>
                      <w:color w:val="auto"/>
                      <w:sz w:val="21"/>
                      <w:szCs w:val="21"/>
                      <w:vertAlign w:val="baseline"/>
                      <w:lang w:val="en-US" w:eastAsia="zh-CN"/>
                    </w:rPr>
                    <w:t>标准</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default" w:ascii="Times New Roman" w:hAnsi="Times New Roman" w:eastAsia="宋体" w:cs="Times New Roman"/>
                      <w:b/>
                      <w:bCs w:val="0"/>
                      <w:i w:val="0"/>
                      <w:iCs w:val="0"/>
                      <w:color w:val="auto"/>
                      <w:sz w:val="21"/>
                      <w:szCs w:val="21"/>
                      <w:vertAlign w:val="baseline"/>
                      <w:lang w:val="en-US" w:eastAsia="zh-CN"/>
                    </w:rPr>
                    <w:t>实测</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default" w:ascii="Times New Roman" w:hAnsi="Times New Roman" w:eastAsia="宋体" w:cs="Times New Roman"/>
                      <w:b/>
                      <w:bCs w:val="0"/>
                      <w:i w:val="0"/>
                      <w:iCs w:val="0"/>
                      <w:color w:val="auto"/>
                      <w:sz w:val="21"/>
                      <w:szCs w:val="21"/>
                      <w:vertAlign w:val="baseline"/>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地埋油罐</w:t>
                  </w: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汽油</w:t>
                  </w:r>
                  <w:r>
                    <w:rPr>
                      <w:rFonts w:hint="eastAsia" w:ascii="Times New Roman" w:hAnsi="Times New Roman" w:eastAsia="宋体" w:cs="Times New Roman"/>
                      <w:b w:val="0"/>
                      <w:bCs/>
                      <w:i w:val="0"/>
                      <w:iCs w:val="0"/>
                      <w:color w:val="auto"/>
                      <w:sz w:val="21"/>
                      <w:szCs w:val="21"/>
                      <w:vertAlign w:val="baseline"/>
                      <w:lang w:val="en-US" w:eastAsia="zh-CN"/>
                    </w:rPr>
                    <w:t>罐</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汽油罐</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0.5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柴</w:t>
                  </w:r>
                  <w:r>
                    <w:rPr>
                      <w:rFonts w:hint="default" w:ascii="Times New Roman" w:hAnsi="Times New Roman" w:eastAsia="宋体" w:cs="Times New Roman"/>
                      <w:b w:val="0"/>
                      <w:bCs/>
                      <w:i w:val="0"/>
                      <w:iCs w:val="0"/>
                      <w:color w:val="auto"/>
                      <w:sz w:val="21"/>
                      <w:szCs w:val="21"/>
                      <w:vertAlign w:val="baseline"/>
                      <w:lang w:val="en-US" w:eastAsia="zh-CN"/>
                    </w:rPr>
                    <w:t>油罐</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0.5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4</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12</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12.5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8</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r>
                    <w:rPr>
                      <w:rFonts w:hint="default"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围墙</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2</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5.5</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FF0000"/>
                      <w:sz w:val="21"/>
                      <w:szCs w:val="21"/>
                      <w:vertAlign w:val="baseline"/>
                    </w:rPr>
                  </w:pP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柴</w:t>
                  </w:r>
                  <w:r>
                    <w:rPr>
                      <w:rFonts w:hint="default" w:ascii="Times New Roman" w:hAnsi="Times New Roman" w:eastAsia="宋体" w:cs="Times New Roman"/>
                      <w:b w:val="0"/>
                      <w:bCs/>
                      <w:i w:val="0"/>
                      <w:iCs w:val="0"/>
                      <w:color w:val="auto"/>
                      <w:sz w:val="21"/>
                      <w:szCs w:val="21"/>
                      <w:vertAlign w:val="baseline"/>
                      <w:lang w:val="en-US" w:eastAsia="zh-CN"/>
                    </w:rPr>
                    <w:t>油</w:t>
                  </w:r>
                  <w:r>
                    <w:rPr>
                      <w:rFonts w:hint="eastAsia" w:ascii="Times New Roman" w:hAnsi="Times New Roman" w:eastAsia="宋体" w:cs="Times New Roman"/>
                      <w:b w:val="0"/>
                      <w:bCs/>
                      <w:i w:val="0"/>
                      <w:iCs w:val="0"/>
                      <w:color w:val="auto"/>
                      <w:sz w:val="21"/>
                      <w:szCs w:val="21"/>
                      <w:vertAlign w:val="baseline"/>
                      <w:lang w:val="en-US" w:eastAsia="zh-CN"/>
                    </w:rPr>
                    <w:t>罐</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汽油罐</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0.5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color w:val="auto"/>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柴</w:t>
                  </w:r>
                  <w:r>
                    <w:rPr>
                      <w:rFonts w:hint="default" w:ascii="Times New Roman" w:hAnsi="Times New Roman" w:eastAsia="宋体" w:cs="Times New Roman"/>
                      <w:b w:val="0"/>
                      <w:bCs/>
                      <w:i w:val="0"/>
                      <w:iCs w:val="0"/>
                      <w:color w:val="auto"/>
                      <w:sz w:val="21"/>
                      <w:szCs w:val="21"/>
                      <w:vertAlign w:val="baseline"/>
                      <w:lang w:val="en-US" w:eastAsia="zh-CN"/>
                    </w:rPr>
                    <w:t>油罐</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0.5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FF0000"/>
                      <w:sz w:val="21"/>
                      <w:szCs w:val="21"/>
                      <w:vertAlign w:val="baseline"/>
                      <w:lang w:val="en-US" w:eastAsia="zh-CN"/>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3</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13</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FF0000"/>
                      <w:sz w:val="21"/>
                      <w:szCs w:val="21"/>
                      <w:vertAlign w:val="baseline"/>
                      <w:lang w:val="en-US" w:eastAsia="zh-CN"/>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FF0000"/>
                      <w:sz w:val="21"/>
                      <w:szCs w:val="21"/>
                      <w:vertAlign w:val="baseline"/>
                      <w:lang w:val="en-US" w:eastAsia="zh-CN"/>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kern w:val="2"/>
                      <w:sz w:val="21"/>
                      <w:szCs w:val="21"/>
                      <w:vertAlign w:val="baseline"/>
                      <w:lang w:val="en-US" w:eastAsia="zh-CN" w:bidi="ar-SA"/>
                    </w:rPr>
                    <w:t>6</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FF0000"/>
                      <w:sz w:val="21"/>
                      <w:szCs w:val="21"/>
                      <w:vertAlign w:val="baseline"/>
                      <w:lang w:val="en-US" w:eastAsia="zh-CN"/>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围墙</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2</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5.5</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通气管</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管口</w:t>
                  </w: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汽油</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4</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12.5</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12.5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8</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bidi="zh-CN"/>
                    </w:rPr>
                    <w:t>密闭卸油点</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3</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5.2</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bidi="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围墙</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2</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13.9</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eastAsia="zh-CN"/>
                    </w:rPr>
                  </w:pPr>
                  <w:r>
                    <w:rPr>
                      <w:rFonts w:hint="eastAsia" w:ascii="Times New Roman" w:hAnsi="Times New Roman" w:eastAsia="宋体" w:cs="Times New Roman"/>
                      <w:b w:val="0"/>
                      <w:bCs/>
                      <w:i w:val="0"/>
                      <w:iCs w:val="0"/>
                      <w:color w:val="auto"/>
                      <w:sz w:val="21"/>
                      <w:szCs w:val="21"/>
                      <w:vertAlign w:val="baseline"/>
                      <w:lang w:eastAsia="zh-CN"/>
                    </w:rPr>
                    <w:t>柴油</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13</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color w:val="auto"/>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10</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6</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bidi="zh-CN"/>
                    </w:rPr>
                    <w:t>密闭卸油点</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5</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bidi="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围墙</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2.5</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eastAsia="宋体" w:cs="Times New Roman"/>
                      <w:b w:val="0"/>
                      <w:bCs/>
                      <w:i w:val="0"/>
                      <w:iCs w:val="0"/>
                      <w:color w:val="auto"/>
                      <w:sz w:val="21"/>
                      <w:szCs w:val="21"/>
                      <w:vertAlign w:val="baseline"/>
                      <w:lang w:val="en-US" w:eastAsia="zh-CN"/>
                    </w:rPr>
                    <w:t>密闭卸油点</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8</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15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4" w:type="pct"/>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8</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加油机</w:t>
                  </w: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汽油</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13</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12.5</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8</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sz w:val="21"/>
                      <w:szCs w:val="21"/>
                      <w:vertAlign w:val="baseline"/>
                      <w:lang w:eastAsia="zh-CN"/>
                    </w:rPr>
                  </w:pPr>
                  <w:r>
                    <w:rPr>
                      <w:rFonts w:hint="eastAsia" w:ascii="Times New Roman" w:hAnsi="Times New Roman" w:eastAsia="宋体" w:cs="Times New Roman"/>
                      <w:b w:val="0"/>
                      <w:bCs/>
                      <w:i w:val="0"/>
                      <w:iCs w:val="0"/>
                      <w:color w:val="auto"/>
                      <w:sz w:val="21"/>
                      <w:szCs w:val="21"/>
                      <w:vertAlign w:val="baseline"/>
                      <w:lang w:eastAsia="zh-CN"/>
                    </w:rPr>
                    <w:t>柴油</w:t>
                  </w: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站房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4</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13</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default" w:ascii="Times New Roman" w:hAnsi="Times New Roman" w:cs="Times New Roman"/>
                      <w:b w:val="0"/>
                      <w:bCs/>
                      <w:i w:val="0"/>
                      <w:iCs w:val="0"/>
                      <w:color w:val="auto"/>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自用燃煤锅炉房和燃煤厨房</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10</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4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916"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eastAsia="宋体" w:cs="Times New Roman"/>
                      <w:b w:val="0"/>
                      <w:bCs/>
                      <w:i w:val="0"/>
                      <w:iCs w:val="0"/>
                      <w:color w:val="auto"/>
                      <w:sz w:val="21"/>
                      <w:szCs w:val="21"/>
                      <w:vertAlign w:val="baseline"/>
                      <w:lang w:val="en-US" w:eastAsia="zh-CN"/>
                    </w:rPr>
                    <w:t>自用有燃气（油）设备的房间</w:t>
                  </w:r>
                </w:p>
              </w:tc>
              <w:tc>
                <w:tcPr>
                  <w:tcW w:w="669"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6</w:t>
                  </w:r>
                </w:p>
              </w:tc>
              <w:tc>
                <w:tcPr>
                  <w:tcW w:w="661"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w:t>
                  </w:r>
                </w:p>
              </w:tc>
              <w:tc>
                <w:tcPr>
                  <w:tcW w:w="598"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default" w:ascii="Times New Roman" w:hAnsi="Times New Roman" w:cs="Times New Roman"/>
                      <w:b w:val="0"/>
                      <w:bCs/>
                      <w:i w:val="0"/>
                      <w:iCs w:val="0"/>
                      <w:color w:val="auto"/>
                      <w:sz w:val="21"/>
                      <w:szCs w:val="21"/>
                      <w:vertAlign w:val="baseline"/>
                      <w:lang w:val="en-US" w:eastAsia="zh-CN"/>
                    </w:rPr>
                    <w:t>不涉及</w:t>
                  </w:r>
                </w:p>
              </w:tc>
            </w:tr>
          </w:tbl>
          <w:p>
            <w:pPr>
              <w:pStyle w:val="9"/>
              <w:bidi w:val="0"/>
              <w:rPr>
                <w:rFonts w:hint="default" w:ascii="Times New Roman" w:hAnsi="Times New Roman" w:eastAsia="黑体" w:cs="Times New Roman"/>
                <w:b w:val="0"/>
                <w:bCs/>
                <w:color w:val="auto"/>
                <w:sz w:val="24"/>
                <w:szCs w:val="24"/>
                <w:lang w:val="en-US" w:eastAsia="zh-CN"/>
              </w:rPr>
            </w:pPr>
            <w:r>
              <w:rPr>
                <w:rStyle w:val="78"/>
                <w:rFonts w:hint="default" w:ascii="Times New Roman" w:hAnsi="Times New Roman" w:cs="Times New Roman"/>
                <w:b/>
                <w:lang w:val="en-US" w:eastAsia="zh-CN"/>
              </w:rPr>
              <w:t>汽油设施与站外建（构）筑物的安全间距     单位：m</w:t>
            </w:r>
          </w:p>
          <w:tbl>
            <w:tblPr>
              <w:tblStyle w:val="26"/>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70"/>
              <w:gridCol w:w="26"/>
              <w:gridCol w:w="1633"/>
              <w:gridCol w:w="808"/>
              <w:gridCol w:w="806"/>
              <w:gridCol w:w="831"/>
              <w:gridCol w:w="843"/>
              <w:gridCol w:w="780"/>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r>
                    <w:rPr>
                      <w:rFonts w:hint="default" w:ascii="Times New Roman" w:hAnsi="Times New Roman" w:eastAsia="宋体" w:cs="Times New Roman"/>
                      <w:b/>
                      <w:bCs w:val="0"/>
                      <w:i w:val="0"/>
                      <w:iCs w:val="0"/>
                      <w:color w:val="auto"/>
                      <w:sz w:val="21"/>
                      <w:szCs w:val="21"/>
                      <w:vertAlign w:val="baseline"/>
                      <w:lang w:val="en-US" w:eastAsia="zh-CN"/>
                    </w:rPr>
                    <w:t>项目</w:t>
                  </w:r>
                </w:p>
              </w:tc>
              <w:tc>
                <w:tcPr>
                  <w:tcW w:w="5081"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rPr>
                  </w:pPr>
                  <w:r>
                    <w:rPr>
                      <w:rFonts w:hint="eastAsia" w:ascii="Times New Roman" w:hAnsi="Times New Roman" w:cs="Times New Roman"/>
                      <w:b/>
                      <w:bCs w:val="0"/>
                      <w:i w:val="0"/>
                      <w:iCs w:val="0"/>
                      <w:color w:val="auto"/>
                      <w:sz w:val="21"/>
                      <w:szCs w:val="21"/>
                      <w:vertAlign w:val="baseline"/>
                      <w:lang w:val="en-US" w:eastAsia="zh-CN"/>
                    </w:rPr>
                    <w:t>三级站（有卸油和加油油气回收系统）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1699"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埋地油罐</w:t>
                  </w:r>
                </w:p>
              </w:tc>
              <w:tc>
                <w:tcPr>
                  <w:tcW w:w="1768"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通气管管口</w:t>
                  </w:r>
                </w:p>
              </w:tc>
              <w:tc>
                <w:tcPr>
                  <w:tcW w:w="161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重要公共建筑</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明火地点或散发火花地点</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民用建筑物保护类别</w:t>
                  </w:r>
                </w:p>
              </w:tc>
              <w:tc>
                <w:tcPr>
                  <w:tcW w:w="187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一类保护物</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11</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52</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11</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51</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11</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dxa"/>
                  <w:vMerge w:val="continue"/>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875" w:type="dxa"/>
                  <w:gridSpan w:val="3"/>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二类保护物</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8.5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8.5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8.5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4" w:type="dxa"/>
                  <w:vMerge w:val="continue"/>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875" w:type="dxa"/>
                  <w:gridSpan w:val="3"/>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三类保护物</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7</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15</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7</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14</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7</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甲、乙类物品生产厂房、库房和甲、乙类液体储罐</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12.5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丙、丁、戊类物品生产厂房、库房和丙类液体储罐以及容积不大于50m</w:t>
                  </w:r>
                  <w:r>
                    <w:rPr>
                      <w:rFonts w:hint="eastAsia" w:ascii="Times New Roman" w:hAnsi="Times New Roman" w:cs="Times New Roman"/>
                      <w:b w:val="0"/>
                      <w:bCs/>
                      <w:i w:val="0"/>
                      <w:iCs w:val="0"/>
                      <w:color w:val="auto"/>
                      <w:sz w:val="21"/>
                      <w:szCs w:val="21"/>
                      <w:vertAlign w:val="superscript"/>
                      <w:lang w:val="en-US" w:eastAsia="zh-CN"/>
                    </w:rPr>
                    <w:t>3</w:t>
                  </w:r>
                  <w:r>
                    <w:rPr>
                      <w:rFonts w:hint="eastAsia" w:ascii="Times New Roman" w:hAnsi="Times New Roman" w:cs="Times New Roman"/>
                      <w:b w:val="0"/>
                      <w:bCs/>
                      <w:i w:val="0"/>
                      <w:iCs w:val="0"/>
                      <w:color w:val="auto"/>
                      <w:sz w:val="21"/>
                      <w:szCs w:val="21"/>
                      <w:vertAlign w:val="baseline"/>
                      <w:lang w:val="en-US" w:eastAsia="zh-CN"/>
                    </w:rPr>
                    <w:t>的埋地甲、乙类液体储罐</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10.5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10.5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10.5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室外变配电站</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12.5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12.5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12.5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铁路</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15.5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15.5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rPr>
                    <w:t>15.5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4" w:type="dxa"/>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城市道路</w:t>
                  </w:r>
                </w:p>
              </w:tc>
              <w:tc>
                <w:tcPr>
                  <w:tcW w:w="179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快速路、主干路</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4" w:type="dxa"/>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p>
              </w:tc>
              <w:tc>
                <w:tcPr>
                  <w:tcW w:w="179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次干路、支路</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15</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17</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架空通信线</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4" w:type="dxa"/>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架空电力线路</w:t>
                  </w:r>
                </w:p>
              </w:tc>
              <w:tc>
                <w:tcPr>
                  <w:tcW w:w="1765"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无绝缘层</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6.5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6.5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6.5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4" w:type="dxa"/>
                  <w:gridSpan w:val="3"/>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p>
              </w:tc>
              <w:tc>
                <w:tcPr>
                  <w:tcW w:w="1765"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有绝缘层（杆高9m）</w:t>
                  </w:r>
                </w:p>
              </w:tc>
              <w:tc>
                <w:tcPr>
                  <w:tcW w:w="840"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902"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8"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06"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bl>
          <w:p>
            <w:pPr>
              <w:pStyle w:val="9"/>
              <w:bidi w:val="0"/>
              <w:rPr>
                <w:rFonts w:hint="eastAsia"/>
                <w:lang w:val="en-US" w:eastAsia="zh-CN"/>
              </w:rPr>
            </w:pPr>
            <w:r>
              <w:rPr>
                <w:rFonts w:hint="eastAsia"/>
                <w:lang w:val="en-US" w:eastAsia="zh-CN"/>
              </w:rPr>
              <w:t xml:space="preserve"> 柴油设施与站外建（构）筑物的安全间距     单位：m</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70"/>
              <w:gridCol w:w="26"/>
              <w:gridCol w:w="1627"/>
              <w:gridCol w:w="807"/>
              <w:gridCol w:w="823"/>
              <w:gridCol w:w="809"/>
              <w:gridCol w:w="861"/>
              <w:gridCol w:w="76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r>
                    <w:rPr>
                      <w:rFonts w:hint="default" w:ascii="Times New Roman" w:hAnsi="Times New Roman" w:eastAsia="宋体" w:cs="Times New Roman"/>
                      <w:b/>
                      <w:bCs w:val="0"/>
                      <w:i w:val="0"/>
                      <w:iCs w:val="0"/>
                      <w:color w:val="auto"/>
                      <w:sz w:val="21"/>
                      <w:szCs w:val="21"/>
                      <w:vertAlign w:val="baseline"/>
                      <w:lang w:val="en-US" w:eastAsia="zh-CN"/>
                    </w:rPr>
                    <w:t>项目</w:t>
                  </w:r>
                </w:p>
              </w:tc>
              <w:tc>
                <w:tcPr>
                  <w:tcW w:w="4836"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rPr>
                  </w:pPr>
                  <w:r>
                    <w:rPr>
                      <w:rFonts w:hint="eastAsia" w:ascii="Times New Roman" w:hAnsi="Times New Roman" w:cs="Times New Roman"/>
                      <w:b/>
                      <w:bCs w:val="0"/>
                      <w:i w:val="0"/>
                      <w:iCs w:val="0"/>
                      <w:color w:val="auto"/>
                      <w:sz w:val="21"/>
                      <w:szCs w:val="21"/>
                      <w:vertAlign w:val="baseline"/>
                      <w:lang w:val="en-US" w:eastAsia="zh-CN"/>
                    </w:rPr>
                    <w:t>三级站（有卸油和加油油气回收系统）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163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埋地油罐</w:t>
                  </w:r>
                </w:p>
              </w:tc>
              <w:tc>
                <w:tcPr>
                  <w:tcW w:w="167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通气管管口</w:t>
                  </w:r>
                </w:p>
              </w:tc>
              <w:tc>
                <w:tcPr>
                  <w:tcW w:w="153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rPr>
                  </w:pP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ascii="Times New Roman" w:hAnsi="Times New Roman" w:cs="Times New Roman"/>
                      <w:b/>
                      <w:bCs w:val="0"/>
                      <w:i w:val="0"/>
                      <w:iCs w:val="0"/>
                      <w:color w:val="auto"/>
                      <w:sz w:val="21"/>
                      <w:szCs w:val="21"/>
                      <w:vertAlign w:val="baseline"/>
                      <w:lang w:val="en-US" w:eastAsia="zh-CN"/>
                    </w:rPr>
                    <w:t>标准</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bCs w:val="0"/>
                      <w:i w:val="0"/>
                      <w:iCs w:val="0"/>
                      <w:color w:val="auto"/>
                      <w:sz w:val="21"/>
                      <w:szCs w:val="21"/>
                      <w:vertAlign w:val="baseline"/>
                      <w:lang w:val="en-US" w:eastAsia="zh-CN"/>
                    </w:rPr>
                  </w:pPr>
                  <w:r>
                    <w:rPr>
                      <w:rFonts w:hint="eastAsia" w:cs="Times New Roman"/>
                      <w:b/>
                      <w:bCs w:val="0"/>
                      <w:i w:val="0"/>
                      <w:iCs w:val="0"/>
                      <w:color w:val="auto"/>
                      <w:sz w:val="21"/>
                      <w:szCs w:val="21"/>
                      <w:shd w:val="clear"/>
                      <w:vertAlign w:val="baseline"/>
                      <w:lang w:val="en-US" w:eastAsia="zh-CN"/>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重要公共建筑</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eastAsia="宋体" w:cs="Times New Roman"/>
                      <w:b w:val="0"/>
                      <w:bCs/>
                      <w:i w:val="0"/>
                      <w:iCs w:val="0"/>
                      <w:color w:val="auto"/>
                      <w:sz w:val="21"/>
                      <w:szCs w:val="21"/>
                      <w:vertAlign w:val="baseline"/>
                      <w:lang w:val="en-US" w:eastAsia="zh-CN"/>
                    </w:rPr>
                    <w:t>25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明火地点或散发火花地点</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10</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10</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10</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6"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民用建筑物保护类别</w:t>
                  </w:r>
                </w:p>
              </w:tc>
              <w:tc>
                <w:tcPr>
                  <w:tcW w:w="1723"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一类保护物</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53.5</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51</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6" w:type="dxa"/>
                  <w:vMerge w:val="continue"/>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723" w:type="dxa"/>
                  <w:gridSpan w:val="3"/>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二类保护物</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6" w:type="dxa"/>
                  <w:vMerge w:val="continue"/>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rPr>
                  </w:pPr>
                </w:p>
              </w:tc>
              <w:tc>
                <w:tcPr>
                  <w:tcW w:w="1723" w:type="dxa"/>
                  <w:gridSpan w:val="3"/>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三类保护物</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15</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14</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6</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eastAsia="宋体" w:cs="Times New Roman"/>
                      <w:b w:val="0"/>
                      <w:bCs/>
                      <w:i w:val="0"/>
                      <w:iCs w:val="0"/>
                      <w:color w:val="auto"/>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甲、乙类物品生产厂房、库房和甲、乙类液体储罐</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9</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9</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9</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丙、丁、戊类物品生产厂房、库房和丙类液体储罐以及容积不大于50m</w:t>
                  </w:r>
                  <w:r>
                    <w:rPr>
                      <w:rFonts w:hint="eastAsia" w:ascii="Times New Roman" w:hAnsi="Times New Roman" w:cs="Times New Roman"/>
                      <w:b w:val="0"/>
                      <w:bCs/>
                      <w:i w:val="0"/>
                      <w:iCs w:val="0"/>
                      <w:color w:val="auto"/>
                      <w:sz w:val="21"/>
                      <w:szCs w:val="21"/>
                      <w:vertAlign w:val="superscript"/>
                      <w:lang w:val="en-US" w:eastAsia="zh-CN"/>
                    </w:rPr>
                    <w:t>3</w:t>
                  </w:r>
                  <w:r>
                    <w:rPr>
                      <w:rFonts w:hint="eastAsia" w:ascii="Times New Roman" w:hAnsi="Times New Roman" w:cs="Times New Roman"/>
                      <w:b w:val="0"/>
                      <w:bCs/>
                      <w:i w:val="0"/>
                      <w:iCs w:val="0"/>
                      <w:color w:val="auto"/>
                      <w:sz w:val="21"/>
                      <w:szCs w:val="21"/>
                      <w:vertAlign w:val="baseline"/>
                      <w:lang w:val="en-US" w:eastAsia="zh-CN"/>
                    </w:rPr>
                    <w:t>的埋地甲、乙类液体储罐</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9</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9</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eastAsia="宋体" w:cs="Times New Roman"/>
                      <w:b w:val="0"/>
                      <w:bCs/>
                      <w:i w:val="0"/>
                      <w:iCs w:val="0"/>
                      <w:color w:val="auto"/>
                      <w:sz w:val="21"/>
                      <w:szCs w:val="21"/>
                      <w:vertAlign w:val="baseline"/>
                      <w:lang w:val="en-US" w:eastAsia="zh-CN" w:bidi="zh-CN"/>
                    </w:rPr>
                    <w:t>9</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室外变配电站</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12.5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12.5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12.5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铁路</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zh-CN"/>
                    </w:rPr>
                  </w:pPr>
                  <w:r>
                    <w:rPr>
                      <w:rFonts w:hint="eastAsia" w:ascii="Times New Roman" w:hAnsi="Times New Roman" w:cs="Times New Roman"/>
                      <w:b w:val="0"/>
                      <w:bCs/>
                      <w:i w:val="0"/>
                      <w:iCs w:val="0"/>
                      <w:color w:val="auto"/>
                      <w:sz w:val="21"/>
                      <w:szCs w:val="21"/>
                      <w:vertAlign w:val="baseline"/>
                      <w:lang w:val="en-US" w:eastAsia="zh-CN" w:bidi="zh-CN"/>
                    </w:rPr>
                    <w:t>15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6" w:type="dxa"/>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城市道路</w:t>
                  </w:r>
                </w:p>
              </w:tc>
              <w:tc>
                <w:tcPr>
                  <w:tcW w:w="1653"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快速路、主干路</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3</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3</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6" w:type="dxa"/>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p>
              </w:tc>
              <w:tc>
                <w:tcPr>
                  <w:tcW w:w="1653"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次干路、支路</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3</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15</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3</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17</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3</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9"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架空通信线</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dxa"/>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架空电力线路</w:t>
                  </w:r>
                </w:p>
              </w:tc>
              <w:tc>
                <w:tcPr>
                  <w:tcW w:w="162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无绝缘层</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6.5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6.5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6.5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dxa"/>
                  <w:gridSpan w:val="3"/>
                  <w:vMerge w:val="continue"/>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cs="Times New Roman"/>
                      <w:b w:val="0"/>
                      <w:bCs/>
                      <w:i w:val="0"/>
                      <w:iCs w:val="0"/>
                      <w:color w:val="auto"/>
                      <w:sz w:val="21"/>
                      <w:szCs w:val="21"/>
                      <w:vertAlign w:val="baseline"/>
                      <w:lang w:val="en-US" w:eastAsia="zh-CN"/>
                    </w:rPr>
                  </w:pPr>
                </w:p>
              </w:tc>
              <w:tc>
                <w:tcPr>
                  <w:tcW w:w="162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有绝缘层（杆高9m）</w:t>
                  </w:r>
                </w:p>
              </w:tc>
              <w:tc>
                <w:tcPr>
                  <w:tcW w:w="80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5</w:t>
                  </w:r>
                </w:p>
              </w:tc>
              <w:tc>
                <w:tcPr>
                  <w:tcW w:w="823"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80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5</w:t>
                  </w:r>
                </w:p>
              </w:tc>
              <w:tc>
                <w:tcPr>
                  <w:tcW w:w="861"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c>
                <w:tcPr>
                  <w:tcW w:w="759"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eastAsia="宋体" w:cs="Times New Roman"/>
                      <w:b w:val="0"/>
                      <w:bCs/>
                      <w:i w:val="0"/>
                      <w:iCs w:val="0"/>
                      <w:color w:val="auto"/>
                      <w:kern w:val="2"/>
                      <w:sz w:val="21"/>
                      <w:szCs w:val="21"/>
                      <w:vertAlign w:val="baseline"/>
                      <w:lang w:val="en-US" w:eastAsia="zh-CN" w:bidi="ar-SA"/>
                    </w:rPr>
                  </w:pPr>
                  <w:r>
                    <w:rPr>
                      <w:rFonts w:hint="eastAsia" w:ascii="Times New Roman" w:hAnsi="Times New Roman" w:cs="Times New Roman"/>
                      <w:b w:val="0"/>
                      <w:bCs/>
                      <w:i w:val="0"/>
                      <w:iCs w:val="0"/>
                      <w:color w:val="auto"/>
                      <w:sz w:val="21"/>
                      <w:szCs w:val="21"/>
                      <w:vertAlign w:val="baseline"/>
                      <w:lang w:val="en-US" w:eastAsia="zh-CN"/>
                    </w:rPr>
                    <w:t>5</w:t>
                  </w:r>
                </w:p>
              </w:tc>
              <w:tc>
                <w:tcPr>
                  <w:tcW w:w="777" w:type="dxa"/>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i w:val="0"/>
                      <w:iCs w:val="0"/>
                      <w:color w:val="auto"/>
                      <w:sz w:val="21"/>
                      <w:szCs w:val="21"/>
                      <w:vertAlign w:val="baseline"/>
                      <w:lang w:val="en-US" w:eastAsia="zh-CN"/>
                    </w:rPr>
                  </w:pPr>
                  <w:r>
                    <w:rPr>
                      <w:rFonts w:hint="eastAsia" w:ascii="Times New Roman" w:hAnsi="Times New Roman" w:cs="Times New Roman"/>
                      <w:b w:val="0"/>
                      <w:bCs/>
                      <w:i w:val="0"/>
                      <w:iCs w:val="0"/>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420" w:leftChars="0"/>
              <w:contextualSpacing/>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9、</w:t>
            </w:r>
            <w:r>
              <w:rPr>
                <w:rFonts w:hint="default" w:ascii="Times New Roman" w:hAnsi="Times New Roman" w:cs="Times New Roman"/>
                <w:b/>
                <w:bCs/>
                <w:sz w:val="24"/>
                <w:szCs w:val="24"/>
                <w:lang w:val="en-US" w:eastAsia="zh-CN"/>
              </w:rPr>
              <w:t>加油站等级、规模</w:t>
            </w:r>
          </w:p>
          <w:p>
            <w:pPr>
              <w:pStyle w:val="24"/>
              <w:keepNext w:val="0"/>
              <w:keepLines w:val="0"/>
              <w:pageBreakBefore w:val="0"/>
              <w:widowControl w:val="0"/>
              <w:numPr>
                <w:ilvl w:val="0"/>
                <w:numId w:val="0"/>
              </w:numPr>
              <w:kinsoku/>
              <w:wordWrap/>
              <w:overflowPunct/>
              <w:topLinePunct w:val="0"/>
              <w:autoSpaceDE w:val="0"/>
              <w:autoSpaceDN w:val="0"/>
              <w:bidi w:val="0"/>
              <w:adjustRightInd/>
              <w:snapToGrid/>
              <w:spacing w:after="0" w:line="520" w:lineRule="exact"/>
              <w:ind w:leftChars="0" w:firstLine="480" w:firstLineChars="200"/>
              <w:textAlignment w:val="auto"/>
              <w:rPr>
                <w:rFonts w:hint="eastAsia" w:ascii="黑体" w:hAnsi="黑体" w:eastAsia="黑体" w:cs="黑体"/>
                <w:b w:val="0"/>
                <w:bCs/>
                <w:szCs w:val="21"/>
                <w:lang w:val="en-US" w:eastAsia="zh-CN"/>
              </w:rPr>
            </w:pPr>
            <w:r>
              <w:rPr>
                <w:rFonts w:hint="eastAsia"/>
                <w:sz w:val="24"/>
                <w:szCs w:val="24"/>
                <w:lang w:val="en-US" w:eastAsia="zh-CN"/>
              </w:rPr>
              <w:t>根据《汽车加油加气加氢站技术标准》（GB50156-2021），本项目加油站等级划分见下下表。</w:t>
            </w:r>
          </w:p>
          <w:p>
            <w:pPr>
              <w:pStyle w:val="9"/>
              <w:bidi w:val="0"/>
              <w:rPr>
                <w:rFonts w:hint="default"/>
                <w:lang w:val="en-US" w:eastAsia="zh-CN"/>
              </w:rPr>
            </w:pPr>
            <w:r>
              <w:rPr>
                <w:rFonts w:hint="eastAsia"/>
                <w:lang w:val="en-US" w:eastAsia="zh-CN"/>
              </w:rPr>
              <w:t>加油站等级划分</w:t>
            </w:r>
          </w:p>
          <w:tbl>
            <w:tblPr>
              <w:tblStyle w:val="25"/>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756"/>
              <w:gridCol w:w="3010"/>
              <w:gridCol w:w="30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129" w:type="pct"/>
                  <w:vMerge w:val="restart"/>
                  <w:noWrap w:val="0"/>
                  <w:tcMar>
                    <w:top w:w="85" w:type="dxa"/>
                    <w:left w:w="0" w:type="dxa"/>
                    <w:bottom w:w="85" w:type="dxa"/>
                    <w:right w:w="0" w:type="dxa"/>
                  </w:tcMar>
                  <w:vAlign w:val="center"/>
                </w:tcPr>
                <w:p>
                  <w:pPr>
                    <w:pStyle w:val="73"/>
                    <w:keepNext w:val="0"/>
                    <w:keepLines w:val="0"/>
                    <w:pageBreakBefore w:val="0"/>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b/>
                      <w:snapToGrid w:val="0"/>
                      <w:sz w:val="21"/>
                      <w:szCs w:val="21"/>
                      <w:lang w:eastAsia="zh-CN"/>
                    </w:rPr>
                  </w:pPr>
                  <w:r>
                    <w:rPr>
                      <w:rFonts w:hint="default" w:ascii="Times New Roman" w:hAnsi="Times New Roman" w:eastAsia="宋体" w:cs="Times New Roman"/>
                      <w:b/>
                      <w:sz w:val="21"/>
                      <w:szCs w:val="21"/>
                      <w:lang w:eastAsia="zh-CN"/>
                    </w:rPr>
                    <w:t>序号</w:t>
                  </w:r>
                </w:p>
              </w:tc>
              <w:tc>
                <w:tcPr>
                  <w:tcW w:w="3871" w:type="pct"/>
                  <w:gridSpan w:val="2"/>
                  <w:noWrap w:val="0"/>
                  <w:vAlign w:val="center"/>
                </w:tcPr>
                <w:p>
                  <w:pPr>
                    <w:pStyle w:val="73"/>
                    <w:keepNext w:val="0"/>
                    <w:keepLines w:val="0"/>
                    <w:pageBreakBefore w:val="0"/>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b/>
                      <w:bCs/>
                      <w:snapToGrid w:val="0"/>
                      <w:sz w:val="21"/>
                      <w:szCs w:val="21"/>
                      <w:lang w:eastAsia="zh-CN"/>
                    </w:rPr>
                  </w:pPr>
                  <w:r>
                    <w:rPr>
                      <w:rFonts w:hint="default" w:ascii="Times New Roman" w:hAnsi="Times New Roman" w:eastAsia="宋体" w:cs="Times New Roman"/>
                      <w:b/>
                      <w:bCs/>
                      <w:snapToGrid w:val="0"/>
                      <w:sz w:val="21"/>
                      <w:szCs w:val="21"/>
                      <w:lang w:eastAsia="zh-CN"/>
                    </w:rPr>
                    <w:t>油罐容积（m</w:t>
                  </w:r>
                  <w:r>
                    <w:rPr>
                      <w:rFonts w:hint="default" w:ascii="Times New Roman" w:hAnsi="Times New Roman" w:eastAsia="宋体" w:cs="Times New Roman"/>
                      <w:b/>
                      <w:bCs/>
                      <w:snapToGrid w:val="0"/>
                      <w:sz w:val="21"/>
                      <w:szCs w:val="21"/>
                      <w:vertAlign w:val="superscript"/>
                      <w:lang w:eastAsia="zh-CN"/>
                    </w:rPr>
                    <w:t>3</w:t>
                  </w:r>
                  <w:r>
                    <w:rPr>
                      <w:rFonts w:hint="default" w:ascii="Times New Roman" w:hAnsi="Times New Roman" w:eastAsia="宋体" w:cs="Times New Roman"/>
                      <w:b/>
                      <w:bCs/>
                      <w:snapToGrid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129" w:type="pct"/>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left"/>
                    <w:textAlignment w:val="auto"/>
                    <w:rPr>
                      <w:rFonts w:hint="default" w:ascii="Times New Roman" w:hAnsi="Times New Roman" w:eastAsia="宋体" w:cs="Times New Roman"/>
                      <w:b/>
                      <w:snapToGrid w:val="0"/>
                      <w:kern w:val="0"/>
                      <w:sz w:val="21"/>
                      <w:szCs w:val="21"/>
                      <w:lang w:val="zh-CN" w:bidi="zh-CN"/>
                    </w:rPr>
                  </w:pPr>
                </w:p>
              </w:tc>
              <w:tc>
                <w:tcPr>
                  <w:tcW w:w="193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kern w:val="0"/>
                      <w:sz w:val="21"/>
                      <w:szCs w:val="21"/>
                      <w:lang w:bidi="ar"/>
                    </w:rPr>
                    <w:t>总容积</w:t>
                  </w:r>
                </w:p>
              </w:tc>
              <w:tc>
                <w:tcPr>
                  <w:tcW w:w="193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b/>
                      <w:snapToGrid w:val="0"/>
                      <w:kern w:val="0"/>
                      <w:sz w:val="21"/>
                      <w:szCs w:val="21"/>
                      <w:lang w:val="zh-CN"/>
                    </w:rPr>
                  </w:pPr>
                  <w:r>
                    <w:rPr>
                      <w:rFonts w:hint="default" w:ascii="Times New Roman" w:hAnsi="Times New Roman" w:eastAsia="宋体" w:cs="Times New Roman"/>
                      <w:b/>
                      <w:kern w:val="0"/>
                      <w:sz w:val="21"/>
                      <w:szCs w:val="21"/>
                      <w:lang w:bidi="ar"/>
                    </w:rPr>
                    <w:t>单罐容积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129" w:type="pct"/>
                  <w:noWrap w:val="0"/>
                  <w:tcMar>
                    <w:top w:w="85" w:type="dxa"/>
                    <w:left w:w="0" w:type="dxa"/>
                    <w:bottom w:w="85" w:type="dxa"/>
                    <w:right w:w="0" w:type="dxa"/>
                  </w:tcMar>
                  <w:vAlign w:val="center"/>
                </w:tcPr>
                <w:p>
                  <w:pPr>
                    <w:pStyle w:val="73"/>
                    <w:keepNext w:val="0"/>
                    <w:keepLines w:val="0"/>
                    <w:pageBreakBefore w:val="0"/>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sz w:val="21"/>
                      <w:szCs w:val="21"/>
                      <w:lang w:eastAsia="zh-CN"/>
                    </w:rPr>
                    <w:t>一级</w:t>
                  </w:r>
                </w:p>
              </w:tc>
              <w:tc>
                <w:tcPr>
                  <w:tcW w:w="193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150＜V≤210</w:t>
                  </w:r>
                </w:p>
              </w:tc>
              <w:tc>
                <w:tcPr>
                  <w:tcW w:w="193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kern w:val="0"/>
                      <w:sz w:val="21"/>
                      <w:szCs w:val="21"/>
                      <w:lang w:bidi="ar"/>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129" w:type="pct"/>
                  <w:noWrap w:val="0"/>
                  <w:tcMar>
                    <w:top w:w="85" w:type="dxa"/>
                    <w:left w:w="0" w:type="dxa"/>
                    <w:bottom w:w="85" w:type="dxa"/>
                    <w:right w:w="0" w:type="dxa"/>
                  </w:tcMar>
                  <w:vAlign w:val="center"/>
                </w:tcPr>
                <w:p>
                  <w:pPr>
                    <w:pStyle w:val="73"/>
                    <w:keepNext w:val="0"/>
                    <w:keepLines w:val="0"/>
                    <w:pageBreakBefore w:val="0"/>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sz w:val="21"/>
                      <w:szCs w:val="21"/>
                      <w:lang w:eastAsia="zh-CN"/>
                    </w:rPr>
                    <w:t>二级</w:t>
                  </w:r>
                </w:p>
              </w:tc>
              <w:tc>
                <w:tcPr>
                  <w:tcW w:w="193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90＜V≤150</w:t>
                  </w:r>
                </w:p>
              </w:tc>
              <w:tc>
                <w:tcPr>
                  <w:tcW w:w="193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kern w:val="0"/>
                      <w:sz w:val="21"/>
                      <w:szCs w:val="21"/>
                      <w:lang w:bidi="ar"/>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129" w:type="pct"/>
                  <w:noWrap w:val="0"/>
                  <w:tcMar>
                    <w:top w:w="85" w:type="dxa"/>
                    <w:left w:w="0" w:type="dxa"/>
                    <w:bottom w:w="85" w:type="dxa"/>
                    <w:right w:w="0" w:type="dxa"/>
                  </w:tcMar>
                  <w:vAlign w:val="center"/>
                </w:tcPr>
                <w:p>
                  <w:pPr>
                    <w:pStyle w:val="73"/>
                    <w:keepNext w:val="0"/>
                    <w:keepLines w:val="0"/>
                    <w:pageBreakBefore w:val="0"/>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sz w:val="21"/>
                      <w:szCs w:val="21"/>
                      <w:lang w:eastAsia="zh-CN"/>
                    </w:rPr>
                    <w:t>三级</w:t>
                  </w:r>
                </w:p>
              </w:tc>
              <w:tc>
                <w:tcPr>
                  <w:tcW w:w="193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V≤90</w:t>
                  </w:r>
                </w:p>
              </w:tc>
              <w:tc>
                <w:tcPr>
                  <w:tcW w:w="193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kern w:val="0"/>
                      <w:sz w:val="21"/>
                      <w:szCs w:val="21"/>
                      <w:lang w:bidi="ar"/>
                    </w:rPr>
                    <w:t>汽油罐≤30，柴油罐≤50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3"/>
                  <w:noWrap w:val="0"/>
                  <w:tcMar>
                    <w:top w:w="85" w:type="dxa"/>
                    <w:left w:w="0" w:type="dxa"/>
                    <w:bottom w:w="85" w:type="dxa"/>
                    <w:right w:w="0" w:type="dxa"/>
                  </w:tcMar>
                  <w:vAlign w:val="center"/>
                </w:tcPr>
                <w:p>
                  <w:pPr>
                    <w:keepNext w:val="0"/>
                    <w:keepLines w:val="0"/>
                    <w:pageBreakBefore w:val="0"/>
                    <w:widowControl/>
                    <w:kinsoku/>
                    <w:wordWrap/>
                    <w:overflowPunct/>
                    <w:topLinePunct w:val="0"/>
                    <w:autoSpaceDE w:val="0"/>
                    <w:autoSpaceDN w:val="0"/>
                    <w:bidi w:val="0"/>
                    <w:adjustRightInd w:val="0"/>
                    <w:snapToGrid w:val="0"/>
                    <w:spacing w:line="240" w:lineRule="exact"/>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注：V为油罐总容积；柴油罐容积可折半计入油罐总容积</w:t>
                  </w:r>
                </w:p>
              </w:tc>
            </w:tr>
          </w:tbl>
          <w:p>
            <w:pPr>
              <w:adjustRightInd w:val="0"/>
              <w:snapToGrid w:val="0"/>
              <w:spacing w:line="460" w:lineRule="exact"/>
              <w:ind w:firstLine="480" w:firstLineChars="200"/>
              <w:rPr>
                <w:bCs/>
                <w:color w:val="auto"/>
                <w:sz w:val="24"/>
              </w:rPr>
            </w:pPr>
            <w:r>
              <w:rPr>
                <w:rFonts w:hint="default" w:ascii="Times New Roman" w:hAnsi="Times New Roman" w:cs="Times New Roman"/>
                <w:sz w:val="24"/>
              </w:rPr>
              <w:t>本项目储油能力：设置</w:t>
            </w:r>
            <w:r>
              <w:rPr>
                <w:rFonts w:hint="eastAsia" w:ascii="Times New Roman" w:hAnsi="Times New Roman" w:cs="Times New Roman"/>
                <w:sz w:val="24"/>
                <w:lang w:val="en-US" w:eastAsia="zh-CN"/>
              </w:rPr>
              <w:t>2</w:t>
            </w:r>
            <w:r>
              <w:rPr>
                <w:rFonts w:hint="default" w:ascii="Times New Roman" w:hAnsi="Times New Roman" w:cs="Times New Roman"/>
                <w:sz w:val="24"/>
              </w:rPr>
              <w:t>个</w:t>
            </w:r>
            <w:r>
              <w:rPr>
                <w:rFonts w:hint="eastAsia" w:ascii="Times New Roman" w:hAnsi="Times New Roman" w:cs="Times New Roman"/>
                <w:sz w:val="24"/>
                <w:lang w:val="en-US" w:eastAsia="zh-CN"/>
              </w:rPr>
              <w:t>3</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default" w:ascii="Times New Roman" w:hAnsi="Times New Roman" w:cs="Times New Roman"/>
                <w:sz w:val="24"/>
              </w:rPr>
              <w:t>汽油储罐，</w:t>
            </w:r>
            <w:r>
              <w:rPr>
                <w:rFonts w:hint="eastAsia" w:ascii="Times New Roman" w:hAnsi="Times New Roman" w:cs="Times New Roman"/>
                <w:sz w:val="24"/>
                <w:lang w:val="en-US" w:eastAsia="zh-CN"/>
              </w:rPr>
              <w:t>1</w:t>
            </w:r>
            <w:r>
              <w:rPr>
                <w:rFonts w:hint="default" w:ascii="Times New Roman" w:hAnsi="Times New Roman" w:cs="Times New Roman"/>
                <w:sz w:val="24"/>
              </w:rPr>
              <w:t>个</w:t>
            </w:r>
            <w:r>
              <w:rPr>
                <w:rFonts w:hint="eastAsia" w:ascii="Times New Roman" w:hAnsi="Times New Roman" w:cs="Times New Roman"/>
                <w:sz w:val="24"/>
                <w:lang w:val="en-US" w:eastAsia="zh-CN"/>
              </w:rPr>
              <w:t>3</w:t>
            </w:r>
            <w:r>
              <w:rPr>
                <w:rFonts w:hint="default" w:ascii="Times New Roman" w:hAnsi="Times New Roman" w:cs="Times New Roman"/>
                <w:sz w:val="24"/>
              </w:rPr>
              <w:t>0m</w:t>
            </w:r>
            <w:r>
              <w:rPr>
                <w:rFonts w:hint="default" w:ascii="Times New Roman" w:hAnsi="Times New Roman" w:cs="Times New Roman"/>
                <w:sz w:val="24"/>
                <w:vertAlign w:val="superscript"/>
              </w:rPr>
              <w:t>3</w:t>
            </w:r>
            <w:r>
              <w:rPr>
                <w:rFonts w:hint="eastAsia" w:ascii="Times New Roman" w:hAnsi="Times New Roman" w:cs="Times New Roman"/>
                <w:sz w:val="24"/>
                <w:lang w:eastAsia="zh-CN"/>
              </w:rPr>
              <w:t>柴油</w:t>
            </w:r>
            <w:r>
              <w:rPr>
                <w:rFonts w:hint="default" w:ascii="Times New Roman" w:hAnsi="Times New Roman" w:cs="Times New Roman"/>
                <w:sz w:val="24"/>
              </w:rPr>
              <w:t>储罐</w:t>
            </w:r>
            <w:r>
              <w:rPr>
                <w:rFonts w:hint="eastAsia" w:ascii="Times New Roman" w:hAnsi="Times New Roman" w:cs="Times New Roman"/>
                <w:sz w:val="24"/>
                <w:lang w:eastAsia="zh-CN"/>
              </w:rPr>
              <w:t>，</w:t>
            </w:r>
            <w:r>
              <w:rPr>
                <w:rFonts w:hint="default" w:ascii="Times New Roman" w:hAnsi="Times New Roman" w:cs="Times New Roman"/>
                <w:sz w:val="24"/>
              </w:rPr>
              <w:t>油罐均为地埋式，</w:t>
            </w:r>
            <w:r>
              <w:rPr>
                <w:rFonts w:hint="eastAsia" w:cs="Times New Roman"/>
                <w:sz w:val="24"/>
                <w:lang w:val="en-US" w:eastAsia="zh-CN"/>
              </w:rPr>
              <w:t>经计算后，</w:t>
            </w:r>
            <w:r>
              <w:rPr>
                <w:rFonts w:hint="default" w:ascii="Times New Roman" w:hAnsi="Times New Roman" w:cs="Times New Roman"/>
                <w:sz w:val="24"/>
              </w:rPr>
              <w:t>油罐总容积</w:t>
            </w:r>
            <w:r>
              <w:rPr>
                <w:rFonts w:hint="eastAsia" w:cs="Times New Roman"/>
                <w:sz w:val="24"/>
                <w:lang w:val="en-US" w:eastAsia="zh-CN"/>
              </w:rPr>
              <w:t>为</w:t>
            </w:r>
            <w:r>
              <w:rPr>
                <w:rFonts w:hint="eastAsia" w:ascii="Times New Roman" w:hAnsi="Times New Roman" w:cs="Times New Roman"/>
                <w:sz w:val="24"/>
                <w:lang w:val="en-US" w:eastAsia="zh-CN"/>
              </w:rPr>
              <w:t>75</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，因此本加油站级别为</w:t>
            </w:r>
            <w:r>
              <w:rPr>
                <w:rFonts w:hint="eastAsia" w:ascii="Times New Roman" w:hAnsi="Times New Roman" w:cs="Times New Roman"/>
                <w:sz w:val="24"/>
                <w:lang w:val="en-US" w:eastAsia="zh-CN"/>
              </w:rPr>
              <w:t>三</w:t>
            </w:r>
            <w:r>
              <w:rPr>
                <w:rFonts w:hint="default" w:ascii="Times New Roman" w:hAnsi="Times New Roman" w:cs="Times New Roman"/>
                <w:sz w:val="24"/>
              </w:rPr>
              <w:t>级站。</w:t>
            </w: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bCs/>
                <w:color w:val="FF0000"/>
                <w:sz w:val="24"/>
                <w:lang w:eastAsia="zh-CN"/>
              </w:rPr>
            </w:pPr>
          </w:p>
          <w:p>
            <w:pPr>
              <w:adjustRightInd w:val="0"/>
              <w:snapToGrid w:val="0"/>
              <w:spacing w:line="460" w:lineRule="exact"/>
              <w:ind w:firstLine="480" w:firstLineChars="200"/>
              <w:rPr>
                <w:rFonts w:hint="eastAsia" w:eastAsia="宋体"/>
                <w:bCs/>
                <w:color w:val="FF0000"/>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823" w:type="dxa"/>
            <w:vAlign w:val="center"/>
          </w:tcPr>
          <w:p>
            <w:pPr>
              <w:pStyle w:val="21"/>
              <w:adjustRightInd w:val="0"/>
              <w:snapToGrid w:val="0"/>
              <w:spacing w:before="0" w:beforeAutospacing="0" w:after="0" w:afterAutospacing="0"/>
              <w:jc w:val="center"/>
              <w:rPr>
                <w:rFonts w:cs="宋体"/>
                <w:color w:val="FF0000"/>
                <w:sz w:val="21"/>
                <w:szCs w:val="21"/>
                <w:lang w:val="en-US"/>
              </w:rPr>
            </w:pPr>
            <w:r>
              <w:rPr>
                <w:rFonts w:hint="eastAsia" w:cs="宋体"/>
                <w:color w:val="auto"/>
                <w:sz w:val="24"/>
                <w:szCs w:val="24"/>
                <w:lang w:val="en-US"/>
              </w:rPr>
              <w:t>工艺流程和产排污环节</w:t>
            </w:r>
          </w:p>
        </w:tc>
        <w:tc>
          <w:tcPr>
            <w:tcW w:w="8161" w:type="dxa"/>
          </w:tcPr>
          <w:p>
            <w:pPr>
              <w:adjustRightInd w:val="0"/>
              <w:snapToGrid w:val="0"/>
              <w:spacing w:line="460" w:lineRule="exact"/>
              <w:ind w:firstLine="482" w:firstLineChars="200"/>
              <w:rPr>
                <w:rFonts w:hint="eastAsia" w:ascii="宋体" w:hAnsi="宋体" w:eastAsia="宋体" w:cs="宋体"/>
                <w:b/>
                <w:bCs/>
                <w:color w:val="auto"/>
                <w:sz w:val="24"/>
                <w:szCs w:val="20"/>
              </w:rPr>
            </w:pPr>
            <w:r>
              <w:rPr>
                <w:rFonts w:hint="eastAsia" w:ascii="宋体" w:hAnsi="宋体" w:eastAsia="宋体" w:cs="宋体"/>
                <w:b/>
                <w:bCs/>
                <w:color w:val="auto"/>
                <w:sz w:val="24"/>
                <w:szCs w:val="20"/>
              </w:rPr>
              <w:t>一、工艺流程简述</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baseline"/>
              <w:rPr>
                <w:color w:val="FF0000"/>
                <w:sz w:val="24"/>
              </w:rPr>
            </w:pPr>
            <w:r>
              <w:rPr>
                <w:color w:val="FF0000"/>
              </w:rPr>
              <w:object>
                <v:shape id="_x0000_i1025" o:spt="75" type="#_x0000_t75" style="height:189.65pt;width:386.4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jc w:val="center"/>
              <w:textAlignment w:val="baseline"/>
              <w:rPr>
                <w:color w:val="auto"/>
                <w:sz w:val="24"/>
              </w:rPr>
            </w:pPr>
            <w:r>
              <w:rPr>
                <w:rFonts w:hint="eastAsia"/>
                <w:b/>
                <w:bCs/>
                <w:color w:val="auto"/>
                <w:sz w:val="24"/>
              </w:rPr>
              <w:t>图</w:t>
            </w:r>
            <w:r>
              <w:rPr>
                <w:rFonts w:hint="eastAsia"/>
                <w:b/>
                <w:bCs/>
                <w:color w:val="auto"/>
                <w:sz w:val="24"/>
                <w:lang w:val="en-US" w:eastAsia="zh-CN"/>
              </w:rPr>
              <w:t>1  加油站工艺流程图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工艺流程简述：</w:t>
            </w:r>
          </w:p>
          <w:p>
            <w:pPr>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油罐车卸油：</w:t>
            </w: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rPr>
              <w:t>采用油罐车经软管与油罐卸油孔连通卸油的方式卸油。汽油的</w:t>
            </w:r>
            <w:r>
              <w:rPr>
                <w:rFonts w:hint="eastAsia" w:ascii="Times New Roman" w:hAnsi="Times New Roman" w:cs="Times New Roman"/>
                <w:sz w:val="24"/>
                <w:szCs w:val="24"/>
                <w:lang w:val="en-US" w:eastAsia="zh-CN"/>
              </w:rPr>
              <w:t>油</w:t>
            </w:r>
            <w:r>
              <w:rPr>
                <w:rFonts w:hint="default" w:ascii="Times New Roman" w:hAnsi="Times New Roman" w:cs="Times New Roman"/>
                <w:sz w:val="24"/>
                <w:szCs w:val="24"/>
              </w:rPr>
              <w:t>槽车到达加油站罐区后，在油罐附近停稳熄火，将连通软管与油罐车的</w:t>
            </w:r>
            <w:r>
              <w:rPr>
                <w:rFonts w:hint="eastAsia" w:ascii="Times New Roman" w:hAnsi="Times New Roman" w:cs="Times New Roman"/>
                <w:sz w:val="24"/>
                <w:szCs w:val="24"/>
                <w:lang w:val="en-US" w:eastAsia="zh-CN"/>
              </w:rPr>
              <w:t>卸</w:t>
            </w:r>
            <w:r>
              <w:rPr>
                <w:rFonts w:hint="default" w:ascii="Times New Roman" w:hAnsi="Times New Roman" w:cs="Times New Roman"/>
                <w:sz w:val="24"/>
                <w:szCs w:val="24"/>
              </w:rPr>
              <w:t>油口、储罐的进油口用密闭快速接头连接好，并接上静电接地装置，静止十五分钟后开始计量卸油，利用潜泵将乙醇汽油分别输送至汽油贮罐储存</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加油站内各个油罐均设置有液位计，卸油过程中应时刻注意液位计指示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防止油品溢出。油品卸完后，拆除连通软管，人工封好油罐和罐车卸油口，拆除静电接地报警装置，发动油品罐车缓缓离开罐区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本项目安装卸油油气回收系统，把汽油在卸油过程中产生的油气进行回收</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此过程会产生少量烃类有机物，以非甲烷总烃计。</w:t>
            </w:r>
          </w:p>
          <w:p>
            <w:pPr>
              <w:pStyle w:val="35"/>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（2）储</w:t>
            </w:r>
            <w:r>
              <w:rPr>
                <w:rFonts w:hint="default" w:ascii="Times New Roman" w:hAnsi="Times New Roman" w:cs="Times New Roman"/>
                <w:color w:val="auto"/>
                <w:sz w:val="24"/>
                <w:szCs w:val="24"/>
              </w:rPr>
              <w:t>油：本项目设置</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座埋地</w:t>
            </w:r>
            <w:r>
              <w:rPr>
                <w:rFonts w:hint="eastAsia" w:ascii="Times New Roman" w:hAnsi="Times New Roman" w:cs="Times New Roman"/>
                <w:color w:val="auto"/>
                <w:sz w:val="24"/>
                <w:szCs w:val="24"/>
                <w:lang w:val="en-US" w:eastAsia="zh-CN"/>
              </w:rPr>
              <w:t>储油罐</w:t>
            </w:r>
            <w:r>
              <w:rPr>
                <w:rFonts w:hint="default" w:ascii="Times New Roman" w:hAnsi="Times New Roman" w:cs="Times New Roman"/>
                <w:color w:val="auto"/>
                <w:sz w:val="24"/>
                <w:szCs w:val="24"/>
              </w:rPr>
              <w:t>，常压储存。汽油油罐安装油气回收装置，减少废气排放，保障加油站的安全性。</w:t>
            </w:r>
          </w:p>
          <w:p>
            <w:pPr>
              <w:pStyle w:val="35"/>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（3）加油：</w:t>
            </w:r>
            <w:r>
              <w:rPr>
                <w:rFonts w:hint="eastAsia" w:ascii="Times New Roman" w:hAnsi="Times New Roman" w:cs="Times New Roman"/>
                <w:color w:val="auto"/>
                <w:sz w:val="24"/>
                <w:szCs w:val="24"/>
                <w:lang w:val="en-US" w:eastAsia="zh-CN"/>
              </w:rPr>
              <w:t>本项目加油采用潜泵式加油工艺，加油时，由潜泵对汽油进行输送，将油品从储油罐抽出后，经过加油机的油气分离器、计量器，再经过加油枪加到汽车油箱中。加油机与配套油泵之间进行联锁，当需要进行汽油加注时，油泵自动启动将油品抽出，加油结束后油泵自动停止运转。加油机加油枪软管与加油机连接处设置拉断阀，拉力过大时将自动断开，同时自动关闭，防止燃油外溢。</w:t>
            </w:r>
          </w:p>
          <w:p>
            <w:pPr>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jc w:val="left"/>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油气回收工艺原理</w:t>
            </w:r>
            <w:r>
              <w:rPr>
                <w:rFonts w:hint="eastAsia" w:ascii="Times New Roman" w:hAnsi="Times New Roman" w:cs="Times New Roman"/>
                <w:b/>
                <w:bCs/>
                <w:color w:val="auto"/>
                <w:sz w:val="24"/>
                <w:szCs w:val="24"/>
                <w:lang w:eastAsia="zh-CN"/>
              </w:rPr>
              <w:t>：</w:t>
            </w:r>
          </w:p>
          <w:p>
            <w:pPr>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cs="Times New Roman"/>
                <w:sz w:val="24"/>
                <w:szCs w:val="24"/>
                <w:lang w:val="en-US" w:eastAsia="zh-CN"/>
              </w:rPr>
            </w:pPr>
            <w:r>
              <w:rPr>
                <w:sz w:val="24"/>
                <w:szCs w:val="24"/>
              </w:rPr>
              <w:t>本项目加油站</w:t>
            </w:r>
            <w:r>
              <w:rPr>
                <w:rFonts w:hint="eastAsia"/>
                <w:sz w:val="24"/>
                <w:szCs w:val="24"/>
              </w:rPr>
              <w:t>汽油</w:t>
            </w:r>
            <w:r>
              <w:rPr>
                <w:sz w:val="24"/>
                <w:szCs w:val="24"/>
              </w:rPr>
              <w:t>油气回收系统由卸油油气回收系统（即一次油气回收）、加油油气回收系统（即二次油气回收）</w:t>
            </w:r>
            <w:r>
              <w:rPr>
                <w:rFonts w:hint="eastAsia"/>
                <w:sz w:val="24"/>
                <w:szCs w:val="24"/>
              </w:rPr>
              <w:t>和</w:t>
            </w:r>
            <w:r>
              <w:rPr>
                <w:rFonts w:hint="eastAsia"/>
                <w:b w:val="0"/>
                <w:bCs/>
                <w:sz w:val="24"/>
                <w:szCs w:val="24"/>
                <w:u w:val="none"/>
              </w:rPr>
              <w:t>放空</w:t>
            </w:r>
            <w:r>
              <w:rPr>
                <w:b w:val="0"/>
                <w:bCs/>
                <w:sz w:val="24"/>
                <w:szCs w:val="24"/>
                <w:u w:val="none"/>
              </w:rPr>
              <w:t>油气回收系统</w:t>
            </w:r>
            <w:r>
              <w:rPr>
                <w:rFonts w:hint="eastAsia"/>
                <w:b w:val="0"/>
                <w:bCs/>
                <w:sz w:val="24"/>
                <w:szCs w:val="24"/>
                <w:u w:val="none"/>
              </w:rPr>
              <w:t>（冷凝</w:t>
            </w:r>
            <w:r>
              <w:rPr>
                <w:rFonts w:hint="eastAsia"/>
                <w:b w:val="0"/>
                <w:bCs/>
                <w:sz w:val="24"/>
                <w:szCs w:val="24"/>
                <w:u w:val="none"/>
                <w:lang w:val="en-US" w:eastAsia="zh-CN"/>
              </w:rPr>
              <w:t>回收</w:t>
            </w:r>
            <w:r>
              <w:rPr>
                <w:rFonts w:hint="eastAsia"/>
                <w:b w:val="0"/>
                <w:bCs/>
                <w:sz w:val="24"/>
                <w:szCs w:val="24"/>
                <w:u w:val="none"/>
              </w:rPr>
              <w:t>）（三次油气回收装置，即冷凝</w:t>
            </w:r>
            <w:r>
              <w:rPr>
                <w:rFonts w:hint="eastAsia"/>
                <w:b w:val="0"/>
                <w:bCs/>
                <w:sz w:val="24"/>
                <w:szCs w:val="24"/>
                <w:u w:val="none"/>
                <w:lang w:val="en-US" w:eastAsia="zh-CN"/>
              </w:rPr>
              <w:t>回收</w:t>
            </w:r>
            <w:r>
              <w:rPr>
                <w:rFonts w:hint="eastAsia"/>
                <w:b w:val="0"/>
                <w:bCs/>
                <w:sz w:val="24"/>
                <w:szCs w:val="24"/>
                <w:u w:val="none"/>
              </w:rPr>
              <w:t>）</w:t>
            </w:r>
            <w:r>
              <w:rPr>
                <w:sz w:val="24"/>
                <w:szCs w:val="24"/>
              </w:rPr>
              <w:t>组成。</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rFonts w:hint="default" w:ascii="Times New Roman" w:hAnsi="Times New Roman" w:cs="Times New Roman"/>
                <w:bCs/>
                <w:color w:val="auto"/>
                <w:kern w:val="0"/>
                <w:sz w:val="24"/>
                <w:szCs w:val="24"/>
                <w:lang w:eastAsia="zh-CN"/>
              </w:rPr>
            </w:pPr>
            <w:r>
              <w:rPr>
                <w:rFonts w:hint="default" w:ascii="Times New Roman" w:hAnsi="Times New Roman" w:cs="Times New Roman"/>
                <w:b/>
                <w:bCs w:val="0"/>
                <w:color w:val="auto"/>
                <w:kern w:val="0"/>
                <w:sz w:val="24"/>
                <w:szCs w:val="24"/>
                <w:lang w:eastAsia="zh-CN"/>
              </w:rPr>
              <w:t>一次油气回收阶段（即卸油油气回收系统）：</w:t>
            </w:r>
            <w:r>
              <w:rPr>
                <w:rFonts w:hint="default" w:ascii="Times New Roman" w:hAnsi="Times New Roman" w:cs="Times New Roman"/>
                <w:bCs/>
                <w:color w:val="auto"/>
                <w:kern w:val="0"/>
                <w:sz w:val="24"/>
                <w:szCs w:val="24"/>
                <w:lang w:eastAsia="zh-CN"/>
              </w:rPr>
              <w:t>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一次油气回收阶段结束。</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Cs/>
                <w:color w:val="auto"/>
                <w:kern w:val="0"/>
                <w:sz w:val="24"/>
                <w:szCs w:val="24"/>
                <w:lang w:eastAsia="zh-CN"/>
              </w:rPr>
            </w:pPr>
            <w:r>
              <w:rPr>
                <w:rFonts w:hint="default" w:ascii="Times New Roman" w:hAnsi="Times New Roman" w:cs="Times New Roman"/>
                <w:bCs/>
                <w:color w:val="auto"/>
                <w:kern w:val="0"/>
                <w:sz w:val="24"/>
                <w:szCs w:val="24"/>
                <w:lang w:eastAsia="zh-CN"/>
              </w:rPr>
              <w:t>项目储油罐区设置密闭卸油口，储罐均设置有通气管口及通气软管，油罐车设置有油气回收管口及回收管道。卸油时，卸油软管连接罐车出油口和罐区卸油口，油气回收软管连接罐车油气回收口和卸油口的油气回收管道接口。当罐车内油品流入站区油罐时，罐内油气通过油气回收管道进入罐车内。卸油时由于通气管道上安装有压力真空阀，在设定工作压力内不会开启，不会造成油气通过通气管排放。经罐车回收的油气，运回储油库进行油气回收处理，卸油油气回收系统安装在油罐车内，油罐车由油库负责管理运营，油库负责卸油油气的回收和处理。</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rFonts w:hint="default" w:ascii="Times New Roman" w:hAnsi="Times New Roman" w:cs="Times New Roman"/>
                <w:bCs/>
                <w:color w:val="auto"/>
                <w:kern w:val="0"/>
                <w:sz w:val="24"/>
                <w:szCs w:val="24"/>
                <w:lang w:eastAsia="zh-CN"/>
              </w:rPr>
            </w:pPr>
            <w:r>
              <w:rPr>
                <w:rFonts w:hint="default" w:ascii="Times New Roman" w:hAnsi="Times New Roman" w:cs="Times New Roman"/>
                <w:b/>
                <w:bCs w:val="0"/>
                <w:color w:val="auto"/>
                <w:kern w:val="0"/>
                <w:sz w:val="24"/>
                <w:szCs w:val="24"/>
                <w:lang w:eastAsia="zh-CN"/>
              </w:rPr>
              <w:t>二次油气回收阶段（即加油油气回收系统）</w:t>
            </w:r>
            <w:r>
              <w:rPr>
                <w:rFonts w:hint="default" w:ascii="Times New Roman" w:hAnsi="Times New Roman" w:cs="Times New Roman"/>
                <w:bCs/>
                <w:color w:val="auto"/>
                <w:kern w:val="0"/>
                <w:sz w:val="24"/>
                <w:szCs w:val="24"/>
                <w:lang w:eastAsia="zh-CN"/>
              </w:rPr>
              <w:t>：是采用真空辅助式油气回收设备，将在加油过程中挥发的油气通过地下油气回收管线收集到地下储罐内的油气回收过程。该阶段油气回收实现过程：在加油站为汽车加油过程中，通过真空泵产生一定真空度，经过加油枪、油气回收管、真空泵等油气回收设备，按照气液比控制在1.0至1.2之间的要求，将加油过程中挥发的油气回收到油罐内。</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Cs/>
                <w:color w:val="auto"/>
                <w:kern w:val="0"/>
                <w:sz w:val="24"/>
                <w:szCs w:val="24"/>
                <w:lang w:eastAsia="zh-CN"/>
              </w:rPr>
            </w:pPr>
            <w:r>
              <w:rPr>
                <w:rFonts w:hint="default" w:ascii="Times New Roman" w:hAnsi="Times New Roman" w:cs="Times New Roman"/>
                <w:bCs/>
                <w:color w:val="auto"/>
                <w:kern w:val="0"/>
                <w:sz w:val="24"/>
                <w:szCs w:val="24"/>
                <w:lang w:eastAsia="zh-CN"/>
              </w:rPr>
              <w:t>汽车加油时利用加油枪上的特殊装置，将汽车油箱中的油气经加油枪、真空泵、油气回收管道回收，在加油站内每台加油机内部均安装油气回收泵及相应的管道，加油机加油时回收的油气通过管道进入站内的油品储罐内。</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rFonts w:hint="default" w:ascii="Times New Roman" w:hAnsi="Times New Roman" w:cs="Times New Roman"/>
                <w:b w:val="0"/>
                <w:bCs/>
                <w:color w:val="auto"/>
                <w:kern w:val="0"/>
                <w:sz w:val="24"/>
                <w:szCs w:val="24"/>
                <w:u w:val="none"/>
                <w:lang w:eastAsia="zh-CN"/>
              </w:rPr>
            </w:pPr>
            <w:r>
              <w:rPr>
                <w:rFonts w:hint="default" w:ascii="Times New Roman" w:hAnsi="Times New Roman" w:cs="Times New Roman"/>
                <w:b/>
                <w:bCs w:val="0"/>
                <w:color w:val="auto"/>
                <w:kern w:val="0"/>
                <w:sz w:val="24"/>
                <w:szCs w:val="24"/>
                <w:u w:val="none"/>
                <w:lang w:eastAsia="zh-CN"/>
              </w:rPr>
              <w:t>三次油气回收（油罐油气回收系统）</w:t>
            </w:r>
            <w:r>
              <w:rPr>
                <w:rFonts w:hint="default" w:ascii="Times New Roman" w:hAnsi="Times New Roman" w:cs="Times New Roman"/>
                <w:b w:val="0"/>
                <w:bCs/>
                <w:color w:val="auto"/>
                <w:kern w:val="0"/>
                <w:sz w:val="24"/>
                <w:szCs w:val="24"/>
                <w:u w:val="none"/>
                <w:lang w:eastAsia="zh-CN"/>
              </w:rPr>
              <w:t>：即油气排放处理装置，处理的是带有回收油气功能的加油枪在气液比大于1时多收集并从排气管路排放的油气，还有埋地油罐随大气压和气温变化产生正压时排放的油气，通过采用吸附、吸收、冷凝及膜分离等方法，将油气中的空气分离出来进行外排，剩下的高浓度油气重新回到地下油罐中。主要工作原理为当油罐内的气压升高到设定的感应压力上限（一般设定为+150Pa），三次油气回收系统自动运行，通过与油罐的呼吸管连接，油气进入吸附冷凝装置，经专用高分子材料吸附剂吸附，吸附剂饱和后，用解析泵抽吸其中的油气，经过冷凝器冷凝，大部分油气液化成油品返回油罐，小部分油气通过高于4m的通气管排放达标排放。</w:t>
            </w:r>
            <w:r>
              <w:rPr>
                <w:rFonts w:hint="eastAsia" w:ascii="宋体" w:hAnsi="宋体" w:eastAsia="宋体" w:cs="宋体"/>
                <w:color w:val="000000"/>
                <w:kern w:val="0"/>
                <w:sz w:val="24"/>
                <w:szCs w:val="24"/>
                <w:lang w:val="en-US" w:eastAsia="zh-CN" w:bidi="ar"/>
              </w:rPr>
              <w:t>本项目采用的是冷凝回收工艺，本评价三次油气回收效率取</w:t>
            </w:r>
            <w:r>
              <w:rPr>
                <w:rFonts w:hint="default" w:ascii="Times New Roman" w:hAnsi="Times New Roman" w:eastAsia="宋体" w:cs="Times New Roman"/>
                <w:color w:val="000000"/>
                <w:kern w:val="0"/>
                <w:sz w:val="24"/>
                <w:szCs w:val="24"/>
                <w:lang w:val="en-US" w:eastAsia="zh-CN" w:bidi="ar"/>
              </w:rPr>
              <w:t>95%</w:t>
            </w:r>
            <w:r>
              <w:rPr>
                <w:rFonts w:hint="eastAsia" w:ascii="宋体" w:hAnsi="宋体" w:eastAsia="宋体" w:cs="宋体"/>
                <w:color w:val="000000"/>
                <w:kern w:val="0"/>
                <w:sz w:val="24"/>
                <w:szCs w:val="24"/>
                <w:lang w:val="en-US" w:eastAsia="zh-CN" w:bidi="ar"/>
              </w:rPr>
              <w:t>计，本项目油气处理装置排气口距地平面高度为</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 xml:space="preserve">。 </w:t>
            </w:r>
          </w:p>
          <w:p>
            <w:pPr>
              <w:adjustRightInd w:val="0"/>
              <w:snapToGrid w:val="0"/>
              <w:spacing w:line="460" w:lineRule="exact"/>
              <w:ind w:firstLine="480" w:firstLineChars="200"/>
              <w:rPr>
                <w:rFonts w:eastAsia="黑体"/>
                <w:color w:val="auto"/>
                <w:sz w:val="24"/>
                <w:szCs w:val="20"/>
              </w:rPr>
            </w:pPr>
            <w:r>
              <w:rPr>
                <w:rFonts w:eastAsia="黑体"/>
                <w:color w:val="auto"/>
                <w:sz w:val="24"/>
                <w:szCs w:val="20"/>
              </w:rPr>
              <w:t>二</w:t>
            </w:r>
            <w:r>
              <w:rPr>
                <w:rFonts w:hint="eastAsia" w:eastAsia="黑体"/>
                <w:color w:val="auto"/>
                <w:sz w:val="24"/>
                <w:szCs w:val="20"/>
              </w:rPr>
              <w:t>、</w:t>
            </w:r>
            <w:r>
              <w:rPr>
                <w:rFonts w:eastAsia="黑体"/>
                <w:color w:val="auto"/>
                <w:sz w:val="24"/>
                <w:szCs w:val="20"/>
              </w:rPr>
              <w:t>主要</w:t>
            </w:r>
            <w:r>
              <w:rPr>
                <w:rFonts w:hint="eastAsia" w:eastAsia="黑体"/>
                <w:color w:val="auto"/>
                <w:sz w:val="24"/>
                <w:szCs w:val="20"/>
              </w:rPr>
              <w:t>产排污</w:t>
            </w:r>
            <w:r>
              <w:rPr>
                <w:rFonts w:eastAsia="黑体"/>
                <w:color w:val="auto"/>
                <w:sz w:val="24"/>
                <w:szCs w:val="20"/>
              </w:rPr>
              <w:t>环节</w:t>
            </w:r>
          </w:p>
          <w:p>
            <w:pPr>
              <w:adjustRightInd w:val="0"/>
              <w:snapToGrid w:val="0"/>
              <w:spacing w:line="460" w:lineRule="exact"/>
              <w:ind w:firstLine="480" w:firstLineChars="200"/>
              <w:textAlignment w:val="baseline"/>
              <w:rPr>
                <w:color w:val="auto"/>
                <w:sz w:val="24"/>
              </w:rPr>
            </w:pPr>
            <w:r>
              <w:rPr>
                <w:color w:val="auto"/>
                <w:sz w:val="24"/>
              </w:rPr>
              <w:t>1、施工期</w:t>
            </w:r>
          </w:p>
          <w:p>
            <w:pPr>
              <w:snapToGrid w:val="0"/>
              <w:spacing w:line="480" w:lineRule="exact"/>
              <w:ind w:firstLine="480" w:firstLineChars="200"/>
              <w:rPr>
                <w:bCs/>
                <w:color w:val="auto"/>
                <w:sz w:val="24"/>
              </w:rPr>
            </w:pPr>
            <w:r>
              <w:rPr>
                <w:rFonts w:hint="eastAsia"/>
                <w:bCs/>
                <w:color w:val="auto"/>
                <w:sz w:val="24"/>
              </w:rPr>
              <w:t>本项目</w:t>
            </w:r>
            <w:r>
              <w:rPr>
                <w:rFonts w:hint="eastAsia"/>
                <w:bCs/>
                <w:color w:val="auto"/>
                <w:sz w:val="24"/>
                <w:lang w:val="en-US" w:eastAsia="zh-CN"/>
              </w:rPr>
              <w:t>已建成</w:t>
            </w:r>
            <w:r>
              <w:rPr>
                <w:rFonts w:hint="eastAsia"/>
                <w:bCs/>
                <w:color w:val="auto"/>
                <w:sz w:val="24"/>
              </w:rPr>
              <w:t>，故本次评价不再考虑施工期影响</w:t>
            </w:r>
            <w:r>
              <w:rPr>
                <w:bCs/>
                <w:color w:val="auto"/>
                <w:sz w:val="24"/>
              </w:rPr>
              <w:t>。</w:t>
            </w:r>
          </w:p>
          <w:p>
            <w:pPr>
              <w:adjustRightInd w:val="0"/>
              <w:snapToGrid w:val="0"/>
              <w:spacing w:line="460" w:lineRule="exact"/>
              <w:ind w:firstLine="480" w:firstLineChars="200"/>
              <w:rPr>
                <w:bCs/>
                <w:color w:val="auto"/>
                <w:sz w:val="24"/>
              </w:rPr>
            </w:pPr>
            <w:r>
              <w:rPr>
                <w:rFonts w:hint="eastAsia"/>
                <w:bCs/>
                <w:color w:val="auto"/>
                <w:sz w:val="24"/>
              </w:rPr>
              <w:t>2、</w:t>
            </w:r>
            <w:r>
              <w:rPr>
                <w:bCs/>
                <w:color w:val="auto"/>
                <w:sz w:val="24"/>
              </w:rPr>
              <w:t>营运期</w:t>
            </w:r>
          </w:p>
          <w:p>
            <w:pPr>
              <w:adjustRightInd w:val="0"/>
              <w:snapToGrid w:val="0"/>
              <w:spacing w:line="460" w:lineRule="exact"/>
              <w:ind w:firstLine="480" w:firstLineChars="200"/>
              <w:textAlignment w:val="baseline"/>
              <w:rPr>
                <w:color w:val="auto"/>
                <w:sz w:val="24"/>
              </w:rPr>
            </w:pPr>
            <w:r>
              <w:rPr>
                <w:color w:val="auto"/>
                <w:sz w:val="24"/>
              </w:rPr>
              <w:t>本项目营运期主要污染物、产污环节及防治措施详见</w:t>
            </w:r>
            <w:r>
              <w:rPr>
                <w:rFonts w:hint="eastAsia"/>
                <w:color w:val="auto"/>
                <w:sz w:val="24"/>
              </w:rPr>
              <w:t>下表</w:t>
            </w:r>
            <w:r>
              <w:rPr>
                <w:color w:val="auto"/>
                <w:sz w:val="24"/>
              </w:rPr>
              <w:t>。</w:t>
            </w:r>
          </w:p>
          <w:p>
            <w:pPr>
              <w:pStyle w:val="9"/>
              <w:bidi w:val="0"/>
            </w:pPr>
            <w:r>
              <w:t>项目营运期产污环节一览表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846"/>
              <w:gridCol w:w="2330"/>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ascii="黑体" w:hAnsi="黑体" w:eastAsia="黑体" w:cs="黑体"/>
                      <w:color w:val="auto"/>
                      <w:szCs w:val="21"/>
                    </w:rPr>
                  </w:pPr>
                  <w:r>
                    <w:rPr>
                      <w:b/>
                      <w:color w:val="auto"/>
                      <w:sz w:val="21"/>
                      <w:szCs w:val="21"/>
                    </w:rPr>
                    <w:t>污染因素</w:t>
                  </w:r>
                </w:p>
              </w:tc>
              <w:tc>
                <w:tcPr>
                  <w:tcW w:w="1163" w:type="pct"/>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ascii="黑体" w:hAnsi="黑体" w:eastAsia="黑体" w:cs="黑体"/>
                      <w:color w:val="auto"/>
                      <w:szCs w:val="21"/>
                    </w:rPr>
                  </w:pPr>
                  <w:r>
                    <w:rPr>
                      <w:b/>
                      <w:color w:val="auto"/>
                      <w:sz w:val="21"/>
                      <w:szCs w:val="21"/>
                    </w:rPr>
                    <w:t>产污环节</w:t>
                  </w:r>
                </w:p>
              </w:tc>
              <w:tc>
                <w:tcPr>
                  <w:tcW w:w="1468" w:type="pct"/>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ascii="黑体" w:hAnsi="黑体" w:eastAsia="黑体" w:cs="黑体"/>
                      <w:color w:val="auto"/>
                      <w:szCs w:val="21"/>
                    </w:rPr>
                  </w:pPr>
                  <w:r>
                    <w:rPr>
                      <w:b/>
                      <w:color w:val="auto"/>
                      <w:sz w:val="21"/>
                      <w:szCs w:val="21"/>
                    </w:rPr>
                    <w:t>污染物</w:t>
                  </w:r>
                </w:p>
              </w:tc>
              <w:tc>
                <w:tcPr>
                  <w:tcW w:w="1629" w:type="pct"/>
                  <w:tcBorders>
                    <w:tl2br w:val="nil"/>
                    <w:tr2bl w:val="nil"/>
                  </w:tcBorders>
                  <w:vAlign w:val="center"/>
                </w:tcPr>
                <w:p>
                  <w:pPr>
                    <w:keepNext w:val="0"/>
                    <w:keepLines w:val="0"/>
                    <w:pageBreakBefore w:val="0"/>
                    <w:widowControl w:val="0"/>
                    <w:kinsoku/>
                    <w:wordWrap/>
                    <w:overflowPunct/>
                    <w:topLinePunct w:val="0"/>
                    <w:autoSpaceDE/>
                    <w:autoSpaceDN/>
                    <w:bidi w:val="0"/>
                    <w:jc w:val="center"/>
                    <w:textAlignment w:val="auto"/>
                    <w:rPr>
                      <w:rFonts w:eastAsia="黑体"/>
                      <w:color w:val="auto"/>
                      <w:szCs w:val="21"/>
                    </w:rPr>
                  </w:pPr>
                  <w:r>
                    <w:rPr>
                      <w:b/>
                      <w:color w:val="auto"/>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8" w:type="pct"/>
                  <w:vMerge w:val="restar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w:t>
                  </w:r>
                </w:p>
              </w:tc>
              <w:tc>
                <w:tcPr>
                  <w:tcW w:w="1163"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卸油、储油、加油</w:t>
                  </w:r>
                  <w:r>
                    <w:rPr>
                      <w:rFonts w:hint="eastAsia" w:ascii="Times New Roman" w:hAnsi="Times New Roman" w:eastAsia="宋体" w:cs="Times New Roman"/>
                      <w:color w:val="auto"/>
                      <w:szCs w:val="21"/>
                      <w:lang w:val="en-US" w:eastAsia="zh-CN"/>
                    </w:rPr>
                    <w:t>挥发废气</w:t>
                  </w:r>
                </w:p>
              </w:tc>
              <w:tc>
                <w:tcPr>
                  <w:tcW w:w="1468" w:type="pct"/>
                  <w:tcBorders>
                    <w:tl2br w:val="nil"/>
                    <w:tr2bl w:val="nil"/>
                  </w:tcBorders>
                  <w:vAlign w:val="center"/>
                </w:tcPr>
                <w:p>
                  <w:pPr>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非甲烷总烃</w:t>
                  </w:r>
                </w:p>
              </w:tc>
              <w:tc>
                <w:tcPr>
                  <w:tcW w:w="1629"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油气回收装置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8" w:type="pct"/>
                  <w:vMerge w:val="continue"/>
                  <w:tcBorders>
                    <w:tl2br w:val="nil"/>
                    <w:tr2bl w:val="nil"/>
                  </w:tcBorders>
                  <w:vAlign w:val="center"/>
                </w:tcPr>
                <w:p>
                  <w:pPr>
                    <w:contextualSpacing/>
                    <w:jc w:val="center"/>
                    <w:rPr>
                      <w:color w:val="auto"/>
                    </w:rPr>
                  </w:pPr>
                </w:p>
              </w:tc>
              <w:tc>
                <w:tcPr>
                  <w:tcW w:w="1163"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汽车尾气</w:t>
                  </w:r>
                </w:p>
              </w:tc>
              <w:tc>
                <w:tcPr>
                  <w:tcW w:w="1468"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CO、NOx、THC </w:t>
                  </w:r>
                </w:p>
              </w:tc>
              <w:tc>
                <w:tcPr>
                  <w:tcW w:w="1629"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加强进场管理，减少加油车辆怠速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8" w:type="pct"/>
                  <w:vMerge w:val="restar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噪声</w:t>
                  </w:r>
                </w:p>
              </w:tc>
              <w:tc>
                <w:tcPr>
                  <w:tcW w:w="1163"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设备</w:t>
                  </w:r>
                  <w:r>
                    <w:rPr>
                      <w:rFonts w:hint="eastAsia" w:ascii="Times New Roman" w:hAnsi="Times New Roman" w:eastAsia="宋体" w:cs="Times New Roman"/>
                      <w:color w:val="auto"/>
                      <w:szCs w:val="21"/>
                      <w:lang w:val="en-US" w:eastAsia="zh-CN"/>
                    </w:rPr>
                    <w:t>噪声</w:t>
                  </w:r>
                </w:p>
              </w:tc>
              <w:tc>
                <w:tcPr>
                  <w:tcW w:w="1468"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噪声</w:t>
                  </w:r>
                </w:p>
              </w:tc>
              <w:tc>
                <w:tcPr>
                  <w:tcW w:w="1629"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基础减振、距离衰减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8" w:type="pct"/>
                  <w:vMerge w:val="continue"/>
                  <w:tcBorders>
                    <w:tl2br w:val="nil"/>
                    <w:tr2bl w:val="nil"/>
                  </w:tcBorders>
                  <w:vAlign w:val="center"/>
                </w:tcPr>
                <w:p>
                  <w:pPr>
                    <w:contextualSpacing/>
                    <w:jc w:val="center"/>
                    <w:rPr>
                      <w:color w:val="auto"/>
                    </w:rPr>
                  </w:pPr>
                </w:p>
              </w:tc>
              <w:tc>
                <w:tcPr>
                  <w:tcW w:w="1163" w:type="pct"/>
                  <w:tcBorders>
                    <w:tl2br w:val="nil"/>
                    <w:tr2bl w:val="nil"/>
                  </w:tcBorders>
                  <w:vAlign w:val="center"/>
                </w:tcPr>
                <w:p>
                  <w:pPr>
                    <w:contextualSpacing/>
                    <w:jc w:val="center"/>
                    <w:rPr>
                      <w:rFonts w:hint="eastAsia" w:cs="Times New Roman"/>
                      <w:color w:val="auto"/>
                      <w:szCs w:val="21"/>
                      <w:lang w:val="en-US" w:eastAsia="zh-CN"/>
                    </w:rPr>
                  </w:pPr>
                  <w:r>
                    <w:rPr>
                      <w:rFonts w:hint="eastAsia" w:cs="Times New Roman"/>
                      <w:color w:val="auto"/>
                      <w:szCs w:val="21"/>
                      <w:lang w:val="en-US" w:eastAsia="zh-CN"/>
                    </w:rPr>
                    <w:t xml:space="preserve">加油汽车  </w:t>
                  </w:r>
                </w:p>
              </w:tc>
              <w:tc>
                <w:tcPr>
                  <w:tcW w:w="1468" w:type="pct"/>
                  <w:tcBorders>
                    <w:tl2br w:val="nil"/>
                    <w:tr2bl w:val="nil"/>
                  </w:tcBorders>
                  <w:vAlign w:val="center"/>
                </w:tcPr>
                <w:p>
                  <w:pPr>
                    <w:contextualSpacing/>
                    <w:jc w:val="center"/>
                    <w:rPr>
                      <w:rFonts w:hint="default" w:cs="Times New Roman"/>
                      <w:color w:val="auto"/>
                      <w:szCs w:val="21"/>
                      <w:lang w:val="en-US" w:eastAsia="zh-CN"/>
                    </w:rPr>
                  </w:pPr>
                  <w:r>
                    <w:rPr>
                      <w:rFonts w:hint="eastAsia" w:cs="Times New Roman"/>
                      <w:color w:val="auto"/>
                      <w:szCs w:val="21"/>
                      <w:lang w:val="en-US" w:eastAsia="zh-CN"/>
                    </w:rPr>
                    <w:t>汽车噪声</w:t>
                  </w:r>
                </w:p>
              </w:tc>
              <w:tc>
                <w:tcPr>
                  <w:tcW w:w="1629" w:type="pct"/>
                  <w:tcBorders>
                    <w:tl2br w:val="nil"/>
                    <w:tr2bl w:val="nil"/>
                  </w:tcBorders>
                  <w:vAlign w:val="center"/>
                </w:tcPr>
                <w:p>
                  <w:pPr>
                    <w:contextualSpacing/>
                    <w:jc w:val="center"/>
                    <w:rPr>
                      <w:rFonts w:hint="eastAsia" w:cs="Times New Roman"/>
                      <w:color w:val="auto"/>
                      <w:szCs w:val="21"/>
                      <w:lang w:val="en-US" w:eastAsia="zh-CN"/>
                    </w:rPr>
                  </w:pPr>
                  <w:r>
                    <w:rPr>
                      <w:rFonts w:hint="default"/>
                    </w:rPr>
                    <w:t>基础减震，车辆进、出站速度要放缓，且禁止鸣笛等措施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jc w:val="center"/>
              </w:trPr>
              <w:tc>
                <w:tcPr>
                  <w:tcW w:w="738" w:type="pct"/>
                  <w:vMerge w:val="restar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固废</w:t>
                  </w:r>
                </w:p>
              </w:tc>
              <w:tc>
                <w:tcPr>
                  <w:tcW w:w="1163" w:type="pct"/>
                  <w:vMerge w:val="restar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油罐定期清洗</w:t>
                  </w:r>
                </w:p>
              </w:tc>
              <w:tc>
                <w:tcPr>
                  <w:tcW w:w="1468" w:type="pc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清罐</w:t>
                  </w:r>
                  <w:r>
                    <w:rPr>
                      <w:rFonts w:hint="eastAsia" w:ascii="Times New Roman" w:hAnsi="Times New Roman" w:eastAsia="宋体" w:cs="Times New Roman"/>
                      <w:color w:val="auto"/>
                      <w:szCs w:val="21"/>
                      <w:lang w:val="en-US" w:eastAsia="zh-CN"/>
                    </w:rPr>
                    <w:t>油泥</w:t>
                  </w:r>
                </w:p>
              </w:tc>
              <w:tc>
                <w:tcPr>
                  <w:tcW w:w="1629" w:type="pct"/>
                  <w:vMerge w:val="restart"/>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委托有相应危废资质的单位进行处置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jc w:val="center"/>
              </w:trPr>
              <w:tc>
                <w:tcPr>
                  <w:tcW w:w="738" w:type="pct"/>
                  <w:vMerge w:val="continue"/>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p>
              </w:tc>
              <w:tc>
                <w:tcPr>
                  <w:tcW w:w="1163" w:type="pct"/>
                  <w:vMerge w:val="continue"/>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p>
              </w:tc>
              <w:tc>
                <w:tcPr>
                  <w:tcW w:w="1468" w:type="pct"/>
                  <w:tcBorders>
                    <w:tl2br w:val="nil"/>
                    <w:tr2bl w:val="nil"/>
                  </w:tcBorders>
                  <w:vAlign w:val="center"/>
                </w:tcPr>
                <w:p>
                  <w:pPr>
                    <w:contextualSpacing/>
                    <w:jc w:val="center"/>
                    <w:rPr>
                      <w:rFonts w:hint="default" w:cs="Times New Roman"/>
                      <w:color w:val="auto"/>
                      <w:szCs w:val="21"/>
                      <w:lang w:val="en-US" w:eastAsia="zh-CN"/>
                    </w:rPr>
                  </w:pPr>
                  <w:r>
                    <w:rPr>
                      <w:rFonts w:hint="eastAsia" w:cs="Times New Roman"/>
                      <w:color w:val="auto"/>
                      <w:szCs w:val="21"/>
                      <w:lang w:val="en-US" w:eastAsia="zh-CN"/>
                    </w:rPr>
                    <w:t>油水烃混合物</w:t>
                  </w:r>
                </w:p>
              </w:tc>
              <w:tc>
                <w:tcPr>
                  <w:tcW w:w="1629" w:type="pct"/>
                  <w:vMerge w:val="continue"/>
                  <w:tcBorders>
                    <w:tl2br w:val="nil"/>
                    <w:tr2bl w:val="nil"/>
                  </w:tcBorders>
                  <w:vAlign w:val="center"/>
                </w:tcPr>
                <w:p>
                  <w:pPr>
                    <w:contextualSpacing/>
                    <w:jc w:val="center"/>
                    <w:rPr>
                      <w:rFonts w:hint="eastAsia" w:ascii="Times New Roman" w:hAnsi="Times New Roman" w:eastAsia="宋体" w:cs="Times New Roman"/>
                      <w:color w:val="auto"/>
                      <w:szCs w:val="21"/>
                      <w:lang w:val="en-US" w:eastAsia="zh-CN"/>
                    </w:rPr>
                  </w:pPr>
                </w:p>
              </w:tc>
            </w:tr>
          </w:tbl>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bCs/>
                <w:color w:val="FF0000"/>
                <w:sz w:val="24"/>
                <w:szCs w:val="21"/>
                <w:lang w:eastAsia="zh-CN"/>
              </w:rPr>
            </w:pPr>
          </w:p>
          <w:p>
            <w:pPr>
              <w:adjustRightInd w:val="0"/>
              <w:snapToGrid w:val="0"/>
              <w:spacing w:line="460" w:lineRule="exact"/>
              <w:rPr>
                <w:rFonts w:hint="eastAsia" w:ascii="宋体" w:hAnsi="宋体" w:eastAsia="宋体"/>
                <w:bCs/>
                <w:color w:val="FF0000"/>
                <w:sz w:val="24"/>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3" w:hRule="atLeast"/>
          <w:jc w:val="center"/>
        </w:trPr>
        <w:tc>
          <w:tcPr>
            <w:tcW w:w="823" w:type="dxa"/>
            <w:vAlign w:val="center"/>
          </w:tcPr>
          <w:p>
            <w:pPr>
              <w:pStyle w:val="21"/>
              <w:adjustRightInd w:val="0"/>
              <w:snapToGrid w:val="0"/>
              <w:spacing w:before="0" w:beforeAutospacing="0" w:after="0" w:afterAutospacing="0"/>
              <w:jc w:val="center"/>
              <w:rPr>
                <w:rFonts w:cs="宋体"/>
                <w:color w:val="FF0000"/>
                <w:sz w:val="21"/>
                <w:szCs w:val="21"/>
                <w:lang w:val="en-US"/>
              </w:rPr>
            </w:pPr>
            <w:r>
              <w:rPr>
                <w:rFonts w:hint="eastAsia" w:cs="宋体"/>
                <w:bCs/>
                <w:color w:val="auto"/>
                <w:kern w:val="2"/>
                <w:sz w:val="21"/>
                <w:szCs w:val="21"/>
                <w:lang w:val="en-US"/>
              </w:rPr>
              <w:t>与项目有关的原有环境污染问题</w:t>
            </w:r>
          </w:p>
        </w:tc>
        <w:tc>
          <w:tcPr>
            <w:tcW w:w="8161" w:type="dxa"/>
            <w:vAlign w:val="top"/>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sz w:val="24"/>
                <w:szCs w:val="24"/>
                <w:lang w:val="en-US" w:eastAsia="zh-CN"/>
              </w:rPr>
            </w:pPr>
            <w:r>
              <w:rPr>
                <w:rFonts w:hint="eastAsia"/>
                <w:sz w:val="24"/>
                <w:szCs w:val="24"/>
                <w:lang w:eastAsia="zh-CN"/>
              </w:rPr>
              <w:t>新乡县七里营镇四达加油站成立于</w:t>
            </w:r>
            <w:r>
              <w:rPr>
                <w:rFonts w:hint="eastAsia"/>
                <w:sz w:val="24"/>
                <w:szCs w:val="24"/>
                <w:lang w:val="en-US" w:eastAsia="zh-CN"/>
              </w:rPr>
              <w:t>2000年1月，占地面积2080m</w:t>
            </w:r>
            <w:r>
              <w:rPr>
                <w:rFonts w:hint="eastAsia"/>
                <w:sz w:val="24"/>
                <w:szCs w:val="24"/>
                <w:vertAlign w:val="superscript"/>
                <w:lang w:val="en-US" w:eastAsia="zh-CN"/>
              </w:rPr>
              <w:t>2</w:t>
            </w:r>
            <w:r>
              <w:rPr>
                <w:rFonts w:hint="eastAsia"/>
                <w:sz w:val="24"/>
                <w:szCs w:val="24"/>
                <w:lang w:val="en-US" w:eastAsia="zh-CN"/>
              </w:rPr>
              <w:t>，位于新乡县七里营镇政府北300米。主要从事汽油、柴油销售。2016年8月，新乡市鸿源环保科技咨询有限公司编制完成了《</w:t>
            </w:r>
            <w:r>
              <w:rPr>
                <w:rFonts w:hint="eastAsia"/>
                <w:sz w:val="24"/>
                <w:szCs w:val="24"/>
                <w:lang w:eastAsia="zh-CN"/>
              </w:rPr>
              <w:t>新乡县七里营镇四达加油站加油站项目现状环境影响评估报告</w:t>
            </w:r>
            <w:r>
              <w:rPr>
                <w:rFonts w:hint="eastAsia"/>
                <w:sz w:val="24"/>
                <w:szCs w:val="24"/>
                <w:lang w:val="en-US" w:eastAsia="zh-CN"/>
              </w:rPr>
              <w:t>》，该项目于2016年10月10日通过新乡县环境保护局备案，备案号为“新环清备 第01号”，于2020年6月17日取得排污许可证，编号为91410721786232523U001X。现有项目年</w:t>
            </w:r>
            <w:r>
              <w:rPr>
                <w:rFonts w:hint="eastAsia"/>
                <w:sz w:val="24"/>
                <w:szCs w:val="24"/>
                <w:lang w:eastAsia="zh-CN"/>
              </w:rPr>
              <w:t>销售规模为汽油、柴油</w:t>
            </w:r>
            <w:r>
              <w:rPr>
                <w:rFonts w:hint="eastAsia"/>
                <w:sz w:val="24"/>
                <w:szCs w:val="24"/>
                <w:lang w:val="en-US" w:eastAsia="zh-CN"/>
              </w:rPr>
              <w:t>200t。</w:t>
            </w:r>
          </w:p>
          <w:p>
            <w:pPr>
              <w:keepNext w:val="0"/>
              <w:keepLines w:val="0"/>
              <w:pageBreakBefore w:val="0"/>
              <w:widowControl w:val="0"/>
              <w:numPr>
                <w:ilvl w:val="0"/>
                <w:numId w:val="5"/>
              </w:numPr>
              <w:kinsoku/>
              <w:wordWrap/>
              <w:overflowPunct/>
              <w:topLinePunct w:val="0"/>
              <w:autoSpaceDE/>
              <w:autoSpaceDN/>
              <w:bidi w:val="0"/>
              <w:spacing w:line="520" w:lineRule="exact"/>
              <w:ind w:firstLine="482" w:firstLineChars="200"/>
              <w:textAlignment w:val="auto"/>
              <w:rPr>
                <w:rFonts w:hint="default"/>
                <w:b/>
                <w:bCs/>
                <w:sz w:val="24"/>
                <w:szCs w:val="24"/>
                <w:lang w:val="en-US" w:eastAsia="zh-CN"/>
              </w:rPr>
            </w:pPr>
            <w:r>
              <w:rPr>
                <w:rFonts w:hint="default"/>
                <w:b/>
                <w:bCs/>
                <w:sz w:val="24"/>
                <w:szCs w:val="24"/>
                <w:lang w:val="en-US" w:eastAsia="zh-CN"/>
              </w:rPr>
              <w:t>现有工程概况</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default"/>
                <w:sz w:val="24"/>
                <w:szCs w:val="24"/>
                <w:lang w:val="en-US" w:eastAsia="zh-CN"/>
              </w:rPr>
            </w:pPr>
            <w:r>
              <w:rPr>
                <w:rFonts w:hint="default"/>
                <w:sz w:val="24"/>
                <w:szCs w:val="24"/>
                <w:lang w:val="en-US" w:eastAsia="zh-CN"/>
              </w:rPr>
              <w:t>现有工程基本情况如下</w:t>
            </w:r>
            <w:r>
              <w:rPr>
                <w:rFonts w:hint="eastAsia"/>
                <w:sz w:val="24"/>
                <w:szCs w:val="24"/>
                <w:lang w:val="en-US" w:eastAsia="zh-CN"/>
              </w:rPr>
              <w:t>。</w:t>
            </w:r>
          </w:p>
          <w:p>
            <w:pPr>
              <w:pStyle w:val="9"/>
              <w:bidi w:val="0"/>
              <w:rPr>
                <w:rFonts w:hint="default"/>
                <w:lang w:val="en-US" w:eastAsia="zh-CN"/>
              </w:rPr>
            </w:pPr>
            <w:r>
              <w:rPr>
                <w:rFonts w:hint="default"/>
                <w:lang w:eastAsia="zh-CN"/>
              </w:rPr>
              <w:t>现有工程基本情况</w:t>
            </w:r>
            <w:r>
              <w:rPr>
                <w:rFonts w:hint="default"/>
              </w:rPr>
              <w:t>一览表</w:t>
            </w:r>
          </w:p>
          <w:tbl>
            <w:tblPr>
              <w:tblStyle w:val="2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883"/>
              <w:gridCol w:w="5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8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序号</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项目</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1</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建设单位</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新乡县七里营镇四达加油站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2</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项目地址</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新乡县七里营镇政府北300米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3</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工程规模</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年售汽油</w:t>
                  </w:r>
                  <w:r>
                    <w:rPr>
                      <w:rFonts w:hint="eastAsia" w:ascii="Times New Roman" w:hAnsi="Times New Roman" w:eastAsia="宋体" w:cs="Times New Roman"/>
                      <w:b w:val="0"/>
                      <w:kern w:val="2"/>
                      <w:sz w:val="21"/>
                      <w:szCs w:val="24"/>
                      <w:lang w:val="en-US" w:eastAsia="zh-CN" w:bidi="ar-SA"/>
                    </w:rPr>
                    <w:t>160</w:t>
                  </w:r>
                  <w:r>
                    <w:rPr>
                      <w:rFonts w:hint="default" w:ascii="Times New Roman" w:hAnsi="Times New Roman" w:eastAsia="宋体" w:cs="Times New Roman"/>
                      <w:b w:val="0"/>
                      <w:kern w:val="2"/>
                      <w:sz w:val="21"/>
                      <w:szCs w:val="24"/>
                      <w:lang w:val="en-US" w:eastAsia="zh-CN" w:bidi="ar-SA"/>
                    </w:rPr>
                    <w:t>t、柴油</w:t>
                  </w:r>
                  <w:r>
                    <w:rPr>
                      <w:rFonts w:hint="eastAsia" w:ascii="Times New Roman" w:hAnsi="Times New Roman" w:eastAsia="宋体" w:cs="Times New Roman"/>
                      <w:b w:val="0"/>
                      <w:kern w:val="2"/>
                      <w:sz w:val="21"/>
                      <w:szCs w:val="24"/>
                      <w:lang w:val="en-US" w:eastAsia="zh-CN" w:bidi="ar-SA"/>
                    </w:rPr>
                    <w:t>4</w:t>
                  </w:r>
                  <w:r>
                    <w:rPr>
                      <w:rFonts w:hint="default" w:ascii="Times New Roman" w:hAnsi="Times New Roman" w:eastAsia="宋体" w:cs="Times New Roman"/>
                      <w:b w:val="0"/>
                      <w:kern w:val="2"/>
                      <w:sz w:val="21"/>
                      <w:szCs w:val="24"/>
                      <w:lang w:val="en-US" w:eastAsia="zh-CN" w:bidi="ar-SA"/>
                    </w:rPr>
                    <w:t>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4</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劳动定员</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eastAsia" w:ascii="Times New Roman" w:hAnsi="Times New Roman" w:eastAsia="宋体" w:cs="Times New Roman"/>
                      <w:b w:val="0"/>
                      <w:kern w:val="2"/>
                      <w:sz w:val="21"/>
                      <w:szCs w:val="24"/>
                      <w:lang w:val="en-US" w:eastAsia="zh-CN" w:bidi="ar-SA"/>
                    </w:rPr>
                    <w:t>7</w:t>
                  </w:r>
                  <w:r>
                    <w:rPr>
                      <w:rFonts w:hint="default" w:ascii="Times New Roman" w:hAnsi="Times New Roman" w:eastAsia="宋体" w:cs="Times New Roman"/>
                      <w:b w:val="0"/>
                      <w:kern w:val="2"/>
                      <w:sz w:val="21"/>
                      <w:szCs w:val="24"/>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5</w:t>
                  </w:r>
                </w:p>
              </w:tc>
              <w:tc>
                <w:tcPr>
                  <w:tcW w:w="2014"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工作制度</w:t>
                  </w:r>
                </w:p>
              </w:tc>
              <w:tc>
                <w:tcPr>
                  <w:tcW w:w="5812" w:type="dxa"/>
                  <w:noWrap w:val="0"/>
                  <w:vAlign w:val="center"/>
                </w:tcPr>
                <w:p>
                  <w:pPr>
                    <w:pStyle w:val="4"/>
                    <w:numPr>
                      <w:ilvl w:val="1"/>
                      <w:numId w:val="0"/>
                    </w:numPr>
                    <w:adjustRightInd w:val="0"/>
                    <w:snapToGrid w:val="0"/>
                    <w:spacing w:before="0" w:after="0" w:line="260" w:lineRule="exact"/>
                    <w:ind w:leftChars="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eastAsia="宋体" w:cs="Times New Roman"/>
                      <w:b w:val="0"/>
                      <w:kern w:val="2"/>
                      <w:sz w:val="21"/>
                      <w:szCs w:val="24"/>
                      <w:lang w:val="en-US" w:eastAsia="zh-CN" w:bidi="ar-SA"/>
                    </w:rPr>
                    <w:t>三班，</w:t>
                  </w:r>
                  <w:r>
                    <w:rPr>
                      <w:rFonts w:hint="eastAsia" w:ascii="Times New Roman" w:hAnsi="Times New Roman" w:eastAsia="宋体" w:cs="Times New Roman"/>
                      <w:b w:val="0"/>
                      <w:kern w:val="2"/>
                      <w:sz w:val="21"/>
                      <w:szCs w:val="24"/>
                      <w:lang w:val="en-US" w:eastAsia="zh-CN" w:bidi="ar-SA"/>
                    </w:rPr>
                    <w:t>每班</w:t>
                  </w:r>
                  <w:r>
                    <w:rPr>
                      <w:rFonts w:hint="default" w:ascii="Times New Roman" w:hAnsi="Times New Roman" w:eastAsia="宋体" w:cs="Times New Roman"/>
                      <w:b w:val="0"/>
                      <w:kern w:val="2"/>
                      <w:sz w:val="21"/>
                      <w:szCs w:val="24"/>
                      <w:lang w:val="en-US" w:eastAsia="zh-CN" w:bidi="ar-SA"/>
                    </w:rPr>
                    <w:t>8小时，年工作36</w:t>
                  </w:r>
                  <w:r>
                    <w:rPr>
                      <w:rFonts w:hint="eastAsia" w:ascii="Times New Roman" w:hAnsi="Times New Roman" w:eastAsia="宋体" w:cs="Times New Roman"/>
                      <w:b w:val="0"/>
                      <w:kern w:val="2"/>
                      <w:sz w:val="21"/>
                      <w:szCs w:val="24"/>
                      <w:lang w:val="en-US" w:eastAsia="zh-CN" w:bidi="ar-SA"/>
                    </w:rPr>
                    <w:t>5</w:t>
                  </w:r>
                  <w:r>
                    <w:rPr>
                      <w:rFonts w:hint="default" w:ascii="Times New Roman" w:hAnsi="Times New Roman" w:eastAsia="宋体" w:cs="Times New Roman"/>
                      <w:b w:val="0"/>
                      <w:kern w:val="2"/>
                      <w:sz w:val="21"/>
                      <w:szCs w:val="24"/>
                      <w:lang w:val="en-US" w:eastAsia="zh-CN" w:bidi="ar-SA"/>
                    </w:rPr>
                    <w:t>天</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b/>
                <w:bCs/>
                <w:sz w:val="24"/>
                <w:szCs w:val="24"/>
                <w:lang w:val="en-US" w:eastAsia="zh-CN"/>
              </w:rPr>
            </w:pPr>
            <w:r>
              <w:rPr>
                <w:rFonts w:hint="default"/>
                <w:b/>
                <w:bCs/>
                <w:sz w:val="24"/>
                <w:szCs w:val="24"/>
                <w:lang w:val="en-US" w:eastAsia="zh-CN"/>
              </w:rPr>
              <w:t>2、现有工程建设内容</w:t>
            </w:r>
          </w:p>
          <w:p>
            <w:pPr>
              <w:pStyle w:val="9"/>
              <w:bidi w:val="0"/>
              <w:rPr>
                <w:rFonts w:hint="default"/>
              </w:rPr>
            </w:pPr>
            <w:r>
              <w:rPr>
                <w:rFonts w:hint="default"/>
                <w:lang w:eastAsia="zh-CN"/>
              </w:rPr>
              <w:t>现有工程</w:t>
            </w:r>
            <w:r>
              <w:rPr>
                <w:rFonts w:hint="default"/>
              </w:rPr>
              <w:t>建设内容一览表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686"/>
              <w:gridCol w:w="4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noWrap w:val="0"/>
                  <w:vAlign w:val="center"/>
                </w:tcPr>
                <w:p>
                  <w:pPr>
                    <w:adjustRightInd w:val="0"/>
                    <w:snapToGrid w:val="0"/>
                    <w:jc w:val="center"/>
                    <w:rPr>
                      <w:rFonts w:hint="default"/>
                    </w:rPr>
                  </w:pPr>
                  <w:r>
                    <w:rPr>
                      <w:rFonts w:hint="default"/>
                    </w:rPr>
                    <w:t>工程类别</w:t>
                  </w:r>
                </w:p>
              </w:tc>
              <w:tc>
                <w:tcPr>
                  <w:tcW w:w="1062" w:type="pct"/>
                  <w:noWrap w:val="0"/>
                  <w:vAlign w:val="center"/>
                </w:tcPr>
                <w:p>
                  <w:pPr>
                    <w:adjustRightInd w:val="0"/>
                    <w:snapToGrid w:val="0"/>
                    <w:jc w:val="center"/>
                    <w:rPr>
                      <w:rFonts w:hint="eastAsia"/>
                      <w:lang w:eastAsia="zh-CN"/>
                    </w:rPr>
                  </w:pPr>
                  <w:r>
                    <w:rPr>
                      <w:rFonts w:hint="eastAsia"/>
                      <w:lang w:eastAsia="zh-CN"/>
                    </w:rPr>
                    <w:t>名称</w:t>
                  </w:r>
                </w:p>
              </w:tc>
              <w:tc>
                <w:tcPr>
                  <w:tcW w:w="2912" w:type="pct"/>
                  <w:noWrap w:val="0"/>
                  <w:vAlign w:val="center"/>
                </w:tcPr>
                <w:p>
                  <w:pPr>
                    <w:adjustRightInd w:val="0"/>
                    <w:snapToGrid w:val="0"/>
                    <w:jc w:val="center"/>
                    <w:rPr>
                      <w:rFonts w:hint="eastAsia"/>
                      <w:lang w:eastAsia="zh-CN"/>
                    </w:rPr>
                  </w:pPr>
                  <w:r>
                    <w:rPr>
                      <w:rFonts w:hint="eastAsia"/>
                      <w:lang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restart"/>
                  <w:noWrap w:val="0"/>
                  <w:vAlign w:val="center"/>
                </w:tcPr>
                <w:p>
                  <w:pPr>
                    <w:adjustRightInd w:val="0"/>
                    <w:snapToGrid w:val="0"/>
                    <w:jc w:val="center"/>
                    <w:rPr>
                      <w:rFonts w:hint="default"/>
                    </w:rPr>
                  </w:pPr>
                  <w:r>
                    <w:rPr>
                      <w:rFonts w:hint="default"/>
                    </w:rPr>
                    <w:t>主体工程</w:t>
                  </w:r>
                </w:p>
              </w:tc>
              <w:tc>
                <w:tcPr>
                  <w:tcW w:w="1062" w:type="pct"/>
                  <w:noWrap w:val="0"/>
                  <w:vAlign w:val="center"/>
                </w:tcPr>
                <w:p>
                  <w:pPr>
                    <w:adjustRightInd w:val="0"/>
                    <w:snapToGrid w:val="0"/>
                    <w:jc w:val="center"/>
                    <w:rPr>
                      <w:rFonts w:hint="default"/>
                      <w:lang w:eastAsia="zh-CN"/>
                    </w:rPr>
                  </w:pPr>
                  <w:r>
                    <w:rPr>
                      <w:rFonts w:hint="default"/>
                      <w:lang w:eastAsia="zh-CN"/>
                    </w:rPr>
                    <w:t>加油站房</w:t>
                  </w:r>
                </w:p>
              </w:tc>
              <w:tc>
                <w:tcPr>
                  <w:tcW w:w="2912" w:type="pct"/>
                  <w:noWrap w:val="0"/>
                  <w:vAlign w:val="center"/>
                </w:tcPr>
                <w:p>
                  <w:pPr>
                    <w:adjustRightInd w:val="0"/>
                    <w:snapToGrid w:val="0"/>
                    <w:jc w:val="center"/>
                    <w:rPr>
                      <w:rFonts w:hint="default"/>
                    </w:rPr>
                  </w:pPr>
                  <w:r>
                    <w:rPr>
                      <w:rFonts w:hint="default"/>
                      <w:lang w:eastAsia="zh-CN"/>
                    </w:rPr>
                    <w:t>砖混结构，</w:t>
                  </w:r>
                  <w:r>
                    <w:rPr>
                      <w:rFonts w:hint="default"/>
                    </w:rPr>
                    <w:t>一座，</w:t>
                  </w:r>
                  <w:r>
                    <w:rPr>
                      <w:rFonts w:hint="default"/>
                      <w:lang w:eastAsia="zh-CN"/>
                    </w:rPr>
                    <w:t>建筑</w:t>
                  </w:r>
                  <w:r>
                    <w:rPr>
                      <w:rFonts w:hint="default"/>
                    </w:rPr>
                    <w:t>面积</w:t>
                  </w:r>
                  <w:r>
                    <w:rPr>
                      <w:rFonts w:hint="eastAsia"/>
                      <w:lang w:val="en-US" w:eastAsia="zh-CN"/>
                    </w:rPr>
                    <w:t>200</w:t>
                  </w:r>
                  <w:r>
                    <w:rPr>
                      <w:rFonts w:hint="default"/>
                    </w:rPr>
                    <w:t>m</w:t>
                  </w:r>
                  <w:r>
                    <w:rPr>
                      <w:rFonts w:hint="default"/>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lang w:eastAsia="zh-CN"/>
                    </w:rPr>
                  </w:pPr>
                  <w:r>
                    <w:rPr>
                      <w:rFonts w:hint="default"/>
                      <w:lang w:eastAsia="zh-CN"/>
                    </w:rPr>
                    <w:t>加油罩棚</w:t>
                  </w:r>
                </w:p>
              </w:tc>
              <w:tc>
                <w:tcPr>
                  <w:tcW w:w="2912" w:type="pct"/>
                  <w:noWrap w:val="0"/>
                  <w:vAlign w:val="center"/>
                </w:tcPr>
                <w:p>
                  <w:pPr>
                    <w:adjustRightInd w:val="0"/>
                    <w:snapToGrid w:val="0"/>
                    <w:jc w:val="center"/>
                    <w:rPr>
                      <w:rFonts w:hint="default"/>
                    </w:rPr>
                  </w:pPr>
                  <w:r>
                    <w:rPr>
                      <w:rFonts w:hint="default"/>
                      <w:lang w:eastAsia="zh-CN"/>
                    </w:rPr>
                    <w:t>钢结构，</w:t>
                  </w:r>
                  <w:r>
                    <w:rPr>
                      <w:rFonts w:hint="default"/>
                    </w:rPr>
                    <w:t>一座，</w:t>
                  </w:r>
                  <w:r>
                    <w:rPr>
                      <w:rFonts w:hint="eastAsia"/>
                      <w:lang w:eastAsia="zh-CN"/>
                    </w:rPr>
                    <w:t>罩棚</w:t>
                  </w:r>
                  <w:r>
                    <w:rPr>
                      <w:rFonts w:hint="default"/>
                    </w:rPr>
                    <w:t>面积</w:t>
                  </w:r>
                  <w:r>
                    <w:rPr>
                      <w:rFonts w:hint="eastAsia"/>
                      <w:lang w:val="en-US" w:eastAsia="zh-CN"/>
                    </w:rPr>
                    <w:t>50</w:t>
                  </w:r>
                  <w:r>
                    <w:rPr>
                      <w:rFonts w:hint="default"/>
                    </w:rPr>
                    <w:t>m</w:t>
                  </w:r>
                  <w:r>
                    <w:rPr>
                      <w:rFonts w:hint="default"/>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lang w:eastAsia="zh-CN"/>
                    </w:rPr>
                  </w:pPr>
                  <w:r>
                    <w:rPr>
                      <w:rFonts w:hint="default"/>
                      <w:lang w:eastAsia="zh-CN"/>
                    </w:rPr>
                    <w:t>加油机</w:t>
                  </w:r>
                </w:p>
              </w:tc>
              <w:tc>
                <w:tcPr>
                  <w:tcW w:w="2912" w:type="pct"/>
                  <w:noWrap w:val="0"/>
                  <w:vAlign w:val="center"/>
                </w:tcPr>
                <w:p>
                  <w:pPr>
                    <w:adjustRightInd w:val="0"/>
                    <w:snapToGrid w:val="0"/>
                    <w:jc w:val="center"/>
                    <w:rPr>
                      <w:rFonts w:hint="default"/>
                      <w:lang w:val="en-US"/>
                    </w:rPr>
                  </w:pPr>
                  <w:r>
                    <w:rPr>
                      <w:rFonts w:hint="eastAsia"/>
                      <w:lang w:val="en-US" w:eastAsia="zh-CN"/>
                    </w:rPr>
                    <w:t>2台加油机（1台单枪，1台双枪）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24" w:type="pct"/>
                  <w:vMerge w:val="continue"/>
                  <w:noWrap w:val="0"/>
                  <w:vAlign w:val="center"/>
                </w:tcPr>
                <w:p>
                  <w:pPr>
                    <w:adjustRightInd w:val="0"/>
                    <w:snapToGrid w:val="0"/>
                    <w:jc w:val="center"/>
                    <w:rPr>
                      <w:rFonts w:hint="default"/>
                    </w:rPr>
                  </w:pPr>
                </w:p>
              </w:tc>
              <w:tc>
                <w:tcPr>
                  <w:tcW w:w="1062" w:type="pct"/>
                  <w:vMerge w:val="restart"/>
                  <w:noWrap w:val="0"/>
                  <w:vAlign w:val="center"/>
                </w:tcPr>
                <w:p>
                  <w:pPr>
                    <w:adjustRightInd w:val="0"/>
                    <w:snapToGrid w:val="0"/>
                    <w:jc w:val="center"/>
                    <w:rPr>
                      <w:rFonts w:hint="default"/>
                      <w:lang w:eastAsia="zh-CN"/>
                    </w:rPr>
                  </w:pPr>
                  <w:r>
                    <w:rPr>
                      <w:rFonts w:hint="default"/>
                      <w:lang w:eastAsia="zh-CN"/>
                    </w:rPr>
                    <w:t>埋地油库</w:t>
                  </w:r>
                </w:p>
              </w:tc>
              <w:tc>
                <w:tcPr>
                  <w:tcW w:w="2912" w:type="pct"/>
                  <w:noWrap w:val="0"/>
                  <w:vAlign w:val="center"/>
                </w:tcPr>
                <w:p>
                  <w:pPr>
                    <w:adjustRightInd w:val="0"/>
                    <w:snapToGrid w:val="0"/>
                    <w:jc w:val="center"/>
                    <w:rPr>
                      <w:rFonts w:hint="default"/>
                      <w:lang w:val="en-US" w:eastAsia="zh-CN"/>
                    </w:rPr>
                  </w:pPr>
                  <w:r>
                    <w:rPr>
                      <w:rFonts w:hint="default"/>
                      <w:lang w:val="en-US" w:eastAsia="zh-CN"/>
                    </w:rPr>
                    <w:t>2个</w:t>
                  </w:r>
                  <w:r>
                    <w:rPr>
                      <w:rFonts w:hint="eastAsia"/>
                      <w:lang w:val="en-US" w:eastAsia="zh-CN"/>
                    </w:rPr>
                    <w:t>2</w:t>
                  </w:r>
                  <w:r>
                    <w:rPr>
                      <w:rFonts w:hint="default"/>
                      <w:lang w:val="en-US" w:eastAsia="zh-CN"/>
                    </w:rPr>
                    <w:t>0</w:t>
                  </w:r>
                  <w:r>
                    <w:rPr>
                      <w:rFonts w:hint="eastAsia"/>
                      <w:lang w:val="en-US" w:eastAsia="zh-CN"/>
                    </w:rPr>
                    <w:t>m</w:t>
                  </w:r>
                  <w:r>
                    <w:rPr>
                      <w:rFonts w:hint="eastAsia"/>
                      <w:vertAlign w:val="superscript"/>
                      <w:lang w:val="en-US" w:eastAsia="zh-CN"/>
                    </w:rPr>
                    <w:t>3</w:t>
                  </w:r>
                  <w:r>
                    <w:rPr>
                      <w:rFonts w:hint="default"/>
                      <w:lang w:val="en-US" w:eastAsia="zh-CN"/>
                    </w:rPr>
                    <w:t>汽油油罐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24" w:type="pct"/>
                  <w:vMerge w:val="continue"/>
                  <w:noWrap w:val="0"/>
                  <w:vAlign w:val="center"/>
                </w:tcPr>
                <w:p>
                  <w:pPr>
                    <w:adjustRightInd w:val="0"/>
                    <w:snapToGrid w:val="0"/>
                    <w:jc w:val="center"/>
                  </w:pPr>
                </w:p>
              </w:tc>
              <w:tc>
                <w:tcPr>
                  <w:tcW w:w="1062" w:type="pct"/>
                  <w:vMerge w:val="continue"/>
                  <w:noWrap w:val="0"/>
                  <w:vAlign w:val="center"/>
                </w:tcPr>
                <w:p>
                  <w:pPr>
                    <w:adjustRightInd w:val="0"/>
                    <w:snapToGrid w:val="0"/>
                    <w:jc w:val="center"/>
                  </w:pPr>
                </w:p>
              </w:tc>
              <w:tc>
                <w:tcPr>
                  <w:tcW w:w="2912" w:type="pct"/>
                  <w:noWrap w:val="0"/>
                  <w:vAlign w:val="center"/>
                </w:tcPr>
                <w:p>
                  <w:pPr>
                    <w:adjustRightInd w:val="0"/>
                    <w:snapToGrid w:val="0"/>
                    <w:jc w:val="center"/>
                    <w:rPr>
                      <w:rFonts w:hint="default"/>
                      <w:lang w:val="en-US" w:eastAsia="zh-CN"/>
                    </w:rPr>
                  </w:pPr>
                  <w:r>
                    <w:rPr>
                      <w:rFonts w:hint="eastAsia"/>
                      <w:lang w:val="en-US" w:eastAsia="zh-CN"/>
                    </w:rPr>
                    <w:t>1个30m</w:t>
                  </w:r>
                  <w:r>
                    <w:rPr>
                      <w:rFonts w:hint="eastAsia"/>
                      <w:vertAlign w:val="superscript"/>
                      <w:lang w:val="en-US" w:eastAsia="zh-CN"/>
                    </w:rPr>
                    <w:t>3</w:t>
                  </w:r>
                  <w:r>
                    <w:rPr>
                      <w:rFonts w:hint="default"/>
                      <w:lang w:val="en-US" w:eastAsia="zh-CN"/>
                    </w:rPr>
                    <w:t>的</w:t>
                  </w:r>
                  <w:r>
                    <w:rPr>
                      <w:rFonts w:hint="eastAsia"/>
                      <w:lang w:val="en-US" w:eastAsia="zh-CN"/>
                    </w:rPr>
                    <w:t>柴油</w:t>
                  </w:r>
                  <w:r>
                    <w:rPr>
                      <w:rFonts w:hint="default"/>
                      <w:lang w:val="en-US" w:eastAsia="zh-CN"/>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restart"/>
                  <w:noWrap w:val="0"/>
                  <w:vAlign w:val="center"/>
                </w:tcPr>
                <w:p>
                  <w:pPr>
                    <w:adjustRightInd w:val="0"/>
                    <w:snapToGrid w:val="0"/>
                    <w:jc w:val="center"/>
                    <w:rPr>
                      <w:rFonts w:hint="default"/>
                    </w:rPr>
                  </w:pPr>
                  <w:r>
                    <w:rPr>
                      <w:rFonts w:hint="default"/>
                    </w:rPr>
                    <w:t>公用工程</w:t>
                  </w:r>
                </w:p>
              </w:tc>
              <w:tc>
                <w:tcPr>
                  <w:tcW w:w="1062" w:type="pct"/>
                  <w:noWrap w:val="0"/>
                  <w:vAlign w:val="center"/>
                </w:tcPr>
                <w:p>
                  <w:pPr>
                    <w:adjustRightInd w:val="0"/>
                    <w:snapToGrid w:val="0"/>
                    <w:jc w:val="center"/>
                    <w:rPr>
                      <w:rFonts w:hint="default"/>
                    </w:rPr>
                  </w:pPr>
                  <w:r>
                    <w:rPr>
                      <w:rFonts w:hint="default"/>
                    </w:rPr>
                    <w:t>给水</w:t>
                  </w:r>
                </w:p>
              </w:tc>
              <w:tc>
                <w:tcPr>
                  <w:tcW w:w="2912" w:type="pct"/>
                  <w:noWrap w:val="0"/>
                  <w:vAlign w:val="center"/>
                </w:tcPr>
                <w:p>
                  <w:pPr>
                    <w:adjustRightInd w:val="0"/>
                    <w:snapToGrid w:val="0"/>
                    <w:jc w:val="center"/>
                    <w:rPr>
                      <w:rFonts w:hint="default"/>
                      <w:lang w:eastAsia="zh-CN"/>
                    </w:rPr>
                  </w:pPr>
                  <w:r>
                    <w:rPr>
                      <w:rFonts w:hint="eastAsia"/>
                      <w:lang w:eastAsia="zh-CN"/>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rPr>
                  </w:pPr>
                  <w:r>
                    <w:rPr>
                      <w:rFonts w:hint="default"/>
                    </w:rPr>
                    <w:t>排水</w:t>
                  </w:r>
                </w:p>
              </w:tc>
              <w:tc>
                <w:tcPr>
                  <w:tcW w:w="2912" w:type="pct"/>
                  <w:noWrap w:val="0"/>
                  <w:vAlign w:val="center"/>
                </w:tcPr>
                <w:p>
                  <w:pPr>
                    <w:jc w:val="center"/>
                    <w:rPr>
                      <w:rFonts w:hint="default"/>
                      <w:lang w:eastAsia="zh-CN"/>
                    </w:rPr>
                  </w:pPr>
                  <w:r>
                    <w:rPr>
                      <w:rFonts w:hint="default"/>
                    </w:rPr>
                    <w:t>生活污水依托</w:t>
                  </w:r>
                  <w:r>
                    <w:rPr>
                      <w:rFonts w:hint="default"/>
                      <w:lang w:val="en-US" w:eastAsia="zh-CN"/>
                    </w:rPr>
                    <w:t>化粪池处理后定期清运，不外排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rPr>
                  </w:pPr>
                  <w:r>
                    <w:rPr>
                      <w:rFonts w:hint="default"/>
                    </w:rPr>
                    <w:t>供电</w:t>
                  </w:r>
                </w:p>
              </w:tc>
              <w:tc>
                <w:tcPr>
                  <w:tcW w:w="2912" w:type="pct"/>
                  <w:noWrap w:val="0"/>
                  <w:vAlign w:val="center"/>
                </w:tcPr>
                <w:p>
                  <w:pPr>
                    <w:adjustRightInd w:val="0"/>
                    <w:snapToGrid w:val="0"/>
                    <w:jc w:val="center"/>
                    <w:rPr>
                      <w:rFonts w:hint="default"/>
                      <w:lang w:eastAsia="zh-CN"/>
                    </w:rPr>
                  </w:pPr>
                  <w:r>
                    <w:rPr>
                      <w:rFonts w:hint="default"/>
                      <w:lang w:eastAsia="zh-CN"/>
                    </w:rPr>
                    <w:t>当地供电系统供给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restart"/>
                  <w:noWrap w:val="0"/>
                  <w:vAlign w:val="center"/>
                </w:tcPr>
                <w:p>
                  <w:pPr>
                    <w:adjustRightInd w:val="0"/>
                    <w:snapToGrid w:val="0"/>
                    <w:jc w:val="center"/>
                    <w:rPr>
                      <w:rFonts w:hint="default"/>
                    </w:rPr>
                  </w:pPr>
                  <w:r>
                    <w:rPr>
                      <w:rFonts w:hint="default"/>
                    </w:rPr>
                    <w:t>环保工程</w:t>
                  </w:r>
                </w:p>
              </w:tc>
              <w:tc>
                <w:tcPr>
                  <w:tcW w:w="1062" w:type="pct"/>
                  <w:noWrap w:val="0"/>
                  <w:vAlign w:val="center"/>
                </w:tcPr>
                <w:p>
                  <w:pPr>
                    <w:adjustRightInd w:val="0"/>
                    <w:snapToGrid w:val="0"/>
                    <w:jc w:val="center"/>
                    <w:rPr>
                      <w:rFonts w:hint="default"/>
                    </w:rPr>
                  </w:pPr>
                  <w:r>
                    <w:rPr>
                      <w:rFonts w:hint="default"/>
                    </w:rPr>
                    <w:t>废气</w:t>
                  </w:r>
                </w:p>
              </w:tc>
              <w:tc>
                <w:tcPr>
                  <w:tcW w:w="2912" w:type="pct"/>
                  <w:noWrap w:val="0"/>
                  <w:vAlign w:val="center"/>
                </w:tcPr>
                <w:p>
                  <w:pPr>
                    <w:adjustRightInd w:val="0"/>
                    <w:snapToGrid w:val="0"/>
                    <w:jc w:val="center"/>
                    <w:rPr>
                      <w:rFonts w:hint="default"/>
                      <w:lang w:val="en-US" w:eastAsia="zh-CN"/>
                    </w:rPr>
                  </w:pPr>
                  <w:r>
                    <w:rPr>
                      <w:rFonts w:hint="default"/>
                      <w:lang w:eastAsia="zh-CN"/>
                    </w:rPr>
                    <w:t>油气回收系统处理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rPr>
                  </w:pPr>
                  <w:r>
                    <w:rPr>
                      <w:rFonts w:hint="default"/>
                    </w:rPr>
                    <w:t>废水</w:t>
                  </w:r>
                </w:p>
              </w:tc>
              <w:tc>
                <w:tcPr>
                  <w:tcW w:w="2912" w:type="pct"/>
                  <w:noWrap w:val="0"/>
                  <w:vAlign w:val="center"/>
                </w:tcPr>
                <w:p>
                  <w:pPr>
                    <w:adjustRightInd w:val="0"/>
                    <w:snapToGrid w:val="0"/>
                    <w:jc w:val="center"/>
                    <w:rPr>
                      <w:rFonts w:hint="default"/>
                      <w:lang w:eastAsia="zh-CN"/>
                    </w:rPr>
                  </w:pPr>
                  <w:r>
                    <w:rPr>
                      <w:rFonts w:hint="default"/>
                    </w:rPr>
                    <w:t>生活污水</w:t>
                  </w:r>
                  <w:r>
                    <w:rPr>
                      <w:rFonts w:hint="default"/>
                      <w:lang w:eastAsia="zh-CN"/>
                    </w:rPr>
                    <w:t>经</w:t>
                  </w:r>
                  <w:r>
                    <w:rPr>
                      <w:rFonts w:hint="default"/>
                    </w:rPr>
                    <w:t>化粪池进行处理</w:t>
                  </w:r>
                  <w:r>
                    <w:rPr>
                      <w:rFonts w:hint="default"/>
                      <w:lang w:eastAsia="zh-CN"/>
                    </w:rPr>
                    <w:t>后</w:t>
                  </w:r>
                  <w:r>
                    <w:rPr>
                      <w:rFonts w:hint="eastAsia"/>
                      <w:lang w:eastAsia="zh-CN"/>
                    </w:rPr>
                    <w:t>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rPr>
                  </w:pPr>
                  <w:r>
                    <w:rPr>
                      <w:rFonts w:hint="default"/>
                    </w:rPr>
                    <w:t>噪声</w:t>
                  </w:r>
                </w:p>
              </w:tc>
              <w:tc>
                <w:tcPr>
                  <w:tcW w:w="2912" w:type="pct"/>
                  <w:noWrap w:val="0"/>
                  <w:vAlign w:val="center"/>
                </w:tcPr>
                <w:p>
                  <w:pPr>
                    <w:adjustRightInd w:val="0"/>
                    <w:snapToGrid w:val="0"/>
                    <w:jc w:val="center"/>
                    <w:rPr>
                      <w:rFonts w:hint="default"/>
                    </w:rPr>
                  </w:pPr>
                  <w:r>
                    <w:rPr>
                      <w:rFonts w:hint="default"/>
                    </w:rPr>
                    <w:t>基础减震，车辆进、出站速度要放缓，且禁止鸣笛等措施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vMerge w:val="continue"/>
                  <w:noWrap w:val="0"/>
                  <w:vAlign w:val="center"/>
                </w:tcPr>
                <w:p>
                  <w:pPr>
                    <w:adjustRightInd w:val="0"/>
                    <w:snapToGrid w:val="0"/>
                    <w:jc w:val="center"/>
                    <w:rPr>
                      <w:rFonts w:hint="default"/>
                    </w:rPr>
                  </w:pPr>
                </w:p>
              </w:tc>
              <w:tc>
                <w:tcPr>
                  <w:tcW w:w="1062" w:type="pct"/>
                  <w:noWrap w:val="0"/>
                  <w:vAlign w:val="center"/>
                </w:tcPr>
                <w:p>
                  <w:pPr>
                    <w:adjustRightInd w:val="0"/>
                    <w:snapToGrid w:val="0"/>
                    <w:jc w:val="center"/>
                    <w:rPr>
                      <w:rFonts w:hint="default"/>
                    </w:rPr>
                  </w:pPr>
                  <w:r>
                    <w:rPr>
                      <w:rFonts w:hint="default"/>
                    </w:rPr>
                    <w:t>固废</w:t>
                  </w:r>
                </w:p>
              </w:tc>
              <w:tc>
                <w:tcPr>
                  <w:tcW w:w="2912" w:type="pct"/>
                  <w:noWrap w:val="0"/>
                  <w:vAlign w:val="center"/>
                </w:tcPr>
                <w:p>
                  <w:pPr>
                    <w:adjustRightInd w:val="0"/>
                    <w:snapToGrid w:val="0"/>
                    <w:jc w:val="center"/>
                    <w:rPr>
                      <w:rFonts w:hint="default"/>
                      <w:lang w:eastAsia="zh-CN"/>
                    </w:rPr>
                  </w:pPr>
                  <w:r>
                    <w:rPr>
                      <w:rFonts w:hint="default"/>
                      <w:lang w:eastAsia="zh-CN"/>
                    </w:rPr>
                    <w:t>含油废</w:t>
                  </w:r>
                  <w:r>
                    <w:rPr>
                      <w:rFonts w:hint="eastAsia"/>
                      <w:lang w:val="en-US" w:eastAsia="zh-CN"/>
                    </w:rPr>
                    <w:t>泥</w:t>
                  </w:r>
                  <w:r>
                    <w:rPr>
                      <w:rFonts w:hint="default"/>
                      <w:lang w:eastAsia="zh-CN"/>
                    </w:rPr>
                    <w:t>直接交由有资质单位处置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b/>
                <w:bCs/>
                <w:sz w:val="24"/>
                <w:szCs w:val="24"/>
                <w:lang w:val="en-US" w:eastAsia="zh-CN"/>
              </w:rPr>
            </w:pPr>
            <w:r>
              <w:rPr>
                <w:rFonts w:hint="eastAsia"/>
                <w:b/>
                <w:bCs/>
                <w:sz w:val="24"/>
                <w:szCs w:val="24"/>
                <w:lang w:val="en-US" w:eastAsia="zh-CN"/>
              </w:rPr>
              <w:t>3</w:t>
            </w:r>
            <w:r>
              <w:rPr>
                <w:rFonts w:hint="default"/>
                <w:b/>
                <w:bCs/>
                <w:sz w:val="24"/>
                <w:szCs w:val="24"/>
                <w:lang w:val="en-US" w:eastAsia="zh-CN"/>
              </w:rPr>
              <w:t>、现有主要生产设备</w:t>
            </w:r>
          </w:p>
          <w:p>
            <w:pPr>
              <w:pStyle w:val="9"/>
              <w:bidi w:val="0"/>
              <w:rPr>
                <w:rFonts w:hint="default"/>
              </w:rPr>
            </w:pPr>
            <w:r>
              <w:rPr>
                <w:rFonts w:hint="default"/>
                <w:lang w:eastAsia="zh-CN"/>
              </w:rPr>
              <w:t>现有</w:t>
            </w:r>
            <w:r>
              <w:rPr>
                <w:rFonts w:hint="default"/>
              </w:rPr>
              <w:t>主要设备一览表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3003"/>
              <w:gridCol w:w="1733"/>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noWrap w:val="0"/>
                  <w:vAlign w:val="center"/>
                </w:tcPr>
                <w:p>
                  <w:pPr>
                    <w:spacing w:line="240" w:lineRule="auto"/>
                    <w:jc w:val="center"/>
                    <w:rPr>
                      <w:rFonts w:hint="default"/>
                      <w:lang w:eastAsia="zh-CN"/>
                    </w:rPr>
                  </w:pPr>
                  <w:r>
                    <w:rPr>
                      <w:rFonts w:hint="default"/>
                      <w:lang w:eastAsia="zh-CN"/>
                    </w:rPr>
                    <w:t>序号</w:t>
                  </w:r>
                </w:p>
              </w:tc>
              <w:tc>
                <w:tcPr>
                  <w:tcW w:w="1892" w:type="pct"/>
                  <w:tcBorders>
                    <w:tl2br w:val="nil"/>
                    <w:tr2bl w:val="nil"/>
                  </w:tcBorders>
                  <w:noWrap w:val="0"/>
                  <w:vAlign w:val="center"/>
                </w:tcPr>
                <w:p>
                  <w:pPr>
                    <w:spacing w:line="240" w:lineRule="auto"/>
                    <w:jc w:val="center"/>
                    <w:rPr>
                      <w:rFonts w:hint="default"/>
                      <w:lang w:eastAsia="zh-CN"/>
                    </w:rPr>
                  </w:pPr>
                  <w:r>
                    <w:rPr>
                      <w:rFonts w:hint="default"/>
                      <w:lang w:eastAsia="zh-CN"/>
                    </w:rPr>
                    <w:t>名称</w:t>
                  </w:r>
                </w:p>
              </w:tc>
              <w:tc>
                <w:tcPr>
                  <w:tcW w:w="1092" w:type="pct"/>
                  <w:tcBorders>
                    <w:tl2br w:val="nil"/>
                    <w:tr2bl w:val="nil"/>
                  </w:tcBorders>
                  <w:noWrap w:val="0"/>
                  <w:vAlign w:val="center"/>
                </w:tcPr>
                <w:p>
                  <w:pPr>
                    <w:spacing w:line="240" w:lineRule="auto"/>
                    <w:jc w:val="center"/>
                    <w:rPr>
                      <w:rFonts w:hint="default"/>
                      <w:lang w:eastAsia="zh-CN"/>
                    </w:rPr>
                  </w:pPr>
                  <w:r>
                    <w:rPr>
                      <w:rFonts w:hint="default"/>
                      <w:lang w:eastAsia="zh-CN"/>
                    </w:rPr>
                    <w:t>型号规格</w:t>
                  </w:r>
                </w:p>
              </w:tc>
              <w:tc>
                <w:tcPr>
                  <w:tcW w:w="1108" w:type="pct"/>
                  <w:tcBorders>
                    <w:tl2br w:val="nil"/>
                    <w:tr2bl w:val="nil"/>
                  </w:tcBorders>
                  <w:noWrap w:val="0"/>
                  <w:vAlign w:val="center"/>
                </w:tcPr>
                <w:p>
                  <w:pPr>
                    <w:spacing w:line="240" w:lineRule="auto"/>
                    <w:jc w:val="center"/>
                    <w:rPr>
                      <w:rFonts w:hint="default"/>
                      <w:lang w:eastAsia="zh-CN"/>
                    </w:rPr>
                  </w:pPr>
                  <w:r>
                    <w:rPr>
                      <w:rFonts w:hint="default"/>
                      <w:lang w:eastAsia="zh-CN"/>
                    </w:rPr>
                    <w:t>现有数量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noWrap w:val="0"/>
                  <w:vAlign w:val="center"/>
                </w:tcPr>
                <w:p>
                  <w:pPr>
                    <w:spacing w:line="240" w:lineRule="auto"/>
                    <w:jc w:val="center"/>
                    <w:rPr>
                      <w:rFonts w:hint="default"/>
                      <w:lang w:eastAsia="zh-CN"/>
                    </w:rPr>
                  </w:pPr>
                  <w:r>
                    <w:rPr>
                      <w:rFonts w:hint="default"/>
                      <w:lang w:eastAsia="zh-CN"/>
                    </w:rPr>
                    <w:t>1</w:t>
                  </w:r>
                </w:p>
              </w:tc>
              <w:tc>
                <w:tcPr>
                  <w:tcW w:w="1892" w:type="pct"/>
                  <w:tcBorders>
                    <w:tl2br w:val="nil"/>
                    <w:tr2bl w:val="nil"/>
                  </w:tcBorders>
                  <w:noWrap w:val="0"/>
                  <w:vAlign w:val="center"/>
                </w:tcPr>
                <w:p>
                  <w:pPr>
                    <w:spacing w:line="240" w:lineRule="auto"/>
                    <w:jc w:val="center"/>
                    <w:rPr>
                      <w:rFonts w:hint="default"/>
                      <w:lang w:val="en-US" w:eastAsia="zh-CN"/>
                    </w:rPr>
                  </w:pPr>
                  <w:r>
                    <w:rPr>
                      <w:rFonts w:hint="default"/>
                      <w:lang w:val="en-US" w:eastAsia="zh-CN"/>
                    </w:rPr>
                    <w:t>汽油</w:t>
                  </w:r>
                  <w:r>
                    <w:rPr>
                      <w:rFonts w:hint="eastAsia"/>
                      <w:lang w:val="en-US" w:eastAsia="zh-CN"/>
                    </w:rPr>
                    <w:t>储</w:t>
                  </w:r>
                  <w:r>
                    <w:rPr>
                      <w:rFonts w:hint="default"/>
                      <w:lang w:val="en-US" w:eastAsia="zh-CN"/>
                    </w:rPr>
                    <w:t>罐</w:t>
                  </w:r>
                </w:p>
              </w:tc>
              <w:tc>
                <w:tcPr>
                  <w:tcW w:w="10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2</w:t>
                  </w:r>
                  <w:r>
                    <w:rPr>
                      <w:rFonts w:hint="default"/>
                      <w:lang w:val="en-US" w:eastAsia="zh-CN"/>
                    </w:rPr>
                    <w:t>0</w:t>
                  </w:r>
                  <w:r>
                    <w:rPr>
                      <w:rFonts w:hint="eastAsia"/>
                      <w:lang w:val="en-US" w:eastAsia="zh-CN"/>
                    </w:rPr>
                    <w:t>m</w:t>
                  </w:r>
                  <w:r>
                    <w:rPr>
                      <w:rFonts w:hint="eastAsia"/>
                      <w:vertAlign w:val="superscript"/>
                      <w:lang w:val="en-US" w:eastAsia="zh-CN"/>
                    </w:rPr>
                    <w:t>3</w:t>
                  </w:r>
                </w:p>
              </w:tc>
              <w:tc>
                <w:tcPr>
                  <w:tcW w:w="1108"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06"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2</w:t>
                  </w:r>
                </w:p>
              </w:tc>
              <w:tc>
                <w:tcPr>
                  <w:tcW w:w="18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柴油储罐</w:t>
                  </w:r>
                </w:p>
              </w:tc>
              <w:tc>
                <w:tcPr>
                  <w:tcW w:w="1092" w:type="pct"/>
                  <w:tcBorders>
                    <w:tl2br w:val="nil"/>
                    <w:tr2bl w:val="nil"/>
                  </w:tcBorders>
                  <w:noWrap w:val="0"/>
                  <w:vAlign w:val="center"/>
                </w:tcPr>
                <w:p>
                  <w:pPr>
                    <w:spacing w:line="240" w:lineRule="auto"/>
                    <w:jc w:val="center"/>
                    <w:rPr>
                      <w:rFonts w:hint="eastAsia"/>
                      <w:lang w:val="en-US" w:eastAsia="zh-CN"/>
                    </w:rPr>
                  </w:pPr>
                  <w:r>
                    <w:rPr>
                      <w:rFonts w:hint="default"/>
                      <w:lang w:val="en-US" w:eastAsia="zh-CN"/>
                    </w:rPr>
                    <w:t>30</w:t>
                  </w:r>
                  <w:r>
                    <w:rPr>
                      <w:rFonts w:hint="eastAsia"/>
                      <w:lang w:val="en-US" w:eastAsia="zh-CN"/>
                    </w:rPr>
                    <w:t>m</w:t>
                  </w:r>
                  <w:r>
                    <w:rPr>
                      <w:rFonts w:hint="eastAsia"/>
                      <w:vertAlign w:val="superscript"/>
                      <w:lang w:val="en-US" w:eastAsia="zh-CN"/>
                    </w:rPr>
                    <w:t>3</w:t>
                  </w:r>
                </w:p>
              </w:tc>
              <w:tc>
                <w:tcPr>
                  <w:tcW w:w="1108"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06"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3</w:t>
                  </w:r>
                </w:p>
              </w:tc>
              <w:tc>
                <w:tcPr>
                  <w:tcW w:w="18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汽油</w:t>
                  </w:r>
                  <w:r>
                    <w:rPr>
                      <w:rFonts w:hint="default"/>
                      <w:lang w:val="en-US" w:eastAsia="zh-CN"/>
                    </w:rPr>
                    <w:t>加油机</w:t>
                  </w:r>
                </w:p>
              </w:tc>
              <w:tc>
                <w:tcPr>
                  <w:tcW w:w="10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双枪</w:t>
                  </w:r>
                </w:p>
              </w:tc>
              <w:tc>
                <w:tcPr>
                  <w:tcW w:w="1108"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1</w:t>
                  </w:r>
                  <w:r>
                    <w:rPr>
                      <w:rFonts w:hint="default"/>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4</w:t>
                  </w:r>
                </w:p>
              </w:tc>
              <w:tc>
                <w:tcPr>
                  <w:tcW w:w="18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柴油</w:t>
                  </w:r>
                  <w:r>
                    <w:rPr>
                      <w:rFonts w:hint="default"/>
                      <w:lang w:val="en-US" w:eastAsia="zh-CN"/>
                    </w:rPr>
                    <w:t>加油机</w:t>
                  </w:r>
                </w:p>
              </w:tc>
              <w:tc>
                <w:tcPr>
                  <w:tcW w:w="1092" w:type="pct"/>
                  <w:tcBorders>
                    <w:tl2br w:val="nil"/>
                    <w:tr2bl w:val="nil"/>
                  </w:tcBorders>
                  <w:noWrap w:val="0"/>
                  <w:vAlign w:val="center"/>
                </w:tcPr>
                <w:p>
                  <w:pPr>
                    <w:spacing w:line="240" w:lineRule="auto"/>
                    <w:jc w:val="center"/>
                    <w:rPr>
                      <w:rFonts w:hint="eastAsia"/>
                      <w:lang w:val="en-US" w:eastAsia="zh-CN"/>
                    </w:rPr>
                  </w:pPr>
                  <w:r>
                    <w:rPr>
                      <w:rFonts w:hint="eastAsia"/>
                      <w:lang w:val="en-US" w:eastAsia="zh-CN"/>
                    </w:rPr>
                    <w:t>单枪</w:t>
                  </w:r>
                </w:p>
              </w:tc>
              <w:tc>
                <w:tcPr>
                  <w:tcW w:w="1108" w:type="pct"/>
                  <w:tcBorders>
                    <w:tl2br w:val="nil"/>
                    <w:tr2bl w:val="nil"/>
                  </w:tcBorders>
                  <w:noWrap w:val="0"/>
                  <w:vAlign w:val="center"/>
                </w:tcPr>
                <w:p>
                  <w:pPr>
                    <w:spacing w:line="240" w:lineRule="auto"/>
                    <w:jc w:val="center"/>
                    <w:rPr>
                      <w:rFonts w:hint="eastAsia"/>
                      <w:lang w:val="en-US" w:eastAsia="zh-CN"/>
                    </w:rPr>
                  </w:pPr>
                  <w:r>
                    <w:rPr>
                      <w:rFonts w:hint="eastAsia"/>
                      <w:lang w:val="en-US" w:eastAsia="zh-CN"/>
                    </w:rPr>
                    <w:t>1</w:t>
                  </w:r>
                  <w:r>
                    <w:rPr>
                      <w:rFonts w:hint="default"/>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5</w:t>
                  </w:r>
                </w:p>
              </w:tc>
              <w:tc>
                <w:tcPr>
                  <w:tcW w:w="1892" w:type="pct"/>
                  <w:tcBorders>
                    <w:tl2br w:val="nil"/>
                    <w:tr2bl w:val="nil"/>
                  </w:tcBorders>
                  <w:noWrap w:val="0"/>
                  <w:vAlign w:val="center"/>
                </w:tcPr>
                <w:p>
                  <w:pPr>
                    <w:spacing w:line="240" w:lineRule="auto"/>
                    <w:jc w:val="center"/>
                    <w:rPr>
                      <w:rFonts w:hint="eastAsia"/>
                      <w:lang w:val="en-US" w:eastAsia="zh-CN"/>
                    </w:rPr>
                  </w:pPr>
                  <w:r>
                    <w:rPr>
                      <w:rFonts w:hint="eastAsia"/>
                      <w:lang w:val="en-US" w:eastAsia="zh-CN"/>
                    </w:rPr>
                    <w:t>二次油气回收装置</w:t>
                  </w:r>
                </w:p>
              </w:tc>
              <w:tc>
                <w:tcPr>
                  <w:tcW w:w="1092"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w:t>
                  </w:r>
                </w:p>
              </w:tc>
              <w:tc>
                <w:tcPr>
                  <w:tcW w:w="1108" w:type="pct"/>
                  <w:tcBorders>
                    <w:tl2br w:val="nil"/>
                    <w:tr2bl w:val="nil"/>
                  </w:tcBorders>
                  <w:noWrap w:val="0"/>
                  <w:vAlign w:val="center"/>
                </w:tcPr>
                <w:p>
                  <w:pPr>
                    <w:spacing w:line="240" w:lineRule="auto"/>
                    <w:jc w:val="center"/>
                    <w:rPr>
                      <w:rFonts w:hint="default"/>
                      <w:lang w:val="en-US" w:eastAsia="zh-CN"/>
                    </w:rPr>
                  </w:pPr>
                  <w:r>
                    <w:rPr>
                      <w:rFonts w:hint="eastAsia"/>
                      <w:lang w:val="en-US" w:eastAsia="zh-CN"/>
                    </w:rPr>
                    <w:t>2套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b/>
                <w:bCs/>
                <w:sz w:val="24"/>
                <w:szCs w:val="24"/>
                <w:lang w:val="en-US" w:eastAsia="zh-CN"/>
              </w:rPr>
            </w:pPr>
            <w:r>
              <w:rPr>
                <w:rFonts w:hint="eastAsia"/>
                <w:b/>
                <w:bCs/>
                <w:sz w:val="24"/>
                <w:szCs w:val="24"/>
                <w:lang w:val="en-US" w:eastAsia="zh-CN"/>
              </w:rPr>
              <w:t>4</w:t>
            </w:r>
            <w:r>
              <w:rPr>
                <w:rFonts w:hint="default"/>
                <w:b/>
                <w:bCs/>
                <w:sz w:val="24"/>
                <w:szCs w:val="24"/>
                <w:lang w:val="en-US" w:eastAsia="zh-CN"/>
              </w:rPr>
              <w:t>、现有原辅材料种类及用量</w:t>
            </w:r>
          </w:p>
          <w:p>
            <w:pPr>
              <w:pStyle w:val="9"/>
              <w:bidi w:val="0"/>
              <w:rPr>
                <w:rFonts w:hint="default"/>
              </w:rPr>
            </w:pPr>
            <w:r>
              <w:rPr>
                <w:rFonts w:hint="default"/>
              </w:rPr>
              <w:t>原辅材料及能源消耗情况一览表</w:t>
            </w:r>
          </w:p>
          <w:tbl>
            <w:tblPr>
              <w:tblStyle w:val="25"/>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689"/>
              <w:gridCol w:w="1747"/>
              <w:gridCol w:w="1747"/>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序号</w:t>
                  </w:r>
                </w:p>
              </w:tc>
              <w:tc>
                <w:tcPr>
                  <w:tcW w:w="1689"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名称</w:t>
                  </w:r>
                </w:p>
              </w:tc>
              <w:tc>
                <w:tcPr>
                  <w:tcW w:w="1747"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规格</w:t>
                  </w:r>
                </w:p>
              </w:tc>
              <w:tc>
                <w:tcPr>
                  <w:tcW w:w="1747"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年</w:t>
                  </w:r>
                  <w:r>
                    <w:rPr>
                      <w:rFonts w:hint="eastAsia"/>
                      <w:lang w:val="en-US" w:eastAsia="zh-CN"/>
                    </w:rPr>
                    <w:t>销售</w:t>
                  </w:r>
                  <w:r>
                    <w:rPr>
                      <w:rFonts w:hint="default"/>
                      <w:lang w:val="en-US" w:eastAsia="zh-CN"/>
                    </w:rPr>
                    <w:t>量</w:t>
                  </w:r>
                </w:p>
              </w:tc>
              <w:tc>
                <w:tcPr>
                  <w:tcW w:w="2018"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1</w:t>
                  </w:r>
                </w:p>
              </w:tc>
              <w:tc>
                <w:tcPr>
                  <w:tcW w:w="1689"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柴油</w:t>
                  </w:r>
                </w:p>
              </w:tc>
              <w:tc>
                <w:tcPr>
                  <w:tcW w:w="1747"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0#</w:t>
                  </w:r>
                </w:p>
              </w:tc>
              <w:tc>
                <w:tcPr>
                  <w:tcW w:w="1747" w:type="dxa"/>
                  <w:tcBorders>
                    <w:tl2br w:val="nil"/>
                    <w:tr2bl w:val="nil"/>
                  </w:tcBorders>
                  <w:noWrap w:val="0"/>
                  <w:vAlign w:val="center"/>
                </w:tcPr>
                <w:p>
                  <w:pPr>
                    <w:spacing w:line="240" w:lineRule="auto"/>
                    <w:jc w:val="center"/>
                    <w:rPr>
                      <w:rFonts w:hint="default"/>
                      <w:lang w:val="en-US" w:eastAsia="zh-CN"/>
                    </w:rPr>
                  </w:pPr>
                  <w:r>
                    <w:rPr>
                      <w:rFonts w:hint="eastAsia"/>
                      <w:lang w:val="en-US" w:eastAsia="zh-CN"/>
                    </w:rPr>
                    <w:t>40</w:t>
                  </w:r>
                  <w:r>
                    <w:rPr>
                      <w:rFonts w:hint="default"/>
                      <w:lang w:val="en-US" w:eastAsia="zh-CN"/>
                    </w:rPr>
                    <w:t>t/a</w:t>
                  </w:r>
                </w:p>
              </w:tc>
              <w:tc>
                <w:tcPr>
                  <w:tcW w:w="2018" w:type="dxa"/>
                  <w:tcBorders>
                    <w:tl2br w:val="nil"/>
                    <w:tr2bl w:val="nil"/>
                  </w:tcBorders>
                  <w:noWrap w:val="0"/>
                  <w:vAlign w:val="center"/>
                </w:tcPr>
                <w:p>
                  <w:pPr>
                    <w:spacing w:line="240" w:lineRule="auto"/>
                    <w:jc w:val="center"/>
                    <w:rPr>
                      <w:rFonts w:hint="default"/>
                      <w:lang w:val="en-US" w:eastAsia="zh-CN"/>
                    </w:rPr>
                  </w:pPr>
                  <w:r>
                    <w:rPr>
                      <w:rFonts w:hint="default"/>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2</w:t>
                  </w:r>
                </w:p>
              </w:tc>
              <w:tc>
                <w:tcPr>
                  <w:tcW w:w="1689"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汽油</w:t>
                  </w:r>
                </w:p>
              </w:tc>
              <w:tc>
                <w:tcPr>
                  <w:tcW w:w="1747"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97#</w:t>
                  </w:r>
                  <w:r>
                    <w:rPr>
                      <w:rFonts w:hint="eastAsia"/>
                      <w:lang w:val="en-US" w:eastAsia="zh-CN"/>
                    </w:rPr>
                    <w:t>、</w:t>
                  </w:r>
                  <w:r>
                    <w:rPr>
                      <w:rFonts w:hint="default"/>
                      <w:lang w:val="en-US" w:eastAsia="zh-CN"/>
                    </w:rPr>
                    <w:t>93#</w:t>
                  </w:r>
                </w:p>
              </w:tc>
              <w:tc>
                <w:tcPr>
                  <w:tcW w:w="1747" w:type="dxa"/>
                  <w:tcBorders>
                    <w:tl2br w:val="nil"/>
                    <w:tr2bl w:val="nil"/>
                  </w:tcBorders>
                  <w:noWrap w:val="0"/>
                  <w:vAlign w:val="center"/>
                </w:tcPr>
                <w:p>
                  <w:pPr>
                    <w:spacing w:line="240" w:lineRule="auto"/>
                    <w:jc w:val="center"/>
                    <w:rPr>
                      <w:rFonts w:hint="default"/>
                      <w:lang w:val="en-US" w:eastAsia="zh-CN"/>
                    </w:rPr>
                  </w:pPr>
                  <w:r>
                    <w:rPr>
                      <w:rFonts w:hint="eastAsia"/>
                      <w:lang w:val="en-US" w:eastAsia="zh-CN"/>
                    </w:rPr>
                    <w:t>160</w:t>
                  </w:r>
                  <w:r>
                    <w:rPr>
                      <w:rFonts w:hint="default"/>
                      <w:lang w:val="en-US" w:eastAsia="zh-CN"/>
                    </w:rPr>
                    <w:t>t/a</w:t>
                  </w:r>
                </w:p>
              </w:tc>
              <w:tc>
                <w:tcPr>
                  <w:tcW w:w="2018" w:type="dxa"/>
                  <w:tcBorders>
                    <w:tl2br w:val="nil"/>
                    <w:tr2bl w:val="nil"/>
                  </w:tcBorders>
                  <w:noWrap w:val="0"/>
                  <w:vAlign w:val="center"/>
                </w:tcPr>
                <w:p>
                  <w:pPr>
                    <w:spacing w:line="240" w:lineRule="auto"/>
                    <w:jc w:val="center"/>
                    <w:rPr>
                      <w:rFonts w:hint="default"/>
                      <w:lang w:val="en-US" w:eastAsia="zh-CN"/>
                    </w:rPr>
                  </w:pPr>
                  <w:r>
                    <w:rPr>
                      <w:rFonts w:hint="default"/>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合计</w:t>
                  </w:r>
                </w:p>
              </w:tc>
              <w:tc>
                <w:tcPr>
                  <w:tcW w:w="1689"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加油总量</w:t>
                  </w:r>
                </w:p>
              </w:tc>
              <w:tc>
                <w:tcPr>
                  <w:tcW w:w="1747"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w:t>
                  </w:r>
                </w:p>
              </w:tc>
              <w:tc>
                <w:tcPr>
                  <w:tcW w:w="1747" w:type="dxa"/>
                  <w:tcBorders>
                    <w:tl2br w:val="nil"/>
                    <w:tr2bl w:val="nil"/>
                  </w:tcBorders>
                  <w:noWrap w:val="0"/>
                  <w:vAlign w:val="center"/>
                </w:tcPr>
                <w:p>
                  <w:pPr>
                    <w:spacing w:line="240" w:lineRule="auto"/>
                    <w:jc w:val="center"/>
                    <w:rPr>
                      <w:rFonts w:hint="default"/>
                      <w:lang w:val="en-US" w:eastAsia="zh-CN"/>
                    </w:rPr>
                  </w:pPr>
                  <w:r>
                    <w:rPr>
                      <w:rFonts w:hint="eastAsia"/>
                      <w:lang w:val="en-US" w:eastAsia="zh-CN"/>
                    </w:rPr>
                    <w:t>20</w:t>
                  </w:r>
                  <w:r>
                    <w:rPr>
                      <w:rFonts w:hint="default"/>
                      <w:lang w:val="en-US" w:eastAsia="zh-CN"/>
                    </w:rPr>
                    <w:t>0t/a</w:t>
                  </w:r>
                </w:p>
              </w:tc>
              <w:tc>
                <w:tcPr>
                  <w:tcW w:w="2018" w:type="dxa"/>
                  <w:tcBorders>
                    <w:tl2br w:val="nil"/>
                    <w:tr2bl w:val="nil"/>
                  </w:tcBorders>
                  <w:noWrap w:val="0"/>
                  <w:vAlign w:val="center"/>
                </w:tcPr>
                <w:p>
                  <w:pPr>
                    <w:spacing w:line="240" w:lineRule="auto"/>
                    <w:jc w:val="center"/>
                    <w:rPr>
                      <w:rFonts w:hint="default"/>
                      <w:lang w:val="en-US" w:eastAsia="zh-CN"/>
                    </w:rPr>
                  </w:pPr>
                  <w:r>
                    <w:rPr>
                      <w:rFonts w:hint="default"/>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b/>
                <w:bCs/>
                <w:sz w:val="24"/>
                <w:szCs w:val="24"/>
                <w:lang w:val="en-US" w:eastAsia="zh-CN"/>
              </w:rPr>
            </w:pPr>
            <w:r>
              <w:rPr>
                <w:rFonts w:hint="eastAsia"/>
                <w:b/>
                <w:bCs/>
                <w:sz w:val="24"/>
                <w:szCs w:val="24"/>
                <w:lang w:val="en-US" w:eastAsia="zh-CN"/>
              </w:rPr>
              <w:t>5</w:t>
            </w:r>
            <w:r>
              <w:rPr>
                <w:rFonts w:hint="default"/>
                <w:b/>
                <w:bCs/>
                <w:sz w:val="24"/>
                <w:szCs w:val="24"/>
                <w:lang w:val="en-US" w:eastAsia="zh-CN"/>
              </w:rPr>
              <w:t>、现有工程生产工艺流程</w:t>
            </w:r>
          </w:p>
          <w:p>
            <w:pPr>
              <w:spacing w:line="360" w:lineRule="auto"/>
            </w:pPr>
            <w:r>
              <w:object>
                <v:shape id="_x0000_i1026" o:spt="75" type="#_x0000_t75" style="height:189.65pt;width:386.4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5">
                  <o:LockedField>false</o:LockedField>
                </o:OLEObject>
              </w:object>
            </w:r>
          </w:p>
          <w:p>
            <w:pPr>
              <w:keepNext w:val="0"/>
              <w:keepLines w:val="0"/>
              <w:pageBreakBefore w:val="0"/>
              <w:widowControl w:val="0"/>
              <w:kinsoku/>
              <w:wordWrap/>
              <w:overflowPunct/>
              <w:topLinePunct w:val="0"/>
              <w:autoSpaceDE/>
              <w:autoSpaceDN/>
              <w:bidi w:val="0"/>
              <w:adjustRightInd/>
              <w:snapToGrid/>
              <w:spacing w:line="520" w:lineRule="exact"/>
              <w:jc w:val="center"/>
              <w:textAlignment w:val="baseline"/>
              <w:rPr>
                <w:b/>
                <w:bCs/>
                <w:sz w:val="24"/>
                <w:szCs w:val="24"/>
              </w:rPr>
            </w:pPr>
            <w:r>
              <w:rPr>
                <w:rFonts w:hint="eastAsia"/>
                <w:b/>
                <w:bCs/>
                <w:sz w:val="24"/>
                <w:szCs w:val="24"/>
              </w:rPr>
              <w:t>图</w:t>
            </w:r>
            <w:r>
              <w:rPr>
                <w:rFonts w:hint="eastAsia"/>
                <w:b/>
                <w:bCs/>
                <w:sz w:val="24"/>
                <w:szCs w:val="24"/>
                <w:lang w:val="en-US" w:eastAsia="zh-CN"/>
              </w:rPr>
              <w:t>1  现有工程加油工艺流程图</w:t>
            </w:r>
          </w:p>
          <w:p>
            <w:pPr>
              <w:keepNext w:val="0"/>
              <w:keepLines w:val="0"/>
              <w:pageBreakBefore w:val="0"/>
              <w:widowControl w:val="0"/>
              <w:kinsoku/>
              <w:wordWrap/>
              <w:overflowPunct/>
              <w:topLinePunct w:val="0"/>
              <w:bidi w:val="0"/>
              <w:snapToGrid w:val="0"/>
              <w:spacing w:line="520" w:lineRule="exact"/>
              <w:ind w:firstLine="480" w:firstLineChars="200"/>
              <w:textAlignment w:val="auto"/>
              <w:rPr>
                <w:rFonts w:hint="default"/>
                <w:sz w:val="24"/>
                <w:szCs w:val="24"/>
              </w:rPr>
            </w:pPr>
            <w:r>
              <w:rPr>
                <w:rFonts w:hint="default"/>
                <w:sz w:val="24"/>
                <w:szCs w:val="24"/>
              </w:rPr>
              <w:t>工艺流程：</w:t>
            </w:r>
          </w:p>
          <w:p>
            <w:pPr>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油罐车卸油：</w:t>
            </w: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rPr>
              <w:t>采用油罐车经软管与油罐卸油孔连通卸油的方式卸油。汽油的</w:t>
            </w:r>
            <w:r>
              <w:rPr>
                <w:rFonts w:hint="eastAsia" w:ascii="Times New Roman" w:hAnsi="Times New Roman" w:cs="Times New Roman"/>
                <w:sz w:val="24"/>
                <w:szCs w:val="24"/>
                <w:lang w:val="en-US" w:eastAsia="zh-CN"/>
              </w:rPr>
              <w:t>油</w:t>
            </w:r>
            <w:r>
              <w:rPr>
                <w:rFonts w:hint="default" w:ascii="Times New Roman" w:hAnsi="Times New Roman" w:cs="Times New Roman"/>
                <w:sz w:val="24"/>
                <w:szCs w:val="24"/>
              </w:rPr>
              <w:t>槽车到达加油站罐区后，在油罐附近停稳熄火，将连通软管与油罐车的</w:t>
            </w:r>
            <w:r>
              <w:rPr>
                <w:rFonts w:hint="eastAsia" w:ascii="Times New Roman" w:hAnsi="Times New Roman" w:cs="Times New Roman"/>
                <w:sz w:val="24"/>
                <w:szCs w:val="24"/>
                <w:lang w:val="en-US" w:eastAsia="zh-CN"/>
              </w:rPr>
              <w:t>卸</w:t>
            </w:r>
            <w:r>
              <w:rPr>
                <w:rFonts w:hint="default" w:ascii="Times New Roman" w:hAnsi="Times New Roman" w:cs="Times New Roman"/>
                <w:sz w:val="24"/>
                <w:szCs w:val="24"/>
              </w:rPr>
              <w:t>油口、储罐的进油口用密闭快速接头连接好，并接上静电接地装置，静止十五分钟后开始计量卸油，利用潜泵将乙醇汽油分别输送至汽油贮罐储存</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加油站内各个油罐均设置有液位计，卸油过程中应时刻注意液位计指示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防止油品溢出。油品卸完后，拆除连通软管，人工封好油罐和罐车卸油口，拆除静电接地报警装置，发动油品罐车缓缓离开罐区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本项目安装卸油油气回收系统，把汽油在卸油过程中产生的油气进行回收</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此过程会产生少量烃类有机物，以非甲烷总烃计。</w:t>
            </w:r>
          </w:p>
          <w:p>
            <w:pPr>
              <w:pStyle w:val="35"/>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（2）储</w:t>
            </w:r>
            <w:r>
              <w:rPr>
                <w:rFonts w:hint="default" w:ascii="Times New Roman" w:hAnsi="Times New Roman" w:cs="Times New Roman"/>
                <w:color w:val="auto"/>
                <w:sz w:val="24"/>
                <w:szCs w:val="24"/>
              </w:rPr>
              <w:t>油：本项目设置</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座埋地</w:t>
            </w:r>
            <w:r>
              <w:rPr>
                <w:rFonts w:hint="eastAsia" w:ascii="Times New Roman" w:hAnsi="Times New Roman" w:cs="Times New Roman"/>
                <w:color w:val="auto"/>
                <w:sz w:val="24"/>
                <w:szCs w:val="24"/>
                <w:lang w:val="en-US" w:eastAsia="zh-CN"/>
              </w:rPr>
              <w:t>储油罐</w:t>
            </w:r>
            <w:r>
              <w:rPr>
                <w:rFonts w:hint="default" w:ascii="Times New Roman" w:hAnsi="Times New Roman" w:cs="Times New Roman"/>
                <w:color w:val="auto"/>
                <w:sz w:val="24"/>
                <w:szCs w:val="24"/>
              </w:rPr>
              <w:t>，常压储存。汽油油罐安装油气回收装置，减少废气排放，保障加油站的安全性。</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sz w:val="24"/>
                <w:szCs w:val="24"/>
              </w:rPr>
            </w:pPr>
            <w:r>
              <w:rPr>
                <w:rFonts w:hint="default" w:ascii="Times New Roman" w:hAnsi="Times New Roman" w:cs="Times New Roman"/>
                <w:color w:val="auto"/>
                <w:sz w:val="24"/>
                <w:szCs w:val="24"/>
              </w:rPr>
              <w:t>（3）加油：</w:t>
            </w:r>
            <w:r>
              <w:rPr>
                <w:rFonts w:hint="eastAsia" w:ascii="Times New Roman" w:hAnsi="Times New Roman" w:cs="Times New Roman"/>
                <w:color w:val="auto"/>
                <w:sz w:val="24"/>
                <w:szCs w:val="24"/>
                <w:lang w:val="en-US" w:eastAsia="zh-CN"/>
              </w:rPr>
              <w:t>本项目加油采用潜泵式加油工艺，加油时，由潜泵对汽油进行输送，将油品从储油罐抽出后，经过加油机的油气分离器、计量器，再经过加油枪加到汽车油箱中。加油机与配套油泵之间进行联锁，当需要进行汽油加注时，油泵自动启动将油品抽出，加油结束后油泵自动停止运转。加油机加油枪软管与加油机连接处设置拉断阀，拉力过大时将自动断开，同时自动关闭，防止燃油外溢。</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textAlignment w:val="auto"/>
              <w:rPr>
                <w:rFonts w:hint="default"/>
                <w:b/>
                <w:bCs/>
                <w:sz w:val="24"/>
                <w:szCs w:val="24"/>
                <w:lang w:val="en-US" w:eastAsia="zh-CN"/>
              </w:rPr>
            </w:pPr>
            <w:r>
              <w:rPr>
                <w:rFonts w:hint="eastAsia"/>
                <w:b/>
                <w:bCs/>
                <w:sz w:val="24"/>
                <w:szCs w:val="24"/>
                <w:lang w:val="en-US" w:eastAsia="zh-CN"/>
              </w:rPr>
              <w:t>6</w:t>
            </w:r>
            <w:r>
              <w:rPr>
                <w:rFonts w:hint="default"/>
                <w:b/>
                <w:bCs/>
                <w:sz w:val="24"/>
                <w:szCs w:val="24"/>
                <w:lang w:val="en-US" w:eastAsia="zh-CN"/>
              </w:rPr>
              <w:t>、现有工程污染物产生及排放情况</w:t>
            </w:r>
          </w:p>
          <w:p>
            <w:pPr>
              <w:keepNext w:val="0"/>
              <w:keepLines w:val="0"/>
              <w:pageBreakBefore w:val="0"/>
              <w:widowControl w:val="0"/>
              <w:numPr>
                <w:ilvl w:val="0"/>
                <w:numId w:val="0"/>
              </w:numPr>
              <w:kinsoku/>
              <w:wordWrap/>
              <w:overflowPunct/>
              <w:topLinePunct w:val="0"/>
              <w:bidi w:val="0"/>
              <w:snapToGrid w:val="0"/>
              <w:spacing w:line="520" w:lineRule="exact"/>
              <w:ind w:firstLine="480" w:firstLineChars="200"/>
              <w:textAlignment w:val="auto"/>
              <w:rPr>
                <w:rFonts w:hint="eastAsia"/>
                <w:sz w:val="24"/>
                <w:szCs w:val="24"/>
                <w:shd w:val="clear"/>
                <w:lang w:val="en-US" w:eastAsia="zh-CN"/>
              </w:rPr>
            </w:pPr>
            <w:r>
              <w:rPr>
                <w:rFonts w:hint="eastAsia"/>
                <w:sz w:val="24"/>
                <w:szCs w:val="24"/>
                <w:shd w:val="clear"/>
                <w:lang w:val="en-US" w:eastAsia="zh-CN"/>
              </w:rPr>
              <w:t>根据现有工程的环评及排污许可证，对现有工程的产排污情况进行说明，具体如下：</w:t>
            </w:r>
          </w:p>
          <w:p>
            <w:pPr>
              <w:keepNext w:val="0"/>
              <w:keepLines w:val="0"/>
              <w:pageBreakBefore w:val="0"/>
              <w:widowControl w:val="0"/>
              <w:numPr>
                <w:ilvl w:val="0"/>
                <w:numId w:val="0"/>
              </w:numPr>
              <w:kinsoku/>
              <w:wordWrap/>
              <w:overflowPunct/>
              <w:topLinePunct w:val="0"/>
              <w:bidi w:val="0"/>
              <w:snapToGrid w:val="0"/>
              <w:spacing w:line="520" w:lineRule="exact"/>
              <w:ind w:firstLine="480" w:firstLineChars="200"/>
              <w:textAlignment w:val="auto"/>
              <w:rPr>
                <w:rFonts w:hint="eastAsia"/>
                <w:sz w:val="24"/>
                <w:szCs w:val="24"/>
                <w:highlight w:val="none"/>
                <w:lang w:val="en-US" w:eastAsia="zh-CN"/>
              </w:rPr>
            </w:pPr>
            <w:r>
              <w:rPr>
                <w:rFonts w:hint="default"/>
                <w:sz w:val="24"/>
                <w:szCs w:val="24"/>
                <w:lang w:val="en-US" w:eastAsia="zh-CN"/>
              </w:rPr>
              <w:t>（1）废气：现有工程废气为</w:t>
            </w:r>
            <w:r>
              <w:rPr>
                <w:rFonts w:hint="eastAsia"/>
                <w:sz w:val="24"/>
                <w:szCs w:val="24"/>
                <w:lang w:val="en-US" w:eastAsia="zh-CN"/>
              </w:rPr>
              <w:t>油料</w:t>
            </w:r>
            <w:r>
              <w:rPr>
                <w:rFonts w:hint="default"/>
                <w:sz w:val="24"/>
                <w:szCs w:val="24"/>
                <w:lang w:val="en-US" w:eastAsia="zh-CN"/>
              </w:rPr>
              <w:t>的装卸、</w:t>
            </w:r>
            <w:r>
              <w:rPr>
                <w:rFonts w:hint="default"/>
                <w:sz w:val="24"/>
                <w:szCs w:val="24"/>
                <w:highlight w:val="none"/>
                <w:lang w:val="en-US" w:eastAsia="zh-CN"/>
              </w:rPr>
              <w:t>储存及加油过程中产生的有机废气</w:t>
            </w:r>
            <w:r>
              <w:rPr>
                <w:rFonts w:hint="eastAsia"/>
                <w:sz w:val="24"/>
                <w:szCs w:val="24"/>
                <w:highlight w:val="none"/>
                <w:lang w:val="en-US" w:eastAsia="zh-CN"/>
              </w:rPr>
              <w:t>，采取二级</w:t>
            </w:r>
            <w:r>
              <w:rPr>
                <w:rFonts w:hint="default"/>
                <w:sz w:val="24"/>
                <w:szCs w:val="24"/>
                <w:highlight w:val="none"/>
                <w:lang w:val="en-US" w:eastAsia="zh-CN"/>
              </w:rPr>
              <w:t>油气回收系统处理后无组织排放</w:t>
            </w:r>
            <w:r>
              <w:rPr>
                <w:rFonts w:hint="eastAsia"/>
                <w:sz w:val="24"/>
                <w:szCs w:val="24"/>
                <w:highlight w:val="none"/>
                <w:lang w:val="en-US" w:eastAsia="zh-CN"/>
              </w:rPr>
              <w:t>。本次分析采用系数法统计现有项目废气的排放量。</w:t>
            </w:r>
          </w:p>
          <w:p>
            <w:pPr>
              <w:keepNext w:val="0"/>
              <w:keepLines w:val="0"/>
              <w:pageBreakBefore w:val="0"/>
              <w:widowControl w:val="0"/>
              <w:kinsoku/>
              <w:wordWrap/>
              <w:overflowPunct/>
              <w:topLinePunct/>
              <w:autoSpaceDE w:val="0"/>
              <w:autoSpaceDN w:val="0"/>
              <w:bidi w:val="0"/>
              <w:adjustRightInd w:val="0"/>
              <w:snapToGrid w:val="0"/>
              <w:spacing w:line="520" w:lineRule="exact"/>
              <w:ind w:firstLine="480" w:firstLineChars="200"/>
              <w:jc w:val="both"/>
              <w:textAlignment w:val="baseline"/>
              <w:rPr>
                <w:rFonts w:hint="eastAsia"/>
                <w:color w:val="auto"/>
                <w:sz w:val="24"/>
                <w:szCs w:val="24"/>
                <w:lang w:val="en-US" w:eastAsia="zh-CN"/>
              </w:rPr>
            </w:pPr>
            <w:r>
              <w:rPr>
                <w:rFonts w:hint="eastAsia"/>
                <w:color w:val="auto"/>
                <w:sz w:val="24"/>
                <w:szCs w:val="24"/>
                <w:lang w:val="en-US" w:eastAsia="zh-CN"/>
              </w:rPr>
              <w:t>①汽油产生的非甲烷总烃：参照《环境影响评价工程师执业资格登记培训教材 社会区域类环境影响评价》、《成品油销售业汽油油气排放控制标准》及同类型加油站项目，汽油卸油、储油、加油过程中烃类气体产生系数为：储油罐大呼吸造成的烃类气体平均排放率约0.88kg/m</w:t>
            </w:r>
            <w:r>
              <w:rPr>
                <w:rFonts w:hint="eastAsia"/>
                <w:color w:val="auto"/>
                <w:sz w:val="24"/>
                <w:szCs w:val="24"/>
                <w:vertAlign w:val="superscript"/>
                <w:lang w:val="en-US" w:eastAsia="zh-CN"/>
              </w:rPr>
              <w:t>3</w:t>
            </w:r>
            <w:r>
              <w:rPr>
                <w:rFonts w:hint="eastAsia"/>
                <w:color w:val="auto"/>
                <w:sz w:val="24"/>
                <w:szCs w:val="24"/>
                <w:lang w:val="en-US" w:eastAsia="zh-CN"/>
              </w:rPr>
              <w:t>通过量，小呼吸造成的烃类气体平均排放率约0.12kg/m</w:t>
            </w:r>
            <w:r>
              <w:rPr>
                <w:rFonts w:hint="eastAsia"/>
                <w:color w:val="auto"/>
                <w:sz w:val="24"/>
                <w:szCs w:val="24"/>
                <w:vertAlign w:val="superscript"/>
                <w:lang w:val="en-US" w:eastAsia="zh-CN"/>
              </w:rPr>
              <w:t>3</w:t>
            </w:r>
            <w:r>
              <w:rPr>
                <w:rFonts w:hint="eastAsia"/>
                <w:color w:val="auto"/>
                <w:sz w:val="24"/>
                <w:szCs w:val="24"/>
                <w:lang w:val="en-US" w:eastAsia="zh-CN"/>
              </w:rPr>
              <w:t>通过量，车辆加油时造成的烃类气体排放速率约为0.11kg/m</w:t>
            </w:r>
            <w:r>
              <w:rPr>
                <w:rFonts w:hint="eastAsia"/>
                <w:color w:val="auto"/>
                <w:sz w:val="24"/>
                <w:szCs w:val="24"/>
                <w:vertAlign w:val="superscript"/>
                <w:lang w:val="en-US" w:eastAsia="zh-CN"/>
              </w:rPr>
              <w:t>3</w:t>
            </w:r>
            <w:r>
              <w:rPr>
                <w:rFonts w:hint="eastAsia"/>
                <w:color w:val="auto"/>
                <w:sz w:val="24"/>
                <w:szCs w:val="24"/>
                <w:lang w:val="en-US" w:eastAsia="zh-CN"/>
              </w:rPr>
              <w:t>通过量，加油机作业过程中成品油的跑、冒、滴、漏一般平均损失量为0.036kg/m</w:t>
            </w:r>
            <w:r>
              <w:rPr>
                <w:rFonts w:hint="eastAsia"/>
                <w:color w:val="auto"/>
                <w:sz w:val="24"/>
                <w:szCs w:val="24"/>
                <w:vertAlign w:val="superscript"/>
                <w:lang w:val="en-US" w:eastAsia="zh-CN"/>
              </w:rPr>
              <w:t>3</w:t>
            </w:r>
            <w:r>
              <w:rPr>
                <w:rFonts w:hint="eastAsia"/>
                <w:color w:val="auto"/>
                <w:sz w:val="24"/>
                <w:szCs w:val="24"/>
                <w:lang w:val="en-US" w:eastAsia="zh-CN"/>
              </w:rPr>
              <w:t xml:space="preserve"> 通过量。现有工程</w:t>
            </w:r>
            <w:r>
              <w:rPr>
                <w:rFonts w:hint="eastAsia" w:ascii="Times New Roman" w:hAnsi="Times New Roman" w:eastAsia="宋体" w:cs="Times New Roman"/>
                <w:color w:val="auto"/>
                <w:sz w:val="24"/>
                <w:szCs w:val="24"/>
                <w:lang w:val="en-US" w:eastAsia="zh-CN"/>
              </w:rPr>
              <w:t>年销售汽油160t/a，汽油年通过量约为213.33m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color w:val="auto"/>
                <w:sz w:val="24"/>
                <w:szCs w:val="24"/>
                <w:lang w:val="en-US" w:eastAsia="zh-CN"/>
              </w:rPr>
              <w:t>设1套汽油油气回收装置，包括一次、二次油气回收系统，其中油罐车在加油站装卸油料过程进行一次油气回收，回收率可达99%；汽车加油时利用加油枪上的特殊装置实现二次油气回收，其回收的效率为85~95%，本项目取90%。则现有工程汽油挥发的非甲烷总烃排放量为0.0375t/a；</w:t>
            </w:r>
          </w:p>
          <w:p>
            <w:pPr>
              <w:keepNext w:val="0"/>
              <w:keepLines w:val="0"/>
              <w:pageBreakBefore w:val="0"/>
              <w:widowControl w:val="0"/>
              <w:kinsoku/>
              <w:wordWrap/>
              <w:overflowPunct/>
              <w:topLinePunct/>
              <w:autoSpaceDE w:val="0"/>
              <w:autoSpaceDN w:val="0"/>
              <w:bidi w:val="0"/>
              <w:adjustRightInd w:val="0"/>
              <w:snapToGrid w:val="0"/>
              <w:spacing w:line="520" w:lineRule="exact"/>
              <w:ind w:firstLine="480" w:firstLineChars="200"/>
              <w:jc w:val="both"/>
              <w:textAlignment w:val="baseline"/>
              <w:rPr>
                <w:rFonts w:hint="default"/>
                <w:color w:val="auto"/>
                <w:sz w:val="24"/>
                <w:szCs w:val="24"/>
                <w:lang w:val="en-US" w:eastAsia="zh-CN"/>
              </w:rPr>
            </w:pPr>
            <w:r>
              <w:rPr>
                <w:rFonts w:hint="eastAsia"/>
                <w:color w:val="auto"/>
                <w:sz w:val="24"/>
                <w:szCs w:val="24"/>
                <w:lang w:val="en-US" w:eastAsia="zh-CN"/>
              </w:rPr>
              <w:t>②柴油产生的非甲烷总烃：根据《环境影响评价工程师执业资格登记培训教材 社会区域类环境影响评价》，柴油储油罐小呼吸造成的烃类有机物排放速率为0.01kg/m</w:t>
            </w:r>
            <w:r>
              <w:rPr>
                <w:rFonts w:hint="eastAsia"/>
                <w:color w:val="auto"/>
                <w:sz w:val="24"/>
                <w:szCs w:val="24"/>
                <w:vertAlign w:val="superscript"/>
                <w:lang w:val="en-US" w:eastAsia="zh-CN"/>
              </w:rPr>
              <w:t>3</w:t>
            </w:r>
            <w:r>
              <w:rPr>
                <w:rFonts w:hint="eastAsia"/>
                <w:color w:val="auto"/>
                <w:sz w:val="24"/>
                <w:szCs w:val="24"/>
                <w:lang w:val="en-US" w:eastAsia="zh-CN"/>
              </w:rPr>
              <w:t>通过量。参照《中国加油站VOC排放污染现状及控制》，未安装油气回收系统的柴油储罐大呼吸产生的烃类气体排放因子为0.027kg/t，未安装油气回收系统的柴油加油机在进行加油时产生的烃类气体排放因子为0.048kg/t。现有工程</w:t>
            </w:r>
            <w:r>
              <w:rPr>
                <w:rFonts w:hint="eastAsia" w:ascii="Times New Roman" w:hAnsi="Times New Roman" w:eastAsia="宋体" w:cs="Times New Roman"/>
                <w:color w:val="auto"/>
                <w:sz w:val="24"/>
                <w:szCs w:val="24"/>
                <w:lang w:val="en-US" w:eastAsia="zh-CN"/>
              </w:rPr>
              <w:t>柴油年销售量为40t/a，柴油年通过量约为47.06m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color w:val="auto"/>
                <w:sz w:val="24"/>
                <w:szCs w:val="24"/>
                <w:lang w:val="en-US" w:eastAsia="zh-CN"/>
              </w:rPr>
              <w:t>则现有工程柴油挥发的非甲烷总烃排放量为0.0052t/a。</w:t>
            </w:r>
          </w:p>
          <w:p>
            <w:pPr>
              <w:keepNext w:val="0"/>
              <w:keepLines w:val="0"/>
              <w:pageBreakBefore w:val="0"/>
              <w:widowControl w:val="0"/>
              <w:numPr>
                <w:ilvl w:val="0"/>
                <w:numId w:val="0"/>
              </w:numPr>
              <w:kinsoku/>
              <w:wordWrap/>
              <w:overflowPunct/>
              <w:topLinePunct w:val="0"/>
              <w:bidi w:val="0"/>
              <w:snapToGrid w:val="0"/>
              <w:spacing w:line="520" w:lineRule="exact"/>
              <w:ind w:firstLine="480" w:firstLineChars="200"/>
              <w:textAlignment w:val="auto"/>
              <w:rPr>
                <w:rFonts w:hint="default"/>
                <w:sz w:val="24"/>
                <w:szCs w:val="24"/>
                <w:lang w:val="en-US" w:eastAsia="zh-CN"/>
              </w:rPr>
            </w:pPr>
            <w:r>
              <w:rPr>
                <w:rFonts w:hint="eastAsia"/>
                <w:color w:val="auto"/>
                <w:sz w:val="24"/>
                <w:szCs w:val="24"/>
                <w:lang w:val="en-US" w:eastAsia="zh-CN"/>
              </w:rPr>
              <w:t>现有工程汽油和柴油产生的非甲烷总烃量合计为0.0427t/a。</w:t>
            </w:r>
          </w:p>
          <w:p>
            <w:pPr>
              <w:keepNext w:val="0"/>
              <w:keepLines w:val="0"/>
              <w:pageBreakBefore w:val="0"/>
              <w:widowControl w:val="0"/>
              <w:numPr>
                <w:ilvl w:val="0"/>
                <w:numId w:val="0"/>
              </w:numPr>
              <w:kinsoku/>
              <w:wordWrap/>
              <w:overflowPunct/>
              <w:topLinePunct w:val="0"/>
              <w:bidi w:val="0"/>
              <w:snapToGrid w:val="0"/>
              <w:spacing w:line="520" w:lineRule="exact"/>
              <w:ind w:firstLine="480" w:firstLineChars="200"/>
              <w:textAlignment w:val="auto"/>
              <w:rPr>
                <w:rFonts w:hint="default"/>
                <w:sz w:val="24"/>
                <w:szCs w:val="24"/>
                <w:lang w:val="en-US" w:eastAsia="zh-CN"/>
              </w:rPr>
            </w:pPr>
            <w:r>
              <w:rPr>
                <w:rFonts w:hint="default"/>
                <w:sz w:val="24"/>
                <w:szCs w:val="24"/>
                <w:lang w:val="en-US" w:eastAsia="zh-CN"/>
              </w:rPr>
              <w:t>（2）废水：现有工程废水主要为员工与加油顾客产生的生活污水，经化粪池处理后</w:t>
            </w:r>
            <w:r>
              <w:rPr>
                <w:rFonts w:hint="eastAsia"/>
                <w:sz w:val="24"/>
                <w:szCs w:val="24"/>
                <w:lang w:val="en-US" w:eastAsia="zh-CN"/>
              </w:rPr>
              <w:t>定期清运</w:t>
            </w:r>
            <w:r>
              <w:rPr>
                <w:rFonts w:hint="default"/>
                <w:sz w:val="24"/>
                <w:szCs w:val="24"/>
                <w:lang w:val="en-US" w:eastAsia="zh-CN"/>
              </w:rPr>
              <w:t>。</w:t>
            </w:r>
          </w:p>
          <w:p>
            <w:pPr>
              <w:keepNext w:val="0"/>
              <w:keepLines w:val="0"/>
              <w:pageBreakBefore w:val="0"/>
              <w:widowControl w:val="0"/>
              <w:numPr>
                <w:ilvl w:val="0"/>
                <w:numId w:val="0"/>
              </w:numPr>
              <w:kinsoku/>
              <w:wordWrap/>
              <w:overflowPunct/>
              <w:topLinePunct w:val="0"/>
              <w:bidi w:val="0"/>
              <w:snapToGrid w:val="0"/>
              <w:spacing w:line="520" w:lineRule="exact"/>
              <w:ind w:firstLine="480" w:firstLineChars="200"/>
              <w:textAlignment w:val="auto"/>
              <w:rPr>
                <w:rFonts w:hint="default"/>
                <w:sz w:val="24"/>
                <w:szCs w:val="24"/>
                <w:lang w:val="en-US" w:eastAsia="zh-CN"/>
              </w:rPr>
            </w:pPr>
            <w:r>
              <w:rPr>
                <w:rFonts w:hint="default"/>
                <w:sz w:val="24"/>
                <w:szCs w:val="24"/>
                <w:lang w:val="en-US" w:eastAsia="zh-CN"/>
              </w:rPr>
              <w:t>（3）噪声：现有项目噪声主要为加油机运行噪声及来往机动车行驶产生的交通噪声。</w:t>
            </w:r>
            <w:r>
              <w:rPr>
                <w:rFonts w:hint="eastAsia"/>
                <w:sz w:val="24"/>
                <w:szCs w:val="24"/>
                <w:lang w:val="en-US" w:eastAsia="zh-CN"/>
              </w:rPr>
              <w:t>项目</w:t>
            </w:r>
            <w:r>
              <w:rPr>
                <w:rFonts w:hint="default"/>
                <w:sz w:val="24"/>
                <w:szCs w:val="24"/>
                <w:lang w:val="en-US" w:eastAsia="zh-CN"/>
              </w:rPr>
              <w:t>加油机采用低噪声加油泵，并设置有减振垫；对出入站内的机动车采取严格管理，车辆进站时减速、禁止鸣笛，加油时车辆熄火、平稳启动等措施，使区域内的交通噪声降到最低值；加强设备的使用和日常维护管理，维持设备处于良好的运转状态，定期检查、维修，不符合要求的要及时更换，避免因设备运转不正常导致噪声的增高等降噪措施。</w:t>
            </w:r>
          </w:p>
          <w:p>
            <w:pPr>
              <w:keepNext w:val="0"/>
              <w:keepLines w:val="0"/>
              <w:pageBreakBefore w:val="0"/>
              <w:widowControl w:val="0"/>
              <w:kinsoku/>
              <w:wordWrap/>
              <w:overflowPunct/>
              <w:topLinePunct w:val="0"/>
              <w:autoSpaceDE w:val="0"/>
              <w:autoSpaceDN w:val="0"/>
              <w:bidi w:val="0"/>
              <w:adjustRightInd/>
              <w:snapToGrid/>
              <w:spacing w:line="520" w:lineRule="exact"/>
              <w:ind w:leftChars="0" w:right="0" w:firstLine="480" w:firstLineChars="200"/>
              <w:textAlignment w:val="auto"/>
              <w:rPr>
                <w:rFonts w:hint="default" w:ascii="Times New Roman" w:hAnsi="Times New Roman" w:eastAsia="宋体" w:cs="Times New Roman"/>
                <w:color w:val="auto"/>
                <w:spacing w:val="4"/>
                <w:sz w:val="24"/>
                <w:szCs w:val="24"/>
                <w:highlight w:val="none"/>
              </w:rPr>
            </w:pPr>
            <w:r>
              <w:rPr>
                <w:rFonts w:hint="default"/>
                <w:sz w:val="24"/>
                <w:szCs w:val="24"/>
                <w:lang w:val="en-US" w:eastAsia="zh-CN"/>
              </w:rPr>
              <w:t>（4）固废：现有工程固废主要为生活垃圾和</w:t>
            </w:r>
            <w:r>
              <w:rPr>
                <w:rFonts w:hint="eastAsia"/>
                <w:sz w:val="24"/>
                <w:szCs w:val="24"/>
                <w:lang w:val="en-US" w:eastAsia="zh-CN"/>
              </w:rPr>
              <w:t>油罐油泥</w:t>
            </w:r>
            <w:r>
              <w:rPr>
                <w:rFonts w:hint="default"/>
                <w:sz w:val="24"/>
                <w:szCs w:val="24"/>
                <w:lang w:val="en-US" w:eastAsia="zh-CN"/>
              </w:rPr>
              <w:t>，生活垃圾由环卫部门统一收集，</w:t>
            </w:r>
            <w:r>
              <w:rPr>
                <w:rFonts w:hint="eastAsia"/>
                <w:sz w:val="24"/>
                <w:szCs w:val="24"/>
                <w:lang w:val="en-US" w:eastAsia="zh-CN"/>
              </w:rPr>
              <w:t>油罐油泥</w:t>
            </w:r>
            <w:r>
              <w:rPr>
                <w:rFonts w:hint="eastAsia" w:ascii="Times New Roman" w:hAnsi="Times New Roman" w:cs="Times New Roman"/>
                <w:color w:val="auto"/>
                <w:spacing w:val="4"/>
                <w:sz w:val="24"/>
                <w:szCs w:val="24"/>
                <w:highlight w:val="none"/>
                <w:lang w:val="en-US" w:eastAsia="zh-CN"/>
              </w:rPr>
              <w:t>由专业的有资质的清理单位清理后处置</w:t>
            </w:r>
            <w:r>
              <w:rPr>
                <w:rFonts w:hint="default" w:ascii="Times New Roman" w:hAnsi="Times New Roman" w:eastAsia="宋体" w:cs="Times New Roman"/>
                <w:color w:val="auto"/>
                <w:spacing w:val="4"/>
                <w:sz w:val="24"/>
                <w:szCs w:val="24"/>
                <w:highlight w:val="none"/>
              </w:rPr>
              <w:t>。</w:t>
            </w:r>
          </w:p>
          <w:p>
            <w:pPr>
              <w:keepNext w:val="0"/>
              <w:keepLines w:val="0"/>
              <w:pageBreakBefore w:val="0"/>
              <w:widowControl w:val="0"/>
              <w:kinsoku/>
              <w:wordWrap/>
              <w:overflowPunct/>
              <w:topLinePunct w:val="0"/>
              <w:bidi w:val="0"/>
              <w:adjustRightInd w:val="0"/>
              <w:snapToGrid w:val="0"/>
              <w:spacing w:line="520" w:lineRule="exact"/>
              <w:ind w:firstLine="480" w:firstLineChars="200"/>
              <w:textAlignment w:val="auto"/>
              <w:rPr>
                <w:rFonts w:hint="default"/>
                <w:shd w:val="clear"/>
                <w:lang w:val="en-US" w:eastAsia="zh-CN"/>
              </w:rPr>
            </w:pPr>
            <w:r>
              <w:rPr>
                <w:rFonts w:hint="default"/>
                <w:sz w:val="24"/>
                <w:szCs w:val="24"/>
                <w:lang w:val="en-US" w:eastAsia="zh-CN"/>
              </w:rPr>
              <w:t>根据现场情况，项目基本落实了</w:t>
            </w:r>
            <w:r>
              <w:rPr>
                <w:rFonts w:hint="eastAsia"/>
                <w:sz w:val="24"/>
                <w:szCs w:val="24"/>
                <w:lang w:eastAsia="zh-CN"/>
              </w:rPr>
              <w:t>现状环境影响评估报告和排污许可证</w:t>
            </w:r>
            <w:r>
              <w:rPr>
                <w:rFonts w:hint="default"/>
                <w:sz w:val="24"/>
                <w:szCs w:val="24"/>
                <w:lang w:val="en-US" w:eastAsia="zh-CN"/>
              </w:rPr>
              <w:t>中提出的各项污染防治措施和审批要</w:t>
            </w:r>
            <w:r>
              <w:rPr>
                <w:rFonts w:hint="default"/>
                <w:sz w:val="24"/>
                <w:szCs w:val="24"/>
                <w:shd w:val="clear"/>
                <w:lang w:val="en-US" w:eastAsia="zh-CN"/>
              </w:rPr>
              <w:t>求</w:t>
            </w:r>
            <w:r>
              <w:rPr>
                <w:rFonts w:hint="eastAsia"/>
                <w:sz w:val="24"/>
                <w:szCs w:val="24"/>
                <w:shd w:val="clear"/>
                <w:lang w:val="en-US" w:eastAsia="zh-CN"/>
              </w:rPr>
              <w:t>。根据《</w:t>
            </w:r>
            <w:r>
              <w:rPr>
                <w:rFonts w:hint="eastAsia"/>
                <w:sz w:val="24"/>
                <w:szCs w:val="24"/>
                <w:shd w:val="clear"/>
                <w:lang w:eastAsia="zh-CN"/>
              </w:rPr>
              <w:t>新乡县七里营镇四达加油站加油站项目现状环境影响评估报告</w:t>
            </w:r>
            <w:r>
              <w:rPr>
                <w:rFonts w:hint="eastAsia"/>
                <w:sz w:val="24"/>
                <w:szCs w:val="24"/>
                <w:shd w:val="clear"/>
                <w:lang w:val="en-US" w:eastAsia="zh-CN"/>
              </w:rPr>
              <w:t>》及加油站实际运行情况，现有工程各项污染物排放情况见下表</w:t>
            </w:r>
            <w:r>
              <w:rPr>
                <w:rFonts w:hint="default"/>
                <w:sz w:val="24"/>
                <w:szCs w:val="24"/>
                <w:shd w:val="clear"/>
                <w:lang w:val="en-US" w:eastAsia="zh-CN"/>
              </w:rPr>
              <w:t>。</w:t>
            </w:r>
          </w:p>
          <w:p>
            <w:pPr>
              <w:pStyle w:val="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现有</w:t>
            </w:r>
            <w:r>
              <w:rPr>
                <w:rFonts w:hint="default" w:ascii="Times New Roman" w:hAnsi="Times New Roman" w:eastAsia="宋体" w:cs="Times New Roman"/>
                <w:color w:val="auto"/>
                <w:lang w:val="en-US" w:eastAsia="zh-CN"/>
              </w:rPr>
              <w:t>工程污染物排放情况</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070"/>
              <w:gridCol w:w="235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46" w:type="pc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157" w:type="pct"/>
                  <w:gridSpan w:val="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污染物</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排放量</w:t>
                  </w:r>
                  <w:r>
                    <w:rPr>
                      <w:rFonts w:hint="eastAsia" w:ascii="Times New Roman" w:hAnsi="Times New Roman" w:cs="Times New Roman"/>
                      <w:color w:val="auto"/>
                      <w:szCs w:val="21"/>
                      <w:lang w:val="en-US" w:eastAsia="zh-CN"/>
                    </w:rPr>
                    <w:t>（固体废物为产生量）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2157" w:type="pct"/>
                  <w:gridSpan w:val="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lang w:val="en-US" w:eastAsia="zh-CN"/>
                    </w:rPr>
                    <w:t>非甲烷总烃（</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废水</w:t>
                  </w:r>
                </w:p>
              </w:tc>
              <w:tc>
                <w:tcPr>
                  <w:tcW w:w="2157" w:type="pct"/>
                  <w:gridSpan w:val="2"/>
                  <w:noWrap w:val="0"/>
                  <w:vAlign w:val="center"/>
                </w:tcPr>
                <w:p>
                  <w:pPr>
                    <w:topLinePunct/>
                    <w:autoSpaceDE w:val="0"/>
                    <w:autoSpaceDN w:val="0"/>
                    <w:adjustRightInd w:val="0"/>
                    <w:snapToGrid w:val="0"/>
                    <w:jc w:val="center"/>
                    <w:textAlignment w:val="baseline"/>
                    <w:rPr>
                      <w:rFonts w:hint="default" w:eastAsia="宋体"/>
                      <w:color w:val="auto"/>
                      <w:sz w:val="21"/>
                      <w:szCs w:val="21"/>
                      <w:lang w:val="en-US" w:eastAsia="zh-CN"/>
                    </w:rPr>
                  </w:pPr>
                  <w:r>
                    <w:rPr>
                      <w:rFonts w:hint="eastAsia"/>
                      <w:color w:val="auto"/>
                      <w:sz w:val="21"/>
                      <w:szCs w:val="21"/>
                      <w:lang w:val="en-US" w:eastAsia="zh-CN"/>
                    </w:rPr>
                    <w:t>COD</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color w:val="auto"/>
                      <w:szCs w:val="21"/>
                      <w:lang w:val="en-US" w:eastAsia="zh-CN"/>
                    </w:rPr>
                  </w:pPr>
                </w:p>
              </w:tc>
              <w:tc>
                <w:tcPr>
                  <w:tcW w:w="2157" w:type="pct"/>
                  <w:gridSpan w:val="2"/>
                  <w:noWrap w:val="0"/>
                  <w:vAlign w:val="center"/>
                </w:tcPr>
                <w:p>
                  <w:pPr>
                    <w:topLinePunct/>
                    <w:autoSpaceDE w:val="0"/>
                    <w:autoSpaceDN w:val="0"/>
                    <w:adjustRightInd w:val="0"/>
                    <w:snapToGrid w:val="0"/>
                    <w:jc w:val="center"/>
                    <w:textAlignment w:val="baseline"/>
                    <w:rPr>
                      <w:rFonts w:hint="eastAsia" w:eastAsia="宋体"/>
                      <w:color w:val="auto"/>
                      <w:sz w:val="21"/>
                      <w:szCs w:val="21"/>
                      <w:lang w:eastAsia="zh-CN"/>
                    </w:rPr>
                  </w:pPr>
                  <w:r>
                    <w:rPr>
                      <w:rFonts w:hint="eastAsia"/>
                      <w:color w:val="auto"/>
                      <w:sz w:val="21"/>
                      <w:szCs w:val="21"/>
                      <w:lang w:eastAsia="zh-CN"/>
                    </w:rPr>
                    <w:t>氨氮</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color w:val="auto"/>
                      <w:szCs w:val="21"/>
                      <w:lang w:val="en-US" w:eastAsia="zh-CN"/>
                    </w:rPr>
                  </w:pPr>
                </w:p>
              </w:tc>
              <w:tc>
                <w:tcPr>
                  <w:tcW w:w="2157" w:type="pct"/>
                  <w:gridSpan w:val="2"/>
                  <w:noWrap w:val="0"/>
                  <w:vAlign w:val="center"/>
                </w:tcPr>
                <w:p>
                  <w:pPr>
                    <w:topLinePunct/>
                    <w:autoSpaceDE w:val="0"/>
                    <w:autoSpaceDN w:val="0"/>
                    <w:adjustRightInd w:val="0"/>
                    <w:snapToGrid w:val="0"/>
                    <w:jc w:val="center"/>
                    <w:textAlignment w:val="baseline"/>
                    <w:rPr>
                      <w:rFonts w:hint="eastAsia" w:eastAsia="宋体"/>
                      <w:color w:val="auto"/>
                      <w:sz w:val="21"/>
                      <w:szCs w:val="21"/>
                      <w:lang w:eastAsia="zh-CN"/>
                    </w:rPr>
                  </w:pPr>
                  <w:r>
                    <w:rPr>
                      <w:rFonts w:hint="eastAsia"/>
                      <w:color w:val="auto"/>
                      <w:sz w:val="21"/>
                      <w:szCs w:val="21"/>
                      <w:lang w:eastAsia="zh-CN"/>
                    </w:rPr>
                    <w:t>总磷</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cs="Times New Roman"/>
                      <w:color w:val="auto"/>
                      <w:szCs w:val="21"/>
                      <w:lang w:val="en-US" w:eastAsia="zh-CN"/>
                    </w:rPr>
                  </w:pPr>
                </w:p>
              </w:tc>
              <w:tc>
                <w:tcPr>
                  <w:tcW w:w="2157" w:type="pct"/>
                  <w:gridSpan w:val="2"/>
                  <w:noWrap w:val="0"/>
                  <w:vAlign w:val="center"/>
                </w:tcPr>
                <w:p>
                  <w:pPr>
                    <w:topLinePunct/>
                    <w:autoSpaceDE w:val="0"/>
                    <w:autoSpaceDN w:val="0"/>
                    <w:adjustRightInd w:val="0"/>
                    <w:snapToGrid w:val="0"/>
                    <w:jc w:val="center"/>
                    <w:textAlignment w:val="baseline"/>
                    <w:rPr>
                      <w:rFonts w:hint="eastAsia" w:eastAsia="宋体"/>
                      <w:color w:val="auto"/>
                      <w:sz w:val="21"/>
                      <w:szCs w:val="21"/>
                      <w:lang w:eastAsia="zh-CN"/>
                    </w:rPr>
                  </w:pPr>
                  <w:r>
                    <w:rPr>
                      <w:rFonts w:hint="eastAsia"/>
                      <w:color w:val="auto"/>
                      <w:sz w:val="21"/>
                      <w:szCs w:val="21"/>
                      <w:lang w:eastAsia="zh-CN"/>
                    </w:rPr>
                    <w:t>总氮</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固废</w:t>
                  </w:r>
                </w:p>
              </w:tc>
              <w:tc>
                <w:tcPr>
                  <w:tcW w:w="2157" w:type="pct"/>
                  <w:gridSpan w:val="2"/>
                  <w:noWrap w:val="0"/>
                  <w:vAlign w:val="center"/>
                </w:tcPr>
                <w:p>
                  <w:pPr>
                    <w:topLinePunct/>
                    <w:autoSpaceDE w:val="0"/>
                    <w:autoSpaceDN w:val="0"/>
                    <w:adjustRightInd w:val="0"/>
                    <w:snapToGrid w:val="0"/>
                    <w:jc w:val="center"/>
                    <w:textAlignment w:val="baseline"/>
                    <w:rPr>
                      <w:rFonts w:hint="eastAsia"/>
                      <w:color w:val="auto"/>
                      <w:sz w:val="21"/>
                      <w:szCs w:val="21"/>
                      <w:lang w:eastAsia="zh-CN"/>
                    </w:rPr>
                  </w:pPr>
                  <w:r>
                    <w:rPr>
                      <w:rFonts w:hint="eastAsia"/>
                      <w:color w:val="auto"/>
                      <w:sz w:val="21"/>
                      <w:szCs w:val="21"/>
                      <w:lang w:eastAsia="zh-CN"/>
                    </w:rPr>
                    <w:t>生活垃圾</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default"/>
                      <w:color w:val="auto"/>
                      <w:sz w:val="21"/>
                      <w:szCs w:val="21"/>
                      <w:lang w:val="en-US" w:eastAsia="zh-CN"/>
                    </w:rPr>
                  </w:pPr>
                  <w:r>
                    <w:rPr>
                      <w:rFonts w:hint="eastAsia"/>
                      <w:color w:val="auto"/>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lang w:val="en-US" w:eastAsia="zh-CN"/>
                    </w:rPr>
                  </w:pPr>
                </w:p>
              </w:tc>
              <w:tc>
                <w:tcPr>
                  <w:tcW w:w="674" w:type="pct"/>
                  <w:noWrap w:val="0"/>
                  <w:vAlign w:val="center"/>
                </w:tcPr>
                <w:p>
                  <w:pPr>
                    <w:topLinePunct/>
                    <w:autoSpaceDE w:val="0"/>
                    <w:autoSpaceDN w:val="0"/>
                    <w:adjustRightInd w:val="0"/>
                    <w:snapToGrid w:val="0"/>
                    <w:jc w:val="center"/>
                    <w:textAlignment w:val="baseline"/>
                    <w:rPr>
                      <w:rFonts w:hint="default"/>
                      <w:color w:val="auto"/>
                      <w:kern w:val="2"/>
                      <w:sz w:val="21"/>
                      <w:szCs w:val="21"/>
                      <w:lang w:val="en-US" w:eastAsia="zh-CN" w:bidi="ar-SA"/>
                    </w:rPr>
                  </w:pPr>
                  <w:r>
                    <w:rPr>
                      <w:rFonts w:hint="eastAsia"/>
                      <w:color w:val="auto"/>
                      <w:kern w:val="2"/>
                      <w:sz w:val="21"/>
                      <w:szCs w:val="21"/>
                      <w:lang w:val="en-US" w:eastAsia="zh-CN" w:bidi="ar-SA"/>
                    </w:rPr>
                    <w:t>危险废物</w:t>
                  </w:r>
                </w:p>
              </w:tc>
              <w:tc>
                <w:tcPr>
                  <w:tcW w:w="1482" w:type="pct"/>
                  <w:noWrap w:val="0"/>
                  <w:vAlign w:val="center"/>
                </w:tcPr>
                <w:p>
                  <w:pPr>
                    <w:topLinePunct/>
                    <w:autoSpaceDE w:val="0"/>
                    <w:autoSpaceDN w:val="0"/>
                    <w:adjustRightInd w:val="0"/>
                    <w:snapToGrid w:val="0"/>
                    <w:jc w:val="center"/>
                    <w:textAlignment w:val="baseline"/>
                    <w:rPr>
                      <w:rFonts w:hint="default"/>
                      <w:color w:val="auto"/>
                      <w:kern w:val="2"/>
                      <w:sz w:val="21"/>
                      <w:szCs w:val="21"/>
                      <w:lang w:val="en-US" w:eastAsia="zh-CN" w:bidi="ar-SA"/>
                    </w:rPr>
                  </w:pPr>
                  <w:r>
                    <w:rPr>
                      <w:rFonts w:hint="eastAsia"/>
                      <w:color w:val="auto"/>
                      <w:sz w:val="21"/>
                      <w:szCs w:val="21"/>
                      <w:lang w:eastAsia="zh-CN"/>
                    </w:rPr>
                    <w:t>油罐油泥</w:t>
                  </w:r>
                  <w:r>
                    <w:rPr>
                      <w:rFonts w:hint="default" w:ascii="Times New Roman" w:hAnsi="Times New Roman" w:cs="Times New Roman"/>
                      <w:color w:val="auto"/>
                      <w:lang w:val="en-US" w:eastAsia="zh-CN"/>
                    </w:rPr>
                    <w:t>（</w:t>
                  </w:r>
                  <w:r>
                    <w:rPr>
                      <w:rFonts w:hint="default" w:ascii="Times New Roman" w:hAnsi="Times New Roman" w:cs="Times New Roman"/>
                      <w:color w:val="auto"/>
                      <w:szCs w:val="21"/>
                      <w:lang w:val="en-US" w:eastAsia="zh-CN"/>
                    </w:rPr>
                    <w:t>t/a</w:t>
                  </w:r>
                  <w:r>
                    <w:rPr>
                      <w:rFonts w:hint="default" w:ascii="Times New Roman" w:hAnsi="Times New Roman" w:cs="Times New Roman"/>
                      <w:color w:val="auto"/>
                      <w:lang w:val="en-US" w:eastAsia="zh-CN"/>
                    </w:rPr>
                    <w:t>）</w:t>
                  </w:r>
                </w:p>
              </w:tc>
              <w:tc>
                <w:tcPr>
                  <w:tcW w:w="0" w:type="auto"/>
                  <w:noWrap w:val="0"/>
                  <w:vAlign w:val="center"/>
                </w:tcPr>
                <w:p>
                  <w:pPr>
                    <w:topLinePunct/>
                    <w:autoSpaceDE w:val="0"/>
                    <w:autoSpaceDN w:val="0"/>
                    <w:adjustRightInd w:val="0"/>
                    <w:snapToGrid w:val="0"/>
                    <w:jc w:val="center"/>
                    <w:textAlignment w:val="baseline"/>
                    <w:rPr>
                      <w:rFonts w:hint="default" w:eastAsia="宋体"/>
                      <w:color w:val="auto"/>
                      <w:kern w:val="2"/>
                      <w:sz w:val="21"/>
                      <w:szCs w:val="21"/>
                      <w:lang w:val="en-US" w:eastAsia="zh-CN" w:bidi="ar-SA"/>
                    </w:rPr>
                  </w:pPr>
                  <w:r>
                    <w:rPr>
                      <w:rFonts w:hint="eastAsia"/>
                      <w:color w:val="auto"/>
                      <w:sz w:val="21"/>
                      <w:szCs w:val="21"/>
                      <w:lang w:val="en-US" w:eastAsia="zh-CN"/>
                    </w:rPr>
                    <w:t>0.02</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color w:val="auto"/>
                <w:sz w:val="24"/>
                <w:szCs w:val="24"/>
                <w:lang w:eastAsia="zh-CN"/>
              </w:rPr>
            </w:pP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rPr>
              <w:t>主要环境问题</w:t>
            </w:r>
          </w:p>
          <w:p>
            <w:pPr>
              <w:pStyle w:val="11"/>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eastAsia="宋体"/>
                <w:color w:val="000000"/>
                <w:lang w:eastAsia="zh-CN"/>
              </w:rPr>
            </w:pPr>
            <w:r>
              <w:rPr>
                <w:rFonts w:hint="eastAsia"/>
                <w:color w:val="000000"/>
                <w:lang w:eastAsia="zh-CN"/>
              </w:rPr>
              <w:t>现有项目未监测厂界无组织排放情况，鉴于现有项目储油罐均已拆除不再使用，无法再监测现有项目无组织排放情况，本次改扩建项目将按照自行监测要求开展相关监测。</w:t>
            </w:r>
          </w:p>
          <w:p>
            <w:pPr>
              <w:pStyle w:val="11"/>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color w:val="000000"/>
                <w:sz w:val="24"/>
                <w:lang w:eastAsia="zh-CN"/>
              </w:rPr>
            </w:pPr>
            <w:r>
              <w:rPr>
                <w:rFonts w:hint="eastAsia"/>
                <w:color w:val="000000"/>
                <w:sz w:val="24"/>
                <w:highlight w:val="none"/>
                <w:lang w:eastAsia="zh-CN"/>
              </w:rPr>
              <w:t>根据调查，</w:t>
            </w:r>
            <w:r>
              <w:rPr>
                <w:rStyle w:val="79"/>
                <w:rFonts w:hint="eastAsia"/>
                <w:color w:val="000000"/>
                <w:highlight w:val="none"/>
                <w:lang w:val="en-US" w:eastAsia="zh-CN"/>
              </w:rPr>
              <w:t>现有工程</w:t>
            </w:r>
            <w:r>
              <w:rPr>
                <w:rStyle w:val="79"/>
                <w:rFonts w:hint="eastAsia"/>
                <w:color w:val="000000"/>
                <w:highlight w:val="none"/>
                <w:lang w:eastAsia="zh-CN"/>
              </w:rPr>
              <w:t>设备设施</w:t>
            </w:r>
            <w:r>
              <w:rPr>
                <w:rFonts w:hint="eastAsia"/>
                <w:color w:val="000000"/>
                <w:sz w:val="24"/>
                <w:lang w:val="en-US" w:eastAsia="zh-CN"/>
              </w:rPr>
              <w:t>中2座20</w:t>
            </w:r>
            <w:r>
              <w:rPr>
                <w:rFonts w:hint="eastAsia"/>
                <w:color w:val="000000"/>
                <w:sz w:val="24"/>
              </w:rPr>
              <w:t>m</w:t>
            </w:r>
            <w:r>
              <w:rPr>
                <w:rFonts w:hint="eastAsia"/>
                <w:color w:val="000000"/>
                <w:sz w:val="24"/>
                <w:vertAlign w:val="superscript"/>
              </w:rPr>
              <w:t>3</w:t>
            </w:r>
            <w:r>
              <w:rPr>
                <w:rFonts w:hint="eastAsia"/>
                <w:color w:val="000000"/>
                <w:sz w:val="24"/>
                <w:vertAlign w:val="baseline"/>
                <w:lang w:eastAsia="zh-CN"/>
              </w:rPr>
              <w:t>汽</w:t>
            </w:r>
            <w:r>
              <w:rPr>
                <w:rFonts w:hint="eastAsia"/>
                <w:color w:val="000000"/>
                <w:sz w:val="24"/>
              </w:rPr>
              <w:t>油储罐</w:t>
            </w:r>
            <w:r>
              <w:rPr>
                <w:rFonts w:hint="eastAsia"/>
                <w:color w:val="000000"/>
                <w:sz w:val="24"/>
                <w:lang w:val="en-US" w:eastAsia="zh-CN"/>
              </w:rPr>
              <w:t>和2台</w:t>
            </w:r>
            <w:r>
              <w:rPr>
                <w:rFonts w:hint="eastAsia"/>
                <w:color w:val="000000"/>
                <w:sz w:val="24"/>
                <w:lang w:eastAsia="zh-CN"/>
              </w:rPr>
              <w:t>加油机</w:t>
            </w:r>
            <w:r>
              <w:rPr>
                <w:rFonts w:hint="eastAsia"/>
                <w:color w:val="000000"/>
                <w:sz w:val="24"/>
                <w:lang w:val="en-US" w:eastAsia="zh-CN"/>
              </w:rPr>
              <w:t>均已拆除并进行了更新替换，</w:t>
            </w:r>
            <w:r>
              <w:rPr>
                <w:rFonts w:hint="eastAsia"/>
                <w:color w:val="auto"/>
                <w:sz w:val="24"/>
                <w:lang w:val="en-US" w:eastAsia="zh-CN"/>
              </w:rPr>
              <w:t>现有工程的2座20m</w:t>
            </w:r>
            <w:r>
              <w:rPr>
                <w:rFonts w:hint="eastAsia"/>
                <w:color w:val="auto"/>
                <w:sz w:val="24"/>
                <w:vertAlign w:val="superscript"/>
                <w:lang w:val="en-US" w:eastAsia="zh-CN"/>
              </w:rPr>
              <w:t>3</w:t>
            </w:r>
            <w:r>
              <w:rPr>
                <w:rFonts w:hint="eastAsia"/>
                <w:color w:val="auto"/>
                <w:sz w:val="24"/>
                <w:lang w:val="en-US" w:eastAsia="zh-CN"/>
              </w:rPr>
              <w:t>的汽油储罐已替换为2座30m</w:t>
            </w:r>
            <w:r>
              <w:rPr>
                <w:rFonts w:hint="eastAsia"/>
                <w:color w:val="auto"/>
                <w:sz w:val="24"/>
                <w:vertAlign w:val="superscript"/>
                <w:lang w:val="en-US" w:eastAsia="zh-CN"/>
              </w:rPr>
              <w:t>3</w:t>
            </w:r>
            <w:r>
              <w:rPr>
                <w:rFonts w:hint="eastAsia"/>
                <w:color w:val="auto"/>
                <w:sz w:val="24"/>
                <w:lang w:val="en-US" w:eastAsia="zh-CN"/>
              </w:rPr>
              <w:t>的汽油储罐，2台加油机（1台单枪加油机和1台双枪加油机）已替换为2台四枪税控加油机，</w:t>
            </w:r>
            <w:r>
              <w:rPr>
                <w:rFonts w:hint="eastAsia"/>
                <w:color w:val="000000"/>
                <w:lang w:eastAsia="zh-CN"/>
              </w:rPr>
              <w:t>因此不存在与项目有关的原有环境污染问题</w:t>
            </w:r>
            <w:r>
              <w:rPr>
                <w:rFonts w:hint="eastAsia"/>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000000"/>
                <w:sz w:val="24"/>
              </w:rPr>
            </w:pPr>
            <w:r>
              <w:rPr>
                <w:rFonts w:hint="eastAsia"/>
                <w:color w:val="000000"/>
                <w:sz w:val="24"/>
              </w:rPr>
              <w:t>根据现场调查，目前</w:t>
            </w:r>
            <w:r>
              <w:rPr>
                <w:rFonts w:hint="eastAsia"/>
                <w:color w:val="000000"/>
                <w:sz w:val="24"/>
                <w:lang w:eastAsia="zh-CN"/>
              </w:rPr>
              <w:t>站区改建已完成，主要</w:t>
            </w:r>
            <w:r>
              <w:rPr>
                <w:rFonts w:hint="eastAsia"/>
                <w:color w:val="000000"/>
                <w:sz w:val="24"/>
              </w:rPr>
              <w:t>设备</w:t>
            </w:r>
            <w:r>
              <w:rPr>
                <w:rFonts w:hint="eastAsia"/>
                <w:color w:val="000000"/>
                <w:sz w:val="24"/>
                <w:lang w:eastAsia="zh-CN"/>
              </w:rPr>
              <w:t>均已经</w:t>
            </w:r>
            <w:r>
              <w:rPr>
                <w:rFonts w:hint="eastAsia"/>
                <w:color w:val="000000"/>
                <w:sz w:val="24"/>
              </w:rPr>
              <w:t>安装，投入生产，厂区内存在的环保问题及整改措施见</w:t>
            </w:r>
            <w:r>
              <w:rPr>
                <w:rFonts w:hint="eastAsia"/>
                <w:color w:val="000000"/>
                <w:sz w:val="24"/>
                <w:lang w:val="en-US" w:eastAsia="zh-CN"/>
              </w:rPr>
              <w:t>下</w:t>
            </w:r>
            <w:r>
              <w:rPr>
                <w:rFonts w:hint="eastAsia"/>
                <w:color w:val="000000"/>
                <w:sz w:val="24"/>
              </w:rPr>
              <w:t>表。</w:t>
            </w:r>
          </w:p>
          <w:p>
            <w:pPr>
              <w:pStyle w:val="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厂区内存在的环保问题及整改措施一览表</w:t>
            </w:r>
          </w:p>
          <w:tbl>
            <w:tblPr>
              <w:tblStyle w:val="2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341"/>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pPr>
                    <w:adjustRightInd w:val="0"/>
                    <w:snapToGrid w:val="0"/>
                    <w:spacing w:line="360" w:lineRule="exact"/>
                    <w:jc w:val="center"/>
                    <w:rPr>
                      <w:b/>
                      <w:bCs/>
                      <w:color w:val="000000"/>
                      <w:szCs w:val="21"/>
                    </w:rPr>
                  </w:pPr>
                  <w:r>
                    <w:rPr>
                      <w:rFonts w:hint="eastAsia"/>
                      <w:b/>
                      <w:bCs/>
                      <w:color w:val="000000"/>
                      <w:szCs w:val="21"/>
                    </w:rPr>
                    <w:t>序号</w:t>
                  </w:r>
                </w:p>
              </w:tc>
              <w:tc>
                <w:tcPr>
                  <w:tcW w:w="1475" w:type="pct"/>
                  <w:noWrap w:val="0"/>
                  <w:vAlign w:val="center"/>
                </w:tcPr>
                <w:p>
                  <w:pPr>
                    <w:adjustRightInd w:val="0"/>
                    <w:snapToGrid w:val="0"/>
                    <w:spacing w:line="360" w:lineRule="exact"/>
                    <w:jc w:val="center"/>
                    <w:rPr>
                      <w:b/>
                      <w:bCs/>
                      <w:color w:val="000000"/>
                      <w:szCs w:val="21"/>
                    </w:rPr>
                  </w:pPr>
                  <w:r>
                    <w:rPr>
                      <w:rFonts w:hint="eastAsia"/>
                      <w:b/>
                      <w:bCs/>
                      <w:color w:val="000000"/>
                      <w:szCs w:val="21"/>
                    </w:rPr>
                    <w:t>存在问题</w:t>
                  </w:r>
                </w:p>
              </w:tc>
              <w:tc>
                <w:tcPr>
                  <w:tcW w:w="3015" w:type="pct"/>
                  <w:noWrap w:val="0"/>
                  <w:vAlign w:val="center"/>
                </w:tcPr>
                <w:p>
                  <w:pPr>
                    <w:adjustRightInd w:val="0"/>
                    <w:snapToGrid w:val="0"/>
                    <w:spacing w:line="360" w:lineRule="exact"/>
                    <w:jc w:val="center"/>
                    <w:rPr>
                      <w:b/>
                      <w:bCs/>
                      <w:color w:val="000000"/>
                      <w:szCs w:val="21"/>
                    </w:rPr>
                  </w:pPr>
                  <w:r>
                    <w:rPr>
                      <w:rFonts w:hint="eastAsia"/>
                      <w:b/>
                      <w:bCs/>
                      <w:color w:val="000000"/>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pPr>
                    <w:adjustRightInd w:val="0"/>
                    <w:snapToGrid w:val="0"/>
                    <w:spacing w:line="360" w:lineRule="exact"/>
                    <w:jc w:val="center"/>
                    <w:rPr>
                      <w:color w:val="000000"/>
                      <w:szCs w:val="21"/>
                    </w:rPr>
                  </w:pPr>
                  <w:r>
                    <w:rPr>
                      <w:rFonts w:hint="eastAsia"/>
                      <w:color w:val="000000"/>
                      <w:szCs w:val="21"/>
                    </w:rPr>
                    <w:t>1</w:t>
                  </w:r>
                </w:p>
              </w:tc>
              <w:tc>
                <w:tcPr>
                  <w:tcW w:w="1475" w:type="pct"/>
                  <w:noWrap w:val="0"/>
                  <w:vAlign w:val="center"/>
                </w:tcPr>
                <w:p>
                  <w:pPr>
                    <w:adjustRightInd w:val="0"/>
                    <w:snapToGrid w:val="0"/>
                    <w:spacing w:line="360" w:lineRule="exact"/>
                    <w:jc w:val="center"/>
                    <w:rPr>
                      <w:rFonts w:hint="eastAsia" w:eastAsia="宋体"/>
                      <w:color w:val="000000"/>
                      <w:szCs w:val="21"/>
                      <w:lang w:eastAsia="zh-CN"/>
                    </w:rPr>
                  </w:pPr>
                  <w:r>
                    <w:rPr>
                      <w:rFonts w:hint="eastAsia"/>
                      <w:color w:val="000000"/>
                      <w:szCs w:val="21"/>
                      <w:lang w:eastAsia="zh-CN"/>
                    </w:rPr>
                    <w:t>未建地下水监测井</w:t>
                  </w:r>
                </w:p>
              </w:tc>
              <w:tc>
                <w:tcPr>
                  <w:tcW w:w="3015" w:type="pct"/>
                  <w:noWrap w:val="0"/>
                  <w:vAlign w:val="center"/>
                </w:tcPr>
                <w:p>
                  <w:pPr>
                    <w:adjustRightInd w:val="0"/>
                    <w:snapToGrid w:val="0"/>
                    <w:spacing w:line="360" w:lineRule="exact"/>
                    <w:jc w:val="center"/>
                    <w:rPr>
                      <w:rFonts w:hint="eastAsia"/>
                      <w:b/>
                      <w:color w:val="000000"/>
                      <w:szCs w:val="21"/>
                      <w:u w:val="single"/>
                    </w:rPr>
                  </w:pPr>
                  <w:r>
                    <w:rPr>
                      <w:rFonts w:hint="eastAsia"/>
                      <w:bCs/>
                      <w:color w:val="000000"/>
                      <w:szCs w:val="21"/>
                      <w:lang w:eastAsia="zh-CN"/>
                    </w:rPr>
                    <w:t>站区设地下水监测井，采用一孔成井工艺，设在罐区地下水流向的下游，且尽可能靠近地下油罐</w:t>
                  </w:r>
                </w:p>
              </w:tc>
            </w:tr>
          </w:tbl>
          <w:p>
            <w:pPr>
              <w:pStyle w:val="2"/>
              <w:rPr>
                <w:rFonts w:hint="eastAsia"/>
                <w:lang w:eastAsia="zh-CN"/>
              </w:rPr>
            </w:pPr>
          </w:p>
          <w:p>
            <w:pPr>
              <w:pStyle w:val="2"/>
              <w:rPr>
                <w:rFonts w:hint="eastAsia" w:eastAsia="宋体"/>
                <w:lang w:eastAsia="zh-CN"/>
              </w:rPr>
            </w:pPr>
          </w:p>
        </w:tc>
      </w:tr>
    </w:tbl>
    <w:p>
      <w:pPr>
        <w:pStyle w:val="21"/>
        <w:jc w:val="center"/>
        <w:rPr>
          <w:rFonts w:ascii="黑体" w:hAnsi="黑体" w:eastAsia="黑体"/>
          <w:snapToGrid w:val="0"/>
          <w:color w:val="FF0000"/>
          <w:sz w:val="36"/>
          <w:szCs w:val="36"/>
        </w:rPr>
        <w:sectPr>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line="14" w:lineRule="auto"/>
        <w:jc w:val="center"/>
        <w:outlineLvl w:val="0"/>
        <w:rPr>
          <w:rFonts w:ascii="黑体" w:hAnsi="黑体" w:eastAsia="黑体"/>
          <w:snapToGrid w:val="0"/>
          <w:color w:val="FF0000"/>
          <w:sz w:val="30"/>
          <w:szCs w:val="30"/>
        </w:rPr>
      </w:pPr>
    </w:p>
    <w:p>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3" w:hRule="atLeast"/>
          <w:jc w:val="center"/>
        </w:trPr>
        <w:tc>
          <w:tcPr>
            <w:tcW w:w="800" w:type="dxa"/>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区域</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环境</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质量</w:t>
            </w:r>
          </w:p>
          <w:p>
            <w:pPr>
              <w:adjustRightInd w:val="0"/>
              <w:snapToGrid w:val="0"/>
              <w:jc w:val="center"/>
              <w:rPr>
                <w:rFonts w:ascii="宋体" w:hAnsi="宋体" w:cs="宋体"/>
                <w:color w:val="FF0000"/>
                <w:kern w:val="0"/>
                <w:szCs w:val="21"/>
              </w:rPr>
            </w:pPr>
            <w:r>
              <w:rPr>
                <w:rFonts w:hint="eastAsia" w:ascii="宋体" w:hAnsi="宋体" w:cs="宋体"/>
                <w:color w:val="auto"/>
                <w:kern w:val="0"/>
                <w:sz w:val="24"/>
                <w:szCs w:val="24"/>
              </w:rPr>
              <w:t>现状</w:t>
            </w:r>
          </w:p>
        </w:tc>
        <w:tc>
          <w:tcPr>
            <w:tcW w:w="8190" w:type="dxa"/>
            <w:vAlign w:val="center"/>
          </w:tcPr>
          <w:p>
            <w:pPr>
              <w:adjustRightInd w:val="0"/>
              <w:snapToGrid w:val="0"/>
              <w:spacing w:line="460" w:lineRule="exact"/>
              <w:ind w:firstLine="480" w:firstLineChars="200"/>
              <w:rPr>
                <w:color w:val="auto"/>
                <w:sz w:val="24"/>
              </w:rPr>
            </w:pPr>
            <w:r>
              <w:rPr>
                <w:color w:val="auto"/>
                <w:sz w:val="24"/>
              </w:rPr>
              <w:t>根据现有环境监测资料，建设项目所在地环境质量状况如下：</w:t>
            </w:r>
          </w:p>
          <w:p>
            <w:pPr>
              <w:adjustRightInd w:val="0"/>
              <w:snapToGrid w:val="0"/>
              <w:spacing w:line="460" w:lineRule="exact"/>
              <w:ind w:firstLine="482" w:firstLineChars="200"/>
              <w:rPr>
                <w:b/>
                <w:color w:val="auto"/>
                <w:sz w:val="24"/>
              </w:rPr>
            </w:pPr>
            <w:r>
              <w:rPr>
                <w:b/>
                <w:color w:val="auto"/>
                <w:sz w:val="24"/>
              </w:rPr>
              <w:t>1、环境空气质量现状</w:t>
            </w:r>
          </w:p>
          <w:p>
            <w:pPr>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auto"/>
              <w:rPr>
                <w:color w:val="auto"/>
                <w:kern w:val="0"/>
                <w:sz w:val="24"/>
              </w:rPr>
            </w:pPr>
            <w:r>
              <w:rPr>
                <w:rFonts w:hint="default" w:ascii="Times New Roman" w:hAnsi="Times New Roman" w:eastAsia="宋体" w:cs="Times New Roman"/>
                <w:color w:val="auto"/>
                <w:sz w:val="24"/>
                <w:szCs w:val="24"/>
              </w:rPr>
              <w:t>项目所在地属于环境空气二类功能区，环境空气质量应执行《环境空气质量标准》（GB3095-2012）二级标准</w:t>
            </w:r>
            <w:r>
              <w:rPr>
                <w:rFonts w:hint="default" w:ascii="Times New Roman" w:hAnsi="Times New Roman" w:eastAsia="宋体" w:cs="Times New Roman"/>
                <w:b w:val="0"/>
                <w:bCs w:val="0"/>
                <w:color w:val="auto"/>
                <w:sz w:val="24"/>
                <w:szCs w:val="24"/>
                <w:u w:val="none"/>
              </w:rPr>
              <w:t>。</w:t>
            </w:r>
            <w:r>
              <w:rPr>
                <w:rFonts w:hint="eastAsia" w:ascii="宋体" w:hAnsi="宋体"/>
                <w:color w:val="auto"/>
                <w:kern w:val="0"/>
                <w:sz w:val="24"/>
              </w:rPr>
              <w:t>根据新乡市生态环境局发布的《新乡市</w:t>
            </w:r>
            <w:r>
              <w:rPr>
                <w:rFonts w:hint="eastAsia"/>
                <w:color w:val="auto"/>
                <w:kern w:val="0"/>
                <w:sz w:val="24"/>
                <w:lang w:val="en-US" w:eastAsia="zh-CN"/>
              </w:rPr>
              <w:t>2021</w:t>
            </w:r>
            <w:r>
              <w:rPr>
                <w:rFonts w:hint="eastAsia" w:ascii="宋体" w:hAnsi="宋体"/>
                <w:color w:val="auto"/>
                <w:kern w:val="0"/>
                <w:sz w:val="24"/>
              </w:rPr>
              <w:t>年环境质量年报》，区域空气质量现状数据如下表所示。</w:t>
            </w:r>
          </w:p>
          <w:p>
            <w:pPr>
              <w:pStyle w:val="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区域空气质量现状评价表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224"/>
              <w:gridCol w:w="1651"/>
              <w:gridCol w:w="1367"/>
              <w:gridCol w:w="1485"/>
              <w:gridCol w:w="111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污染物</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年评价指标</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现状浓度</w:t>
                  </w:r>
                  <w:r>
                    <w:rPr>
                      <w:rFonts w:eastAsia="宋体"/>
                      <w:b/>
                      <w:bCs/>
                      <w:color w:val="auto"/>
                      <w:sz w:val="21"/>
                      <w:szCs w:val="21"/>
                    </w:rPr>
                    <w:t>/</w:t>
                  </w:r>
                  <w:r>
                    <w:rPr>
                      <w:rFonts w:hAnsi="宋体" w:eastAsia="宋体"/>
                      <w:b/>
                      <w:bCs/>
                      <w:color w:val="auto"/>
                      <w:sz w:val="21"/>
                      <w:szCs w:val="21"/>
                    </w:rPr>
                    <w:t>（</w:t>
                  </w:r>
                  <w:r>
                    <w:rPr>
                      <w:rFonts w:eastAsia="宋体"/>
                      <w:b/>
                      <w:bCs/>
                      <w:color w:val="auto"/>
                      <w:sz w:val="21"/>
                      <w:szCs w:val="21"/>
                    </w:rPr>
                    <w:t>μg/m</w:t>
                  </w:r>
                  <w:r>
                    <w:rPr>
                      <w:rFonts w:eastAsia="宋体"/>
                      <w:b/>
                      <w:bCs/>
                      <w:color w:val="auto"/>
                      <w:sz w:val="21"/>
                      <w:szCs w:val="21"/>
                      <w:vertAlign w:val="superscript"/>
                    </w:rPr>
                    <w:t>3</w:t>
                  </w:r>
                  <w:r>
                    <w:rPr>
                      <w:rFonts w:hAnsi="宋体" w:eastAsia="宋体"/>
                      <w:b/>
                      <w:bCs/>
                      <w:color w:val="auto"/>
                      <w:sz w:val="21"/>
                      <w:szCs w:val="21"/>
                    </w:rPr>
                    <w:t>）</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标准值</w:t>
                  </w:r>
                  <w:r>
                    <w:rPr>
                      <w:rFonts w:eastAsia="宋体"/>
                      <w:b/>
                      <w:bCs/>
                      <w:color w:val="auto"/>
                      <w:sz w:val="21"/>
                      <w:szCs w:val="21"/>
                    </w:rPr>
                    <w:t>/</w:t>
                  </w:r>
                  <w:r>
                    <w:rPr>
                      <w:rFonts w:hAnsi="宋体" w:eastAsia="宋体"/>
                      <w:b/>
                      <w:bCs/>
                      <w:color w:val="auto"/>
                      <w:sz w:val="21"/>
                      <w:szCs w:val="21"/>
                    </w:rPr>
                    <w:t>（</w:t>
                  </w:r>
                  <w:r>
                    <w:rPr>
                      <w:rFonts w:eastAsia="宋体"/>
                      <w:b/>
                      <w:bCs/>
                      <w:color w:val="auto"/>
                      <w:sz w:val="21"/>
                      <w:szCs w:val="21"/>
                    </w:rPr>
                    <w:t>μg/m</w:t>
                  </w:r>
                  <w:r>
                    <w:rPr>
                      <w:rFonts w:eastAsia="宋体"/>
                      <w:b/>
                      <w:bCs/>
                      <w:color w:val="auto"/>
                      <w:sz w:val="21"/>
                      <w:szCs w:val="21"/>
                      <w:vertAlign w:val="superscript"/>
                    </w:rPr>
                    <w:t>3</w:t>
                  </w:r>
                  <w:r>
                    <w:rPr>
                      <w:rFonts w:hAnsi="宋体" w:eastAsia="宋体"/>
                      <w:b/>
                      <w:bCs/>
                      <w:color w:val="auto"/>
                      <w:sz w:val="21"/>
                      <w:szCs w:val="21"/>
                    </w:rPr>
                    <w:t>）</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占标率</w:t>
                  </w:r>
                  <w:r>
                    <w:rPr>
                      <w:rFonts w:eastAsia="宋体"/>
                      <w:b/>
                      <w:bCs/>
                      <w:color w:val="auto"/>
                      <w:sz w:val="21"/>
                      <w:szCs w:val="21"/>
                    </w:rPr>
                    <w:t>%</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b/>
                      <w:bCs/>
                      <w:color w:val="auto"/>
                      <w:sz w:val="21"/>
                      <w:szCs w:val="21"/>
                    </w:rPr>
                  </w:pPr>
                  <w:r>
                    <w:rPr>
                      <w:rFonts w:hAnsi="宋体" w:eastAsia="宋体"/>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PM</w:t>
                  </w:r>
                  <w:r>
                    <w:rPr>
                      <w:rFonts w:eastAsia="宋体"/>
                      <w:color w:val="auto"/>
                      <w:sz w:val="21"/>
                      <w:szCs w:val="21"/>
                      <w:vertAlign w:val="subscript"/>
                    </w:rPr>
                    <w:t>10</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年平</w:t>
                  </w:r>
                  <w:r>
                    <w:rPr>
                      <w:color w:val="auto"/>
                      <w:sz w:val="21"/>
                      <w:szCs w:val="21"/>
                    </w:rPr>
                    <w:t>均质量浓度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93</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70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132.9</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PM</w:t>
                  </w:r>
                  <w:r>
                    <w:rPr>
                      <w:rFonts w:eastAsia="宋体"/>
                      <w:color w:val="auto"/>
                      <w:sz w:val="21"/>
                      <w:szCs w:val="21"/>
                      <w:vertAlign w:val="subscript"/>
                    </w:rPr>
                    <w:t>2.5</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年平均质量浓度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47</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35</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134.3</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SO</w:t>
                  </w:r>
                  <w:r>
                    <w:rPr>
                      <w:rFonts w:eastAsia="宋体"/>
                      <w:color w:val="auto"/>
                      <w:sz w:val="21"/>
                      <w:szCs w:val="21"/>
                      <w:vertAlign w:val="subscript"/>
                    </w:rPr>
                    <w:t>2</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年平均质量浓度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11</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60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18.3</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NO</w:t>
                  </w:r>
                  <w:r>
                    <w:rPr>
                      <w:rFonts w:eastAsia="宋体"/>
                      <w:color w:val="auto"/>
                      <w:sz w:val="21"/>
                      <w:szCs w:val="21"/>
                      <w:vertAlign w:val="subscript"/>
                    </w:rPr>
                    <w:t>2</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年平均质量浓度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32</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40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80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int="eastAsia" w:hAnsi="宋体" w:eastAsia="宋体"/>
                      <w:color w:val="auto"/>
                      <w:sz w:val="21"/>
                      <w:szCs w:val="21"/>
                      <w:lang w:eastAsia="zh-CN"/>
                    </w:rPr>
                    <w:t>达</w:t>
                  </w:r>
                  <w:r>
                    <w:rPr>
                      <w:rFonts w:hAnsi="宋体" w:eastAsia="宋体"/>
                      <w:color w:val="auto"/>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CO</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第</w:t>
                  </w:r>
                  <w:r>
                    <w:rPr>
                      <w:rFonts w:eastAsia="宋体"/>
                      <w:color w:val="auto"/>
                      <w:sz w:val="21"/>
                      <w:szCs w:val="21"/>
                    </w:rPr>
                    <w:t>95</w:t>
                  </w:r>
                  <w:r>
                    <w:rPr>
                      <w:rFonts w:hAnsi="宋体" w:eastAsia="宋体"/>
                      <w:color w:val="auto"/>
                      <w:sz w:val="21"/>
                      <w:szCs w:val="21"/>
                    </w:rPr>
                    <w:t>百分位浓度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1.6</w:t>
                  </w:r>
                  <w:r>
                    <w:rPr>
                      <w:rFonts w:eastAsia="宋体"/>
                      <w:color w:val="auto"/>
                      <w:sz w:val="21"/>
                      <w:szCs w:val="21"/>
                    </w:rPr>
                    <w:t>mg/m</w:t>
                  </w:r>
                  <w:r>
                    <w:rPr>
                      <w:rFonts w:eastAsia="宋体"/>
                      <w:color w:val="auto"/>
                      <w:sz w:val="21"/>
                      <w:szCs w:val="21"/>
                      <w:vertAlign w:val="superscript"/>
                    </w:rPr>
                    <w:t>3</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4mg/m</w:t>
                  </w:r>
                  <w:r>
                    <w:rPr>
                      <w:rFonts w:eastAsia="宋体"/>
                      <w:color w:val="auto"/>
                      <w:sz w:val="21"/>
                      <w:szCs w:val="21"/>
                      <w:vertAlign w:val="superscript"/>
                    </w:rPr>
                    <w:t>3</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40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769"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O</w:t>
                  </w:r>
                  <w:r>
                    <w:rPr>
                      <w:rFonts w:eastAsia="宋体"/>
                      <w:color w:val="auto"/>
                      <w:sz w:val="21"/>
                      <w:szCs w:val="21"/>
                      <w:vertAlign w:val="subscript"/>
                    </w:rPr>
                    <w:t>3</w:t>
                  </w:r>
                </w:p>
              </w:tc>
              <w:tc>
                <w:tcPr>
                  <w:tcW w:w="1036"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第</w:t>
                  </w:r>
                  <w:r>
                    <w:rPr>
                      <w:rFonts w:eastAsia="宋体"/>
                      <w:color w:val="auto"/>
                      <w:sz w:val="21"/>
                      <w:szCs w:val="21"/>
                    </w:rPr>
                    <w:t>90</w:t>
                  </w:r>
                  <w:r>
                    <w:rPr>
                      <w:rFonts w:hAnsi="宋体" w:eastAsia="宋体"/>
                      <w:color w:val="auto"/>
                      <w:sz w:val="21"/>
                      <w:szCs w:val="21"/>
                    </w:rPr>
                    <w:t>百分位浓度</w:t>
                  </w:r>
                </w:p>
              </w:tc>
              <w:tc>
                <w:tcPr>
                  <w:tcW w:w="858"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173</w:t>
                  </w:r>
                </w:p>
              </w:tc>
              <w:tc>
                <w:tcPr>
                  <w:tcW w:w="932"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eastAsia="宋体"/>
                      <w:color w:val="auto"/>
                      <w:sz w:val="21"/>
                      <w:szCs w:val="21"/>
                    </w:rPr>
                    <w:t>160</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108.1</w:t>
                  </w:r>
                </w:p>
              </w:tc>
              <w:tc>
                <w:tcPr>
                  <w:tcW w:w="701" w:type="pct"/>
                  <w:noWrap w:val="0"/>
                  <w:tcMar>
                    <w:top w:w="57" w:type="dxa"/>
                    <w:left w:w="85" w:type="dxa"/>
                    <w:bottom w:w="57" w:type="dxa"/>
                    <w:right w:w="85" w:type="dxa"/>
                  </w:tcMar>
                  <w:vAlign w:val="center"/>
                </w:tcPr>
                <w:p>
                  <w:pPr>
                    <w:autoSpaceDE w:val="0"/>
                    <w:autoSpaceDN w:val="0"/>
                    <w:adjustRightInd w:val="0"/>
                    <w:snapToGrid w:val="0"/>
                    <w:jc w:val="center"/>
                    <w:rPr>
                      <w:rFonts w:eastAsia="宋体"/>
                      <w:color w:val="auto"/>
                      <w:sz w:val="21"/>
                      <w:szCs w:val="21"/>
                    </w:rPr>
                  </w:pPr>
                  <w:r>
                    <w:rPr>
                      <w:rFonts w:hAnsi="宋体" w:eastAsia="宋体"/>
                      <w:color w:val="auto"/>
                      <w:sz w:val="21"/>
                      <w:szCs w:val="21"/>
                    </w:rPr>
                    <w:t>超标</w:t>
                  </w:r>
                </w:p>
              </w:tc>
            </w:tr>
          </w:tbl>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由上表可知，其中PM</w:t>
            </w:r>
            <w:r>
              <w:rPr>
                <w:rFonts w:hint="default" w:ascii="Times New Roman" w:hAnsi="Times New Roman" w:cs="Times New Roman"/>
                <w:color w:val="auto"/>
                <w:kern w:val="0"/>
                <w:sz w:val="24"/>
                <w:szCs w:val="24"/>
                <w:vertAlign w:val="subscript"/>
              </w:rPr>
              <w:t>10</w:t>
            </w:r>
            <w:r>
              <w:rPr>
                <w:rFonts w:hint="default" w:ascii="Times New Roman" w:hAnsi="Times New Roman" w:cs="Times New Roman"/>
                <w:color w:val="auto"/>
                <w:kern w:val="0"/>
                <w:sz w:val="24"/>
                <w:szCs w:val="24"/>
              </w:rPr>
              <w:t>、PM</w:t>
            </w:r>
            <w:r>
              <w:rPr>
                <w:rFonts w:hint="default" w:ascii="Times New Roman" w:hAnsi="Times New Roman" w:cs="Times New Roman"/>
                <w:color w:val="auto"/>
                <w:kern w:val="0"/>
                <w:sz w:val="24"/>
                <w:szCs w:val="24"/>
                <w:vertAlign w:val="subscript"/>
              </w:rPr>
              <w:t>2.5</w:t>
            </w:r>
            <w:r>
              <w:rPr>
                <w:rFonts w:hint="default" w:ascii="Times New Roman" w:hAnsi="Times New Roman" w:cs="Times New Roman"/>
                <w:color w:val="auto"/>
                <w:kern w:val="0"/>
                <w:sz w:val="24"/>
                <w:szCs w:val="24"/>
              </w:rPr>
              <w:t>、O</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均不能够满足《环境空气质量标准》（GB3095-2012）二级标准要求。根据《环境影响评价技术导则 大气环境》(HJ2.2-2018)，本项目所在区域属于未达标区。</w:t>
            </w:r>
          </w:p>
          <w:p>
            <w:pPr>
              <w:keepNext w:val="0"/>
              <w:keepLines w:val="0"/>
              <w:pageBreakBefore w:val="0"/>
              <w:widowControl/>
              <w:kinsoku/>
              <w:wordWrap/>
              <w:overflowPunct/>
              <w:topLinePunct w:val="0"/>
              <w:autoSpaceDE/>
              <w:autoSpaceDN/>
              <w:bidi w:val="0"/>
              <w:snapToGrid/>
              <w:spacing w:line="520" w:lineRule="exact"/>
              <w:ind w:firstLine="436" w:firstLineChars="182"/>
              <w:textAlignment w:val="auto"/>
              <w:rPr>
                <w:rFonts w:hint="default" w:ascii="Times New Roman" w:hAnsi="Times New Roman" w:cs="Times New Roman"/>
                <w:color w:val="FF0000"/>
                <w:kern w:val="0"/>
                <w:sz w:val="24"/>
                <w:szCs w:val="24"/>
              </w:rPr>
            </w:pPr>
            <w:r>
              <w:rPr>
                <w:rFonts w:hint="eastAsia" w:cs="Times New Roman"/>
                <w:color w:val="auto"/>
                <w:kern w:val="0"/>
                <w:sz w:val="24"/>
                <w:szCs w:val="24"/>
                <w:lang w:val="en-US" w:eastAsia="zh-CN"/>
              </w:rPr>
              <w:t>2021</w:t>
            </w:r>
            <w:r>
              <w:rPr>
                <w:rFonts w:hint="default" w:ascii="Times New Roman" w:hAnsi="Times New Roman" w:cs="Times New Roman"/>
                <w:color w:val="auto"/>
                <w:kern w:val="0"/>
                <w:sz w:val="24"/>
                <w:szCs w:val="24"/>
              </w:rPr>
              <w:t>年，新乡市PM</w:t>
            </w:r>
            <w:r>
              <w:rPr>
                <w:rFonts w:hint="default" w:ascii="Times New Roman" w:hAnsi="Times New Roman" w:cs="Times New Roman"/>
                <w:color w:val="auto"/>
                <w:kern w:val="0"/>
                <w:sz w:val="24"/>
                <w:szCs w:val="24"/>
                <w:vertAlign w:val="subscript"/>
              </w:rPr>
              <w:t>10</w:t>
            </w:r>
            <w:r>
              <w:rPr>
                <w:rFonts w:hint="default" w:ascii="Times New Roman" w:hAnsi="Times New Roman" w:cs="Times New Roman"/>
                <w:color w:val="auto"/>
                <w:kern w:val="0"/>
                <w:sz w:val="24"/>
                <w:szCs w:val="24"/>
              </w:rPr>
              <w:t>平均浓度</w:t>
            </w:r>
            <w:r>
              <w:rPr>
                <w:rFonts w:hint="eastAsia" w:cs="Times New Roman"/>
                <w:color w:val="auto"/>
                <w:kern w:val="0"/>
                <w:sz w:val="24"/>
                <w:szCs w:val="24"/>
                <w:lang w:val="en-US" w:eastAsia="zh-CN"/>
              </w:rPr>
              <w:t>93</w:t>
            </w:r>
            <w:r>
              <w:rPr>
                <w:rFonts w:hint="default" w:ascii="Times New Roman" w:hAnsi="Times New Roman" w:cs="Times New Roman"/>
                <w:color w:val="auto"/>
                <w:kern w:val="0"/>
                <w:sz w:val="24"/>
                <w:szCs w:val="24"/>
              </w:rPr>
              <w:t>微克/立方米，同比</w:t>
            </w:r>
            <w:r>
              <w:rPr>
                <w:rFonts w:hint="eastAsia" w:ascii="Times New Roman" w:hAnsi="Times New Roman" w:cs="Times New Roman"/>
                <w:color w:val="auto"/>
                <w:kern w:val="0"/>
                <w:sz w:val="24"/>
                <w:szCs w:val="24"/>
                <w:lang w:eastAsia="zh-CN"/>
              </w:rPr>
              <w:t>上升</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微克/立方米，</w:t>
            </w:r>
            <w:r>
              <w:rPr>
                <w:rFonts w:hint="eastAsia" w:ascii="Times New Roman" w:hAnsi="Times New Roman" w:cs="Times New Roman"/>
                <w:color w:val="auto"/>
                <w:kern w:val="0"/>
                <w:sz w:val="24"/>
                <w:szCs w:val="24"/>
                <w:lang w:eastAsia="zh-CN"/>
              </w:rPr>
              <w:t>升</w:t>
            </w:r>
            <w:r>
              <w:rPr>
                <w:rFonts w:hint="default" w:ascii="Times New Roman" w:hAnsi="Times New Roman" w:cs="Times New Roman"/>
                <w:color w:val="auto"/>
                <w:kern w:val="0"/>
                <w:sz w:val="24"/>
                <w:szCs w:val="24"/>
              </w:rPr>
              <w:t>幅</w:t>
            </w:r>
            <w:r>
              <w:rPr>
                <w:rFonts w:hint="eastAsia" w:ascii="Times New Roman" w:hAnsi="Times New Roman" w:cs="Times New Roman"/>
                <w:color w:val="auto"/>
                <w:kern w:val="0"/>
                <w:sz w:val="24"/>
                <w:szCs w:val="24"/>
                <w:lang w:val="en-US" w:eastAsia="zh-CN"/>
              </w:rPr>
              <w:t>4.5</w:t>
            </w:r>
            <w:r>
              <w:rPr>
                <w:rFonts w:hint="default" w:ascii="Times New Roman" w:hAnsi="Times New Roman" w:cs="Times New Roman"/>
                <w:color w:val="auto"/>
                <w:kern w:val="0"/>
                <w:sz w:val="24"/>
                <w:szCs w:val="24"/>
              </w:rPr>
              <w:t>%；PM</w:t>
            </w:r>
            <w:r>
              <w:rPr>
                <w:rFonts w:hint="default" w:ascii="Times New Roman" w:hAnsi="Times New Roman" w:cs="Times New Roman"/>
                <w:color w:val="auto"/>
                <w:kern w:val="0"/>
                <w:sz w:val="24"/>
                <w:szCs w:val="24"/>
                <w:vertAlign w:val="subscript"/>
              </w:rPr>
              <w:t>2.5</w:t>
            </w:r>
            <w:r>
              <w:rPr>
                <w:rFonts w:hint="default" w:ascii="Times New Roman" w:hAnsi="Times New Roman" w:cs="Times New Roman"/>
                <w:color w:val="auto"/>
                <w:kern w:val="0"/>
                <w:sz w:val="24"/>
                <w:szCs w:val="24"/>
              </w:rPr>
              <w:t>平均浓度</w:t>
            </w:r>
            <w:r>
              <w:rPr>
                <w:rFonts w:hint="eastAsia" w:cs="Times New Roman"/>
                <w:color w:val="auto"/>
                <w:kern w:val="0"/>
                <w:sz w:val="24"/>
                <w:szCs w:val="24"/>
                <w:lang w:val="en-US" w:eastAsia="zh-CN"/>
              </w:rPr>
              <w:t>47</w:t>
            </w:r>
            <w:r>
              <w:rPr>
                <w:rFonts w:hint="default" w:ascii="Times New Roman" w:hAnsi="Times New Roman" w:cs="Times New Roman"/>
                <w:color w:val="auto"/>
                <w:kern w:val="0"/>
                <w:sz w:val="24"/>
                <w:szCs w:val="24"/>
              </w:rPr>
              <w:t>微克/立方米，同比下降</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rPr>
              <w:t>微克/立方米，降幅</w:t>
            </w:r>
            <w:r>
              <w:rPr>
                <w:rFonts w:hint="eastAsia" w:ascii="Times New Roman" w:hAnsi="Times New Roman" w:cs="Times New Roman"/>
                <w:color w:val="auto"/>
                <w:kern w:val="0"/>
                <w:sz w:val="24"/>
                <w:szCs w:val="24"/>
                <w:lang w:val="en-US" w:eastAsia="zh-CN"/>
              </w:rPr>
              <w:t>7.8</w:t>
            </w:r>
            <w:r>
              <w:rPr>
                <w:rFonts w:hint="default" w:ascii="Times New Roman" w:hAnsi="Times New Roman" w:cs="Times New Roman"/>
                <w:color w:val="auto"/>
                <w:kern w:val="0"/>
                <w:sz w:val="24"/>
                <w:szCs w:val="24"/>
              </w:rPr>
              <w:t>%，SO</w:t>
            </w:r>
            <w:r>
              <w:rPr>
                <w:rFonts w:hint="default" w:ascii="Times New Roman" w:hAnsi="Times New Roman" w:cs="Times New Roman"/>
                <w:color w:val="auto"/>
                <w:kern w:val="0"/>
                <w:sz w:val="24"/>
                <w:szCs w:val="24"/>
                <w:vertAlign w:val="subscript"/>
              </w:rPr>
              <w:t>2</w:t>
            </w:r>
            <w:r>
              <w:rPr>
                <w:rFonts w:hint="default" w:ascii="Times New Roman" w:hAnsi="Times New Roman" w:cs="Times New Roman"/>
                <w:color w:val="auto"/>
                <w:kern w:val="0"/>
                <w:sz w:val="24"/>
                <w:szCs w:val="24"/>
              </w:rPr>
              <w:t>平均浓度</w:t>
            </w:r>
            <w:r>
              <w:rPr>
                <w:rFonts w:hint="eastAsia" w:cs="Times New Roman"/>
                <w:color w:val="auto"/>
                <w:kern w:val="0"/>
                <w:sz w:val="24"/>
                <w:szCs w:val="24"/>
                <w:lang w:val="en-US" w:eastAsia="zh-CN"/>
              </w:rPr>
              <w:t>11</w:t>
            </w:r>
            <w:r>
              <w:rPr>
                <w:rFonts w:hint="default" w:ascii="Times New Roman" w:hAnsi="Times New Roman" w:cs="Times New Roman"/>
                <w:color w:val="auto"/>
                <w:kern w:val="0"/>
                <w:sz w:val="24"/>
                <w:szCs w:val="24"/>
              </w:rPr>
              <w:t>微克/立方米，同比下降</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rPr>
              <w:t>微克/立方米，降幅</w:t>
            </w:r>
            <w:r>
              <w:rPr>
                <w:rFonts w:hint="eastAsia" w:ascii="Times New Roman" w:hAnsi="Times New Roman" w:cs="Times New Roman"/>
                <w:color w:val="auto"/>
                <w:kern w:val="0"/>
                <w:sz w:val="24"/>
                <w:szCs w:val="24"/>
                <w:lang w:val="en-US" w:eastAsia="zh-CN"/>
              </w:rPr>
              <w:t>15.4</w:t>
            </w:r>
            <w:r>
              <w:rPr>
                <w:rFonts w:hint="default" w:ascii="Times New Roman" w:hAnsi="Times New Roman" w:cs="Times New Roman"/>
                <w:color w:val="auto"/>
                <w:kern w:val="0"/>
                <w:sz w:val="24"/>
                <w:szCs w:val="24"/>
              </w:rPr>
              <w:t>%；NO</w:t>
            </w:r>
            <w:r>
              <w:rPr>
                <w:rFonts w:hint="default" w:ascii="Times New Roman" w:hAnsi="Times New Roman" w:cs="Times New Roman"/>
                <w:color w:val="auto"/>
                <w:kern w:val="0"/>
                <w:sz w:val="24"/>
                <w:szCs w:val="24"/>
                <w:vertAlign w:val="subscript"/>
              </w:rPr>
              <w:t>2</w:t>
            </w:r>
            <w:r>
              <w:rPr>
                <w:rFonts w:hint="default" w:ascii="Times New Roman" w:hAnsi="Times New Roman" w:cs="Times New Roman"/>
                <w:color w:val="auto"/>
                <w:kern w:val="0"/>
                <w:sz w:val="24"/>
                <w:szCs w:val="24"/>
              </w:rPr>
              <w:t>平均浓度</w:t>
            </w:r>
            <w:r>
              <w:rPr>
                <w:rFonts w:hint="eastAsia" w:cs="Times New Roman"/>
                <w:color w:val="auto"/>
                <w:kern w:val="0"/>
                <w:sz w:val="24"/>
                <w:szCs w:val="24"/>
                <w:lang w:val="en-US" w:eastAsia="zh-CN"/>
              </w:rPr>
              <w:t>32</w:t>
            </w:r>
            <w:r>
              <w:rPr>
                <w:rFonts w:hint="default" w:ascii="Times New Roman" w:hAnsi="Times New Roman" w:cs="Times New Roman"/>
                <w:color w:val="auto"/>
                <w:kern w:val="0"/>
                <w:sz w:val="24"/>
                <w:szCs w:val="24"/>
              </w:rPr>
              <w:t>微克/立方米，同比下降</w:t>
            </w:r>
            <w:r>
              <w:rPr>
                <w:rFonts w:hint="eastAsia" w:cs="Times New Roman"/>
                <w:color w:val="auto"/>
                <w:kern w:val="0"/>
                <w:sz w:val="24"/>
                <w:szCs w:val="24"/>
                <w:lang w:val="en-US" w:eastAsia="zh-CN"/>
              </w:rPr>
              <w:t>3</w:t>
            </w:r>
            <w:r>
              <w:rPr>
                <w:rFonts w:hint="default" w:ascii="Times New Roman" w:hAnsi="Times New Roman" w:cs="Times New Roman"/>
                <w:color w:val="auto"/>
                <w:kern w:val="0"/>
                <w:sz w:val="24"/>
                <w:szCs w:val="24"/>
              </w:rPr>
              <w:t>微克/立方米，降幅</w:t>
            </w:r>
            <w:r>
              <w:rPr>
                <w:rFonts w:hint="eastAsia" w:cs="Times New Roman"/>
                <w:color w:val="auto"/>
                <w:kern w:val="0"/>
                <w:sz w:val="24"/>
                <w:szCs w:val="24"/>
                <w:lang w:val="en-US" w:eastAsia="zh-CN"/>
              </w:rPr>
              <w:t>8.6</w:t>
            </w:r>
            <w:r>
              <w:rPr>
                <w:rFonts w:hint="default" w:ascii="Times New Roman" w:hAnsi="Times New Roman" w:cs="Times New Roman"/>
                <w:color w:val="auto"/>
                <w:kern w:val="0"/>
                <w:sz w:val="24"/>
                <w:szCs w:val="24"/>
              </w:rPr>
              <w:t>%；O</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第90百分位浓度为</w:t>
            </w:r>
            <w:r>
              <w:rPr>
                <w:rFonts w:hint="eastAsia" w:cs="Times New Roman"/>
                <w:color w:val="auto"/>
                <w:kern w:val="0"/>
                <w:sz w:val="24"/>
                <w:szCs w:val="24"/>
                <w:lang w:val="en-US" w:eastAsia="zh-CN"/>
              </w:rPr>
              <w:t>173</w:t>
            </w:r>
            <w:r>
              <w:rPr>
                <w:rFonts w:hint="default" w:ascii="Times New Roman" w:hAnsi="Times New Roman" w:cs="Times New Roman"/>
                <w:color w:val="auto"/>
                <w:kern w:val="0"/>
                <w:sz w:val="24"/>
                <w:szCs w:val="24"/>
              </w:rPr>
              <w:t>微克/立方米，</w:t>
            </w:r>
            <w:r>
              <w:rPr>
                <w:rFonts w:hint="eastAsia" w:ascii="Times New Roman" w:hAnsi="Times New Roman" w:cs="Times New Roman"/>
                <w:color w:val="auto"/>
                <w:kern w:val="0"/>
                <w:sz w:val="24"/>
                <w:szCs w:val="24"/>
                <w:lang w:eastAsia="zh-CN"/>
              </w:rPr>
              <w:t>与上年持平</w:t>
            </w:r>
            <w:r>
              <w:rPr>
                <w:rFonts w:hint="default" w:ascii="Times New Roman" w:hAnsi="Times New Roman" w:cs="Times New Roman"/>
                <w:color w:val="auto"/>
                <w:kern w:val="0"/>
                <w:sz w:val="24"/>
                <w:szCs w:val="24"/>
              </w:rPr>
              <w:t>，CO第95百分位浓度</w:t>
            </w:r>
            <w:r>
              <w:rPr>
                <w:rFonts w:hint="eastAsia" w:cs="Times New Roman"/>
                <w:color w:val="auto"/>
                <w:kern w:val="0"/>
                <w:sz w:val="24"/>
                <w:szCs w:val="24"/>
                <w:lang w:val="en-US" w:eastAsia="zh-CN"/>
              </w:rPr>
              <w:t>1.6</w:t>
            </w:r>
            <w:r>
              <w:rPr>
                <w:rFonts w:hint="default" w:ascii="Times New Roman" w:hAnsi="Times New Roman" w:cs="Times New Roman"/>
                <w:color w:val="auto"/>
                <w:kern w:val="0"/>
                <w:sz w:val="24"/>
                <w:szCs w:val="24"/>
              </w:rPr>
              <w:t>毫克/立方米，同比下降0.</w:t>
            </w:r>
            <w:r>
              <w:rPr>
                <w:rFonts w:hint="eastAsia" w:cs="Times New Roman"/>
                <w:color w:val="auto"/>
                <w:kern w:val="0"/>
                <w:sz w:val="24"/>
                <w:szCs w:val="24"/>
                <w:lang w:val="en-US" w:eastAsia="zh-CN"/>
              </w:rPr>
              <w:t>1</w:t>
            </w:r>
            <w:r>
              <w:rPr>
                <w:rFonts w:hint="default" w:ascii="Times New Roman" w:hAnsi="Times New Roman" w:cs="Times New Roman"/>
                <w:color w:val="auto"/>
                <w:kern w:val="0"/>
                <w:sz w:val="24"/>
                <w:szCs w:val="24"/>
              </w:rPr>
              <w:t>毫克/立方米，降幅</w:t>
            </w:r>
            <w:r>
              <w:rPr>
                <w:rFonts w:hint="eastAsia" w:cs="Times New Roman"/>
                <w:color w:val="auto"/>
                <w:kern w:val="0"/>
                <w:sz w:val="24"/>
                <w:szCs w:val="24"/>
                <w:lang w:val="en-US" w:eastAsia="zh-CN"/>
              </w:rPr>
              <w:t>5.9</w:t>
            </w:r>
            <w:r>
              <w:rPr>
                <w:rFonts w:hint="default" w:ascii="Times New Roman" w:hAnsi="Times New Roman" w:cs="Times New Roman"/>
                <w:color w:val="auto"/>
                <w:kern w:val="0"/>
                <w:sz w:val="24"/>
                <w:szCs w:val="24"/>
              </w:rPr>
              <w:t>%。优、良天数</w:t>
            </w:r>
            <w:r>
              <w:rPr>
                <w:rFonts w:hint="eastAsia" w:cs="Times New Roman"/>
                <w:color w:val="auto"/>
                <w:kern w:val="0"/>
                <w:sz w:val="24"/>
                <w:szCs w:val="24"/>
                <w:lang w:val="en-US" w:eastAsia="zh-CN"/>
              </w:rPr>
              <w:t>227</w:t>
            </w:r>
            <w:r>
              <w:rPr>
                <w:rFonts w:hint="default" w:ascii="Times New Roman" w:hAnsi="Times New Roman" w:cs="Times New Roman"/>
                <w:color w:val="auto"/>
                <w:kern w:val="0"/>
                <w:sz w:val="24"/>
                <w:szCs w:val="24"/>
              </w:rPr>
              <w:t>天，优、良天数比例</w:t>
            </w:r>
            <w:r>
              <w:rPr>
                <w:rFonts w:hint="eastAsia" w:cs="Times New Roman"/>
                <w:color w:val="auto"/>
                <w:kern w:val="0"/>
                <w:sz w:val="24"/>
                <w:szCs w:val="24"/>
                <w:lang w:val="en-US" w:eastAsia="zh-CN"/>
              </w:rPr>
              <w:t>62.2</w:t>
            </w:r>
            <w:r>
              <w:rPr>
                <w:rFonts w:hint="default" w:ascii="Times New Roman" w:hAnsi="Times New Roman" w:cs="Times New Roman"/>
                <w:color w:val="auto"/>
                <w:kern w:val="0"/>
                <w:sz w:val="24"/>
                <w:szCs w:val="24"/>
              </w:rPr>
              <w:t>%，与上年相比，环境空气质量持续改善。优良天数减少了9天，轻度污染减少4天，中度污染增加9天，重度污染及以上天气增加3天。</w:t>
            </w:r>
          </w:p>
          <w:p>
            <w:pPr>
              <w:adjustRightInd w:val="0"/>
              <w:snapToGrid w:val="0"/>
              <w:spacing w:line="460" w:lineRule="exact"/>
              <w:ind w:firstLine="480" w:firstLineChars="200"/>
              <w:textAlignment w:val="baseline"/>
              <w:rPr>
                <w:color w:val="FF0000"/>
                <w:sz w:val="24"/>
              </w:rPr>
            </w:pPr>
            <w:r>
              <w:rPr>
                <w:rFonts w:hint="default" w:ascii="Times New Roman" w:hAnsi="Times New Roman" w:cs="Times New Roman"/>
                <w:color w:val="auto"/>
                <w:kern w:val="0"/>
                <w:sz w:val="24"/>
              </w:rPr>
              <w:t>目前，新乡市正在实施《新乡市202</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年大气、水、土壤污染防治攻坚战及农业农村污染治理攻坚战实施方案》（</w:t>
            </w:r>
            <w:r>
              <w:rPr>
                <w:rFonts w:hint="default" w:ascii="Times New Roman" w:hAnsi="Times New Roman" w:cs="Times New Roman"/>
                <w:color w:val="auto"/>
                <w:kern w:val="0"/>
                <w:sz w:val="24"/>
                <w:lang w:eastAsia="zh-CN"/>
              </w:rPr>
              <w:t>新环攻坚办〔2022〕</w:t>
            </w:r>
            <w:r>
              <w:rPr>
                <w:rFonts w:hint="default" w:ascii="Times New Roman" w:hAnsi="Times New Roman" w:cs="Times New Roman"/>
                <w:color w:val="auto"/>
                <w:kern w:val="0"/>
                <w:sz w:val="24"/>
                <w:lang w:val="en-US" w:eastAsia="zh-CN"/>
              </w:rPr>
              <w:t>60</w:t>
            </w:r>
            <w:r>
              <w:rPr>
                <w:rFonts w:hint="default" w:ascii="Times New Roman" w:hAnsi="Times New Roman" w:cs="Times New Roman"/>
                <w:color w:val="auto"/>
                <w:kern w:val="0"/>
                <w:sz w:val="24"/>
                <w:lang w:eastAsia="zh-CN"/>
              </w:rPr>
              <w:t>号</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szCs w:val="24"/>
              </w:rPr>
              <w:t>等一系列措施，</w:t>
            </w:r>
            <w:r>
              <w:rPr>
                <w:rFonts w:hint="eastAsia" w:ascii="Times New Roman" w:hAnsi="Times New Roman" w:cs="Times New Roman"/>
                <w:color w:val="auto"/>
                <w:kern w:val="0"/>
                <w:sz w:val="24"/>
                <w:szCs w:val="24"/>
                <w:lang w:eastAsia="zh-CN"/>
              </w:rPr>
              <w:t>持续</w:t>
            </w:r>
            <w:r>
              <w:rPr>
                <w:rFonts w:hint="default" w:ascii="Times New Roman" w:hAnsi="Times New Roman" w:cs="Times New Roman"/>
                <w:color w:val="auto"/>
                <w:kern w:val="0"/>
                <w:sz w:val="24"/>
                <w:szCs w:val="24"/>
              </w:rPr>
              <w:t>改善区域大气环境质量</w:t>
            </w:r>
            <w:r>
              <w:rPr>
                <w:rFonts w:hint="default" w:ascii="Times New Roman" w:hAnsi="Times New Roman" w:cs="Times New Roman"/>
                <w:color w:val="auto"/>
                <w:kern w:val="0"/>
                <w:sz w:val="24"/>
              </w:rPr>
              <w:t>。</w:t>
            </w:r>
          </w:p>
          <w:p>
            <w:pPr>
              <w:adjustRightInd w:val="0"/>
              <w:snapToGrid w:val="0"/>
              <w:spacing w:line="460" w:lineRule="exact"/>
              <w:ind w:firstLine="482" w:firstLineChars="200"/>
              <w:textAlignment w:val="baseline"/>
              <w:rPr>
                <w:b/>
                <w:color w:val="auto"/>
                <w:sz w:val="24"/>
              </w:rPr>
            </w:pPr>
            <w:r>
              <w:rPr>
                <w:b/>
                <w:color w:val="auto"/>
                <w:sz w:val="24"/>
              </w:rPr>
              <w:t>2、地表水环境质量现状</w:t>
            </w:r>
          </w:p>
          <w:p>
            <w:pPr>
              <w:spacing w:line="520" w:lineRule="exact"/>
              <w:ind w:firstLine="480" w:firstLineChars="200"/>
              <w:rPr>
                <w:color w:val="FF0000"/>
                <w:sz w:val="24"/>
              </w:rPr>
            </w:pPr>
            <w:r>
              <w:rPr>
                <w:color w:val="auto"/>
                <w:sz w:val="24"/>
              </w:rPr>
              <w:t>本项目</w:t>
            </w:r>
            <w:r>
              <w:rPr>
                <w:rFonts w:hint="eastAsia"/>
                <w:color w:val="auto"/>
                <w:sz w:val="24"/>
                <w:lang w:eastAsia="zh-CN"/>
              </w:rPr>
              <w:t>无新增生活污水，原有</w:t>
            </w:r>
            <w:r>
              <w:rPr>
                <w:color w:val="auto"/>
                <w:sz w:val="24"/>
              </w:rPr>
              <w:t>生活污水经化粪池处理后</w:t>
            </w:r>
            <w:r>
              <w:rPr>
                <w:rFonts w:hint="eastAsia"/>
                <w:color w:val="auto"/>
                <w:sz w:val="24"/>
                <w:lang w:eastAsia="zh-CN"/>
              </w:rPr>
              <w:t>定期清运不外排</w:t>
            </w:r>
            <w:r>
              <w:rPr>
                <w:color w:val="auto"/>
                <w:sz w:val="24"/>
              </w:rPr>
              <w:t>。</w:t>
            </w:r>
            <w:r>
              <w:rPr>
                <w:rFonts w:hint="eastAsia"/>
                <w:color w:val="auto"/>
                <w:sz w:val="24"/>
                <w:lang w:eastAsia="zh-CN"/>
              </w:rPr>
              <w:t>距项目最近的地表水体为西北侧</w:t>
            </w:r>
            <w:r>
              <w:rPr>
                <w:rFonts w:hint="eastAsia"/>
                <w:color w:val="auto"/>
                <w:sz w:val="24"/>
                <w:lang w:val="en-US" w:eastAsia="zh-CN"/>
              </w:rPr>
              <w:t>1km处的人民胜利渠</w:t>
            </w:r>
            <w:r>
              <w:rPr>
                <w:rFonts w:hint="eastAsia"/>
                <w:color w:val="auto"/>
                <w:sz w:val="24"/>
                <w:lang w:eastAsia="zh-CN"/>
              </w:rPr>
              <w:t>，</w:t>
            </w:r>
            <w:r>
              <w:rPr>
                <w:color w:val="auto"/>
                <w:sz w:val="24"/>
              </w:rPr>
              <w:t>根据《</w:t>
            </w:r>
            <w:r>
              <w:rPr>
                <w:rFonts w:hint="eastAsia"/>
                <w:color w:val="auto"/>
                <w:sz w:val="24"/>
              </w:rPr>
              <w:t>新乡市生态环境局关于下达2022年地表水环境质量暂定目标的函</w:t>
            </w:r>
            <w:r>
              <w:rPr>
                <w:color w:val="auto"/>
                <w:sz w:val="24"/>
              </w:rPr>
              <w:t>》</w:t>
            </w:r>
            <w:r>
              <w:rPr>
                <w:rFonts w:hint="eastAsia"/>
                <w:color w:val="auto"/>
                <w:sz w:val="24"/>
              </w:rPr>
              <w:t>，</w:t>
            </w:r>
            <w:r>
              <w:rPr>
                <w:rFonts w:hint="eastAsia"/>
                <w:color w:val="auto"/>
                <w:sz w:val="24"/>
                <w:lang w:val="en-US" w:eastAsia="zh-CN"/>
              </w:rPr>
              <w:t>人民胜利渠</w:t>
            </w:r>
            <w:r>
              <w:rPr>
                <w:bCs/>
                <w:color w:val="auto"/>
                <w:sz w:val="24"/>
              </w:rPr>
              <w:t>水体功能类别为Ⅲ类标准。</w:t>
            </w:r>
            <w:r>
              <w:rPr>
                <w:color w:val="auto"/>
                <w:sz w:val="24"/>
              </w:rPr>
              <w:t>根据</w:t>
            </w:r>
            <w:r>
              <w:rPr>
                <w:rFonts w:hint="eastAsia"/>
                <w:color w:val="auto"/>
                <w:sz w:val="24"/>
                <w:lang w:eastAsia="zh-CN"/>
              </w:rPr>
              <w:t>《2021年第12期新乡市地表水环境责任目标断面水质月报》，</w:t>
            </w:r>
            <w:r>
              <w:rPr>
                <w:color w:val="auto"/>
                <w:sz w:val="24"/>
              </w:rPr>
              <w:t>202</w:t>
            </w:r>
            <w:r>
              <w:rPr>
                <w:rFonts w:hint="eastAsia"/>
                <w:color w:val="auto"/>
                <w:sz w:val="24"/>
                <w:lang w:val="en-US" w:eastAsia="zh-CN"/>
              </w:rPr>
              <w:t>1</w:t>
            </w:r>
            <w:r>
              <w:rPr>
                <w:color w:val="auto"/>
                <w:sz w:val="24"/>
              </w:rPr>
              <w:t>年</w:t>
            </w:r>
            <w:r>
              <w:rPr>
                <w:rFonts w:hint="eastAsia"/>
                <w:color w:val="auto"/>
                <w:sz w:val="24"/>
                <w:lang w:val="en-US" w:eastAsia="zh-CN"/>
              </w:rPr>
              <w:t>1</w:t>
            </w:r>
            <w:r>
              <w:rPr>
                <w:color w:val="auto"/>
                <w:sz w:val="24"/>
              </w:rPr>
              <w:t>月</w:t>
            </w:r>
            <w:r>
              <w:rPr>
                <w:rFonts w:hint="eastAsia"/>
                <w:color w:val="auto"/>
                <w:sz w:val="24"/>
                <w:lang w:eastAsia="zh-CN"/>
              </w:rPr>
              <w:t>至</w:t>
            </w:r>
            <w:r>
              <w:rPr>
                <w:rFonts w:hint="eastAsia"/>
                <w:color w:val="auto"/>
                <w:sz w:val="24"/>
                <w:lang w:val="en-US" w:eastAsia="zh-CN"/>
              </w:rPr>
              <w:t>12月，人民胜利渠贾太湖断面达标率50%</w:t>
            </w:r>
            <w:r>
              <w:rPr>
                <w:color w:val="auto"/>
                <w:sz w:val="24"/>
              </w:rPr>
              <w:t>。</w:t>
            </w:r>
          </w:p>
          <w:p>
            <w:pPr>
              <w:spacing w:line="520" w:lineRule="exact"/>
              <w:ind w:firstLine="480" w:firstLineChars="200"/>
              <w:rPr>
                <w:rFonts w:ascii="Times New Roman" w:hAnsi="Times New Roman"/>
                <w:sz w:val="24"/>
              </w:rPr>
            </w:pPr>
            <w:r>
              <w:rPr>
                <w:rFonts w:ascii="Times New Roman" w:hAnsi="Times New Roman"/>
                <w:sz w:val="24"/>
              </w:rPr>
              <w:t>目前新乡市正在推进实施</w:t>
            </w:r>
            <w:r>
              <w:rPr>
                <w:rFonts w:hint="default" w:ascii="Times New Roman" w:hAnsi="Times New Roman" w:cs="Times New Roman"/>
                <w:color w:val="auto"/>
                <w:kern w:val="0"/>
                <w:sz w:val="24"/>
              </w:rPr>
              <w:t>《新乡市202</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年大气、水、土壤污染防治攻坚战及农业农村污染治理攻坚战实施方案》（</w:t>
            </w:r>
            <w:r>
              <w:rPr>
                <w:rFonts w:hint="default" w:ascii="Times New Roman" w:hAnsi="Times New Roman" w:cs="Times New Roman"/>
                <w:color w:val="auto"/>
                <w:kern w:val="0"/>
                <w:sz w:val="24"/>
                <w:lang w:eastAsia="zh-CN"/>
              </w:rPr>
              <w:t>新环攻坚办〔2022〕</w:t>
            </w:r>
            <w:r>
              <w:rPr>
                <w:rFonts w:hint="default" w:ascii="Times New Roman" w:hAnsi="Times New Roman" w:cs="Times New Roman"/>
                <w:color w:val="auto"/>
                <w:kern w:val="0"/>
                <w:sz w:val="24"/>
                <w:lang w:val="en-US" w:eastAsia="zh-CN"/>
              </w:rPr>
              <w:t>60</w:t>
            </w:r>
            <w:r>
              <w:rPr>
                <w:rFonts w:hint="default" w:ascii="Times New Roman" w:hAnsi="Times New Roman" w:cs="Times New Roman"/>
                <w:color w:val="auto"/>
                <w:kern w:val="0"/>
                <w:sz w:val="24"/>
                <w:lang w:eastAsia="zh-CN"/>
              </w:rPr>
              <w:t>号</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szCs w:val="24"/>
              </w:rPr>
              <w:t>等一系列措施</w:t>
            </w:r>
            <w:r>
              <w:rPr>
                <w:rFonts w:ascii="Times New Roman" w:hAnsi="Times New Roman"/>
                <w:sz w:val="24"/>
              </w:rPr>
              <w:t>，将继续改善新乡市水环境质量。</w:t>
            </w:r>
          </w:p>
          <w:p>
            <w:pPr>
              <w:adjustRightInd w:val="0"/>
              <w:snapToGrid w:val="0"/>
              <w:spacing w:line="460" w:lineRule="exact"/>
              <w:ind w:firstLine="482" w:firstLineChars="200"/>
              <w:rPr>
                <w:b/>
                <w:color w:val="auto"/>
                <w:sz w:val="24"/>
              </w:rPr>
            </w:pPr>
            <w:r>
              <w:rPr>
                <w:b/>
                <w:color w:val="auto"/>
                <w:sz w:val="24"/>
              </w:rPr>
              <w:t>3、声环境质量现状</w:t>
            </w:r>
          </w:p>
          <w:p>
            <w:pPr>
              <w:adjustRightInd w:val="0"/>
              <w:snapToGrid w:val="0"/>
              <w:spacing w:line="460" w:lineRule="exact"/>
              <w:ind w:firstLine="480" w:firstLineChars="200"/>
              <w:rPr>
                <w:color w:val="auto"/>
                <w:sz w:val="24"/>
              </w:rPr>
            </w:pPr>
            <w:r>
              <w:rPr>
                <w:rFonts w:hint="eastAsia"/>
                <w:color w:val="auto"/>
                <w:sz w:val="24"/>
                <w:lang w:eastAsia="zh-CN"/>
              </w:rPr>
              <w:t>根据河南析源环境检测有限公司出具的检测报告（检测时间</w:t>
            </w:r>
            <w:r>
              <w:rPr>
                <w:rFonts w:hint="eastAsia"/>
                <w:color w:val="auto"/>
                <w:sz w:val="24"/>
                <w:lang w:val="en-US" w:eastAsia="zh-CN"/>
              </w:rPr>
              <w:t>2022年9月22日，检测报告见附件5</w:t>
            </w:r>
            <w:r>
              <w:rPr>
                <w:rFonts w:hint="eastAsia"/>
                <w:color w:val="auto"/>
                <w:sz w:val="24"/>
                <w:lang w:eastAsia="zh-CN"/>
              </w:rPr>
              <w:t>），项目</w:t>
            </w:r>
            <w:r>
              <w:rPr>
                <w:rFonts w:hint="eastAsia"/>
                <w:color w:val="auto"/>
                <w:sz w:val="24"/>
                <w:lang w:val="en-US" w:eastAsia="zh-CN"/>
              </w:rPr>
              <w:t>站区</w:t>
            </w:r>
            <w:r>
              <w:rPr>
                <w:rFonts w:hint="eastAsia"/>
                <w:color w:val="auto"/>
                <w:sz w:val="24"/>
                <w:lang w:eastAsia="zh-CN"/>
              </w:rPr>
              <w:t>厂界四周及周边敏感点声环境质量现状见下表</w:t>
            </w:r>
            <w:r>
              <w:rPr>
                <w:color w:val="auto"/>
                <w:sz w:val="24"/>
              </w:rPr>
              <w:t>。</w:t>
            </w:r>
          </w:p>
          <w:p>
            <w:pPr>
              <w:pStyle w:val="9"/>
              <w:bidi w:val="0"/>
              <w:rPr>
                <w:rFonts w:hint="default" w:ascii="Times New Roman" w:hAnsi="Times New Roman" w:cs="Times New Roman"/>
                <w:b/>
                <w:bCs/>
                <w:color w:val="auto"/>
                <w:sz w:val="24"/>
                <w:szCs w:val="24"/>
                <w:lang w:val="en-US" w:eastAsia="zh-CN"/>
              </w:rPr>
            </w:pPr>
            <w:r>
              <w:rPr>
                <w:rFonts w:hint="eastAsia" w:ascii="黑体" w:hAnsi="黑体" w:eastAsia="黑体" w:cs="黑体"/>
                <w:b w:val="0"/>
                <w:bCs w:val="0"/>
                <w:color w:val="auto"/>
                <w:sz w:val="24"/>
                <w:szCs w:val="24"/>
                <w:lang w:val="en-US" w:eastAsia="zh-CN"/>
              </w:rPr>
              <w:t xml:space="preserve">  </w:t>
            </w:r>
            <w:r>
              <w:rPr>
                <w:rFonts w:hint="eastAsia"/>
                <w:lang w:val="en-US" w:eastAsia="zh-CN"/>
              </w:rPr>
              <w:t xml:space="preserve">声环境现状调查结果     </w:t>
            </w:r>
            <w:r>
              <w:rPr>
                <w:rFonts w:hint="default"/>
                <w:lang w:val="en-US" w:eastAsia="zh-CN"/>
              </w:rPr>
              <w:t xml:space="preserve"> </w:t>
            </w:r>
            <w:r>
              <w:rPr>
                <w:rFonts w:hint="eastAsia"/>
                <w:lang w:val="en-US" w:eastAsia="zh-CN"/>
              </w:rPr>
              <w:t>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376"/>
              <w:gridCol w:w="1062"/>
              <w:gridCol w:w="3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检测点位</w:t>
                  </w:r>
                </w:p>
              </w:tc>
              <w:tc>
                <w:tcPr>
                  <w:tcW w:w="86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项目四周厂界</w:t>
                  </w:r>
                </w:p>
              </w:tc>
              <w:tc>
                <w:tcPr>
                  <w:tcW w:w="86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56.6-58.1</w:t>
                  </w: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44.7-45.5</w:t>
                  </w:r>
                </w:p>
              </w:tc>
              <w:tc>
                <w:tcPr>
                  <w:tcW w:w="2322" w:type="pct"/>
                  <w:noWrap w:val="0"/>
                  <w:vAlign w:val="center"/>
                </w:tcPr>
                <w:p>
                  <w:pPr>
                    <w:overflowPunct w:val="0"/>
                    <w:autoSpaceDE w:val="0"/>
                    <w:autoSpaceDN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声环境质量标准</w:t>
                  </w:r>
                  <w:r>
                    <w:rPr>
                      <w:rFonts w:hint="eastAsia" w:eastAsia="宋体" w:cs="Times New Roman"/>
                      <w:snapToGrid w:val="0"/>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GB 3096-2008</w:t>
                  </w:r>
                  <w:r>
                    <w:rPr>
                      <w:rFonts w:hint="eastAsia" w:eastAsia="宋体" w:cs="Times New Roman"/>
                      <w:snapToGrid w:val="0"/>
                      <w:color w:val="auto"/>
                      <w:kern w:val="0"/>
                      <w:sz w:val="21"/>
                      <w:szCs w:val="21"/>
                      <w:highlight w:val="none"/>
                      <w:lang w:eastAsia="zh-CN"/>
                    </w:rPr>
                    <w:t>）</w:t>
                  </w:r>
                  <w:r>
                    <w:rPr>
                      <w:rFonts w:hint="eastAsia" w:eastAsia="宋体" w:cs="Times New Roman"/>
                      <w:snapToGrid w:val="0"/>
                      <w:color w:val="auto"/>
                      <w:kern w:val="0"/>
                      <w:sz w:val="21"/>
                      <w:szCs w:val="21"/>
                      <w:highlight w:val="none"/>
                      <w:lang w:val="en-US" w:eastAsia="zh-CN"/>
                    </w:rPr>
                    <w:t>4</w:t>
                  </w:r>
                  <w:r>
                    <w:rPr>
                      <w:rFonts w:hint="eastAsia" w:cs="Times New Roman"/>
                      <w:snapToGrid w:val="0"/>
                      <w:color w:val="auto"/>
                      <w:kern w:val="0"/>
                      <w:sz w:val="21"/>
                      <w:szCs w:val="21"/>
                      <w:highlight w:val="none"/>
                      <w:lang w:val="en-US" w:eastAsia="zh-CN"/>
                    </w:rPr>
                    <w:t>a</w:t>
                  </w:r>
                  <w:r>
                    <w:rPr>
                      <w:rFonts w:hint="eastAsia" w:eastAsia="宋体" w:cs="Times New Roman"/>
                      <w:snapToGrid w:val="0"/>
                      <w:color w:val="auto"/>
                      <w:kern w:val="0"/>
                      <w:sz w:val="21"/>
                      <w:szCs w:val="21"/>
                      <w:highlight w:val="none"/>
                      <w:lang w:val="en-US" w:eastAsia="zh-CN"/>
                    </w:rPr>
                    <w:t>类：昼间70dB（A）、夜间55dB（A）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6" w:type="pct"/>
                  <w:noWrap w:val="0"/>
                  <w:vAlign w:val="center"/>
                </w:tcPr>
                <w:p>
                  <w:pPr>
                    <w:spacing w:line="312"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七里营供电所</w:t>
                  </w:r>
                </w:p>
              </w:tc>
              <w:tc>
                <w:tcPr>
                  <w:tcW w:w="864"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eastAsiaTheme="minorEastAsia"/>
                      <w:color w:val="auto"/>
                      <w:spacing w:val="0"/>
                      <w:sz w:val="21"/>
                      <w:szCs w:val="21"/>
                      <w:highlight w:val="none"/>
                      <w:lang w:val="en-US" w:eastAsia="zh-CN"/>
                    </w:rPr>
                    <w:t>56.9</w:t>
                  </w:r>
                </w:p>
              </w:tc>
              <w:tc>
                <w:tcPr>
                  <w:tcW w:w="667"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eastAsiaTheme="minorEastAsia"/>
                      <w:color w:val="auto"/>
                      <w:spacing w:val="0"/>
                      <w:kern w:val="2"/>
                      <w:sz w:val="21"/>
                      <w:szCs w:val="21"/>
                      <w:highlight w:val="none"/>
                      <w:lang w:val="en-US" w:eastAsia="zh-CN" w:bidi="ar-SA"/>
                    </w:rPr>
                    <w:t>45.0</w:t>
                  </w:r>
                </w:p>
              </w:tc>
              <w:tc>
                <w:tcPr>
                  <w:tcW w:w="2322" w:type="pct"/>
                  <w:noWrap w:val="0"/>
                  <w:vAlign w:val="center"/>
                </w:tcPr>
                <w:p>
                  <w:pPr>
                    <w:overflowPunct w:val="0"/>
                    <w:autoSpaceDE w:val="0"/>
                    <w:autoSpaceDN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声环境质量标准</w:t>
                  </w:r>
                  <w:r>
                    <w:rPr>
                      <w:rFonts w:hint="eastAsia" w:eastAsia="宋体" w:cs="Times New Roman"/>
                      <w:snapToGrid w:val="0"/>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GB 3096-2008</w:t>
                  </w:r>
                  <w:r>
                    <w:rPr>
                      <w:rFonts w:hint="eastAsia" w:eastAsia="宋体" w:cs="Times New Roman"/>
                      <w:snapToGrid w:val="0"/>
                      <w:color w:val="auto"/>
                      <w:kern w:val="0"/>
                      <w:sz w:val="21"/>
                      <w:szCs w:val="21"/>
                      <w:highlight w:val="none"/>
                      <w:lang w:eastAsia="zh-CN"/>
                    </w:rPr>
                    <w:t>）</w:t>
                  </w:r>
                  <w:r>
                    <w:rPr>
                      <w:rFonts w:hint="eastAsia" w:eastAsia="宋体" w:cs="Times New Roman"/>
                      <w:snapToGrid w:val="0"/>
                      <w:color w:val="auto"/>
                      <w:kern w:val="0"/>
                      <w:sz w:val="21"/>
                      <w:szCs w:val="21"/>
                      <w:highlight w:val="none"/>
                      <w:lang w:val="en-US" w:eastAsia="zh-CN"/>
                    </w:rPr>
                    <w:t>2类：昼间60dB（A）、夜间50dB（A）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6" w:type="pct"/>
                  <w:noWrap w:val="0"/>
                  <w:vAlign w:val="center"/>
                </w:tcPr>
                <w:p>
                  <w:pPr>
                    <w:spacing w:line="312"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智慧树幼儿园</w:t>
                  </w:r>
                </w:p>
              </w:tc>
              <w:tc>
                <w:tcPr>
                  <w:tcW w:w="864"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eastAsiaTheme="minorEastAsia"/>
                      <w:color w:val="auto"/>
                      <w:spacing w:val="0"/>
                      <w:kern w:val="2"/>
                      <w:sz w:val="21"/>
                      <w:szCs w:val="21"/>
                      <w:highlight w:val="none"/>
                      <w:lang w:val="en-US" w:eastAsia="zh-CN" w:bidi="ar-SA"/>
                    </w:rPr>
                    <w:t>51.4</w:t>
                  </w:r>
                </w:p>
              </w:tc>
              <w:tc>
                <w:tcPr>
                  <w:tcW w:w="667" w:type="pct"/>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cs="Times New Roman" w:eastAsiaTheme="minorEastAsia"/>
                      <w:color w:val="auto"/>
                      <w:spacing w:val="0"/>
                      <w:sz w:val="21"/>
                      <w:szCs w:val="21"/>
                      <w:highlight w:val="none"/>
                      <w:lang w:val="en-US" w:eastAsia="zh-CN"/>
                    </w:rPr>
                    <w:t>40.8</w:t>
                  </w:r>
                </w:p>
              </w:tc>
              <w:tc>
                <w:tcPr>
                  <w:tcW w:w="2322" w:type="pct"/>
                  <w:noWrap w:val="0"/>
                  <w:vAlign w:val="center"/>
                </w:tcPr>
                <w:p>
                  <w:pPr>
                    <w:overflowPunct w:val="0"/>
                    <w:autoSpaceDE w:val="0"/>
                    <w:autoSpaceDN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声环境质量标准</w:t>
                  </w:r>
                  <w:r>
                    <w:rPr>
                      <w:rFonts w:hint="eastAsia" w:eastAsia="宋体" w:cs="Times New Roman"/>
                      <w:snapToGrid w:val="0"/>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GB 3096-2008</w:t>
                  </w:r>
                  <w:r>
                    <w:rPr>
                      <w:rFonts w:hint="eastAsia" w:eastAsia="宋体" w:cs="Times New Roman"/>
                      <w:snapToGrid w:val="0"/>
                      <w:color w:val="auto"/>
                      <w:kern w:val="0"/>
                      <w:sz w:val="21"/>
                      <w:szCs w:val="21"/>
                      <w:highlight w:val="none"/>
                      <w:lang w:eastAsia="zh-CN"/>
                    </w:rPr>
                    <w:t>）</w:t>
                  </w:r>
                  <w:r>
                    <w:rPr>
                      <w:rFonts w:hint="eastAsia" w:eastAsia="宋体" w:cs="Times New Roman"/>
                      <w:snapToGrid w:val="0"/>
                      <w:color w:val="auto"/>
                      <w:kern w:val="0"/>
                      <w:sz w:val="21"/>
                      <w:szCs w:val="21"/>
                      <w:highlight w:val="none"/>
                      <w:lang w:val="en-US" w:eastAsia="zh-CN"/>
                    </w:rPr>
                    <w:t>1类：昼间55dB（A）、夜间45dB（A）</w:t>
                  </w:r>
                </w:p>
              </w:tc>
            </w:tr>
          </w:tbl>
          <w:p>
            <w:pPr>
              <w:pStyle w:val="2"/>
              <w:keepNext w:val="0"/>
              <w:keepLines w:val="0"/>
              <w:pageBreakBefore w:val="0"/>
              <w:widowControl w:val="0"/>
              <w:kinsoku/>
              <w:wordWrap/>
              <w:overflowPunct/>
              <w:topLinePunct w:val="0"/>
              <w:autoSpaceDE/>
              <w:autoSpaceDN/>
              <w:bidi w:val="0"/>
              <w:adjustRightInd/>
              <w:snapToGrid w:val="0"/>
              <w:spacing w:line="520" w:lineRule="exact"/>
              <w:ind w:left="0" w:right="0" w:firstLine="480" w:firstLineChars="200"/>
              <w:textAlignment w:val="auto"/>
              <w:rPr>
                <w:rFonts w:hint="eastAsia" w:eastAsia="宋体"/>
                <w:lang w:eastAsia="zh-CN"/>
              </w:rPr>
            </w:pPr>
            <w:r>
              <w:rPr>
                <w:rFonts w:hint="eastAsia"/>
                <w:lang w:eastAsia="zh-CN"/>
              </w:rPr>
              <w:t>根据上述检测结果可知，项目四周厂界声环境质量和周边敏感点声环境质量均满足相应标准。</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b/>
                <w:color w:val="auto"/>
                <w:sz w:val="24"/>
              </w:rPr>
            </w:pPr>
            <w:r>
              <w:rPr>
                <w:b/>
                <w:color w:val="auto"/>
                <w:sz w:val="24"/>
              </w:rPr>
              <w:t>4、地下水、土壤环境质量现状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rPr>
            </w:pPr>
            <w:r>
              <w:rPr>
                <w:rFonts w:hint="eastAsia" w:ascii="Times New Roman" w:hAnsi="Times New Roman" w:cs="Times New Roman"/>
                <w:b w:val="0"/>
                <w:bCs w:val="0"/>
                <w:color w:val="auto"/>
                <w:sz w:val="24"/>
                <w:szCs w:val="24"/>
                <w:u w:val="none"/>
                <w:lang w:eastAsia="zh-CN"/>
              </w:rPr>
              <w:t>根据《建设项目环境影响报告表编制技术指南（污染影响类）（试行）》，原则上不开展</w:t>
            </w:r>
            <w:r>
              <w:rPr>
                <w:rFonts w:hint="eastAsia" w:ascii="Times New Roman" w:hAnsi="Times New Roman" w:cs="Times New Roman"/>
                <w:b w:val="0"/>
                <w:bCs w:val="0"/>
                <w:color w:val="auto"/>
                <w:sz w:val="24"/>
                <w:szCs w:val="24"/>
                <w:u w:val="none"/>
                <w:lang w:val="en-US" w:eastAsia="zh-CN"/>
              </w:rPr>
              <w:t>地下水、</w:t>
            </w:r>
            <w:r>
              <w:rPr>
                <w:rFonts w:hint="eastAsia" w:ascii="Times New Roman" w:hAnsi="Times New Roman" w:cs="Times New Roman"/>
                <w:b w:val="0"/>
                <w:bCs w:val="0"/>
                <w:color w:val="auto"/>
                <w:sz w:val="24"/>
                <w:szCs w:val="24"/>
                <w:u w:val="none"/>
                <w:lang w:eastAsia="zh-CN"/>
              </w:rPr>
              <w:t>土壤环境质量现状调查，且</w:t>
            </w:r>
            <w:r>
              <w:rPr>
                <w:rFonts w:hint="eastAsia" w:ascii="Times New Roman" w:hAnsi="Times New Roman" w:cs="Times New Roman"/>
                <w:b w:val="0"/>
                <w:bCs w:val="0"/>
                <w:color w:val="auto"/>
                <w:sz w:val="24"/>
                <w:szCs w:val="24"/>
                <w:u w:val="none"/>
                <w:lang w:val="en-US" w:eastAsia="zh-CN"/>
              </w:rPr>
              <w:t>加油站内全部场地已全部硬化，无裸漏土地，且储罐区、加油区、管道均做了防渗措施，</w:t>
            </w:r>
            <w:r>
              <w:rPr>
                <w:rFonts w:hint="eastAsia" w:ascii="Times New Roman" w:hAnsi="Times New Roman" w:cs="Times New Roman"/>
                <w:b w:val="0"/>
                <w:bCs w:val="0"/>
                <w:color w:val="auto"/>
                <w:sz w:val="24"/>
                <w:szCs w:val="24"/>
                <w:u w:val="none"/>
                <w:lang w:eastAsia="zh-CN"/>
              </w:rPr>
              <w:t>不存在</w:t>
            </w:r>
            <w:r>
              <w:rPr>
                <w:rFonts w:hint="eastAsia" w:ascii="Times New Roman" w:hAnsi="Times New Roman" w:cs="Times New Roman"/>
                <w:b w:val="0"/>
                <w:bCs w:val="0"/>
                <w:color w:val="auto"/>
                <w:sz w:val="24"/>
                <w:szCs w:val="24"/>
                <w:u w:val="none"/>
                <w:lang w:val="en-US" w:eastAsia="zh-CN"/>
              </w:rPr>
              <w:t>地下水、</w:t>
            </w:r>
            <w:r>
              <w:rPr>
                <w:rFonts w:hint="eastAsia" w:ascii="Times New Roman" w:hAnsi="Times New Roman" w:cs="Times New Roman"/>
                <w:b w:val="0"/>
                <w:bCs w:val="0"/>
                <w:color w:val="auto"/>
                <w:sz w:val="24"/>
                <w:szCs w:val="24"/>
                <w:u w:val="none"/>
                <w:lang w:eastAsia="zh-CN"/>
              </w:rPr>
              <w:t>土壤污染途径，因此不进行</w:t>
            </w:r>
            <w:r>
              <w:rPr>
                <w:rFonts w:hint="eastAsia" w:ascii="Times New Roman" w:hAnsi="Times New Roman" w:cs="Times New Roman"/>
                <w:b w:val="0"/>
                <w:bCs w:val="0"/>
                <w:color w:val="auto"/>
                <w:sz w:val="24"/>
                <w:szCs w:val="24"/>
                <w:u w:val="none"/>
                <w:lang w:val="en-US" w:eastAsia="zh-CN"/>
              </w:rPr>
              <w:t>地下水、</w:t>
            </w:r>
            <w:r>
              <w:rPr>
                <w:rFonts w:hint="eastAsia" w:ascii="Times New Roman" w:hAnsi="Times New Roman" w:cs="Times New Roman"/>
                <w:b w:val="0"/>
                <w:bCs w:val="0"/>
                <w:color w:val="auto"/>
                <w:sz w:val="24"/>
                <w:szCs w:val="24"/>
                <w:u w:val="none"/>
                <w:lang w:eastAsia="zh-CN"/>
              </w:rPr>
              <w:t>土壤质量现状调查</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b/>
                <w:color w:val="auto"/>
                <w:sz w:val="24"/>
              </w:rPr>
            </w:pPr>
            <w:r>
              <w:rPr>
                <w:b/>
                <w:color w:val="auto"/>
                <w:sz w:val="24"/>
              </w:rPr>
              <w:t>5、生态环境现状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FF0000"/>
              </w:rPr>
            </w:pPr>
            <w:r>
              <w:rPr>
                <w:color w:val="auto"/>
                <w:sz w:val="24"/>
              </w:rPr>
              <w:t>根据《建设项目环境影响报告表编制技术指南（污染影响类）（试行）》，产业园区外建设项目新增用地且用地范围内含有生态环境保护目标时，应进行生态现状调查。</w:t>
            </w:r>
            <w:r>
              <w:rPr>
                <w:rFonts w:hint="default" w:ascii="Times New Roman" w:hAnsi="Times New Roman" w:cs="Times New Roman"/>
                <w:bCs/>
                <w:color w:val="auto"/>
                <w:sz w:val="24"/>
                <w:szCs w:val="24"/>
              </w:rPr>
              <w:t>目前区域内主要以人工生态环境为主，主要植被为人工栽培的树木、花草等。评价区域内无受国家保护的野生植被、大型野生动物</w:t>
            </w:r>
            <w:r>
              <w:rPr>
                <w:rFonts w:hint="eastAsia" w:ascii="Times New Roman" w:hAnsi="Times New Roman" w:cs="Times New Roman"/>
                <w:bCs/>
                <w:color w:val="auto"/>
                <w:sz w:val="24"/>
                <w:szCs w:val="24"/>
                <w:lang w:val="en-US" w:eastAsia="zh-CN"/>
              </w:rPr>
              <w:t>等生态环境保护目标</w:t>
            </w:r>
            <w:r>
              <w:rPr>
                <w:color w:val="auto"/>
                <w:sz w:val="24"/>
              </w:rPr>
              <w:t>，因此不进行生态环境现状调查。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800" w:type="dxa"/>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环境</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保护</w:t>
            </w:r>
          </w:p>
          <w:p>
            <w:pPr>
              <w:adjustRightInd w:val="0"/>
              <w:snapToGrid w:val="0"/>
              <w:jc w:val="center"/>
              <w:rPr>
                <w:rFonts w:ascii="宋体" w:hAnsi="宋体" w:cs="宋体"/>
                <w:color w:val="FF0000"/>
                <w:kern w:val="0"/>
                <w:szCs w:val="21"/>
              </w:rPr>
            </w:pPr>
            <w:r>
              <w:rPr>
                <w:rFonts w:hint="eastAsia" w:ascii="宋体" w:hAnsi="宋体" w:cs="宋体"/>
                <w:color w:val="auto"/>
                <w:kern w:val="0"/>
                <w:sz w:val="24"/>
                <w:szCs w:val="24"/>
              </w:rPr>
              <w:t>目标</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0C0C0C"/>
                <w:kern w:val="0"/>
                <w:sz w:val="24"/>
              </w:rPr>
            </w:pPr>
            <w:r>
              <w:rPr>
                <w:rFonts w:hint="default" w:ascii="Times New Roman" w:hAnsi="Times New Roman" w:eastAsia="宋体" w:cs="Times New Roman"/>
                <w:b w:val="0"/>
                <w:bCs w:val="0"/>
                <w:color w:val="auto"/>
                <w:sz w:val="24"/>
                <w:szCs w:val="24"/>
                <w:u w:val="none"/>
                <w:lang w:eastAsia="zh-CN"/>
              </w:rPr>
              <w:t>根据《建设项目环境影响报告表编制技术指南（污染影响类）（试行）》</w:t>
            </w:r>
            <w:r>
              <w:rPr>
                <w:rFonts w:hint="eastAsia" w:ascii="Times New Roman" w:hAnsi="Times New Roman" w:eastAsia="宋体" w:cs="Times New Roman"/>
                <w:b w:val="0"/>
                <w:bCs w:val="0"/>
                <w:color w:val="auto"/>
                <w:sz w:val="24"/>
                <w:szCs w:val="24"/>
                <w:u w:val="none"/>
                <w:lang w:val="en-US" w:eastAsia="zh-CN"/>
              </w:rPr>
              <w:t>中的要求及对周边环境的调查</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eastAsia="宋体" w:cs="Times New Roman"/>
                <w:kern w:val="0"/>
                <w:sz w:val="24"/>
              </w:rPr>
              <w:t>本项目环境保护</w:t>
            </w:r>
            <w:r>
              <w:rPr>
                <w:rFonts w:hint="default" w:ascii="Times New Roman" w:hAnsi="Times New Roman" w:eastAsia="宋体" w:cs="Times New Roman"/>
                <w:color w:val="0C0C0C"/>
                <w:kern w:val="0"/>
                <w:sz w:val="24"/>
              </w:rPr>
              <w:t>目标见</w:t>
            </w:r>
            <w:r>
              <w:rPr>
                <w:rFonts w:hint="eastAsia" w:cs="Times New Roman"/>
                <w:color w:val="0C0C0C"/>
                <w:kern w:val="0"/>
                <w:sz w:val="24"/>
                <w:lang w:eastAsia="zh-CN"/>
              </w:rPr>
              <w:t>下表</w:t>
            </w:r>
            <w:r>
              <w:rPr>
                <w:rFonts w:hint="default" w:ascii="Times New Roman" w:hAnsi="Times New Roman" w:eastAsia="宋体" w:cs="Times New Roman"/>
                <w:color w:val="0C0C0C"/>
                <w:kern w:val="0"/>
                <w:sz w:val="24"/>
              </w:rPr>
              <w:t>。</w:t>
            </w:r>
          </w:p>
          <w:p>
            <w:pPr>
              <w:pStyle w:val="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环境保护目标一览表</w:t>
            </w:r>
          </w:p>
          <w:tbl>
            <w:tblPr>
              <w:tblStyle w:val="25"/>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2741"/>
              <w:gridCol w:w="816"/>
              <w:gridCol w:w="1026"/>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环境</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要素</w:t>
                  </w:r>
                </w:p>
              </w:tc>
              <w:tc>
                <w:tcPr>
                  <w:tcW w:w="274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环境</w:t>
                  </w:r>
                  <w:r>
                    <w:rPr>
                      <w:rFonts w:hint="default" w:ascii="Times New Roman" w:hAnsi="Times New Roman" w:eastAsia="宋体" w:cs="Times New Roman"/>
                      <w:b/>
                      <w:bCs/>
                      <w:sz w:val="21"/>
                      <w:szCs w:val="21"/>
                    </w:rPr>
                    <w:t>保护目标</w:t>
                  </w:r>
                  <w:r>
                    <w:rPr>
                      <w:rFonts w:hint="eastAsia" w:ascii="Times New Roman" w:hAnsi="Times New Roman" w:eastAsia="宋体" w:cs="Times New Roman"/>
                      <w:b/>
                      <w:bCs/>
                      <w:sz w:val="21"/>
                      <w:szCs w:val="21"/>
                      <w:lang w:val="en-US" w:eastAsia="zh-CN"/>
                    </w:rPr>
                    <w:t>名称</w:t>
                  </w:r>
                </w:p>
              </w:tc>
              <w:tc>
                <w:tcPr>
                  <w:tcW w:w="8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10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距离</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m</w:t>
                  </w:r>
                  <w:r>
                    <w:rPr>
                      <w:rFonts w:hint="eastAsia" w:ascii="Times New Roman" w:hAnsi="Times New Roman" w:eastAsia="宋体" w:cs="Times New Roman"/>
                      <w:b/>
                      <w:bCs/>
                      <w:sz w:val="21"/>
                      <w:szCs w:val="21"/>
                      <w:lang w:eastAsia="zh-CN"/>
                    </w:rPr>
                    <w:t>）</w:t>
                  </w:r>
                </w:p>
              </w:tc>
              <w:tc>
                <w:tcPr>
                  <w:tcW w:w="21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b/>
                      <w:bCs/>
                      <w:sz w:val="21"/>
                      <w:szCs w:val="21"/>
                    </w:rPr>
                  </w:pPr>
                </w:p>
              </w:tc>
              <w:tc>
                <w:tcPr>
                  <w:tcW w:w="274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b/>
                      <w:bCs/>
                      <w:sz w:val="21"/>
                      <w:szCs w:val="21"/>
                    </w:rPr>
                  </w:pPr>
                </w:p>
              </w:tc>
              <w:tc>
                <w:tcPr>
                  <w:tcW w:w="8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b/>
                      <w:bCs/>
                      <w:sz w:val="21"/>
                      <w:szCs w:val="21"/>
                    </w:rPr>
                  </w:pPr>
                </w:p>
              </w:tc>
              <w:tc>
                <w:tcPr>
                  <w:tcW w:w="10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b/>
                      <w:bCs/>
                      <w:sz w:val="21"/>
                      <w:szCs w:val="21"/>
                    </w:rPr>
                  </w:pP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大气环境</w:t>
                  </w: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七里营供电所</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1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《环境空气质量标准》（GB3095-2012）二级</w:t>
                  </w:r>
                  <w:r>
                    <w:rPr>
                      <w:rFonts w:hint="eastAsia" w:ascii="Times New Roman" w:hAnsi="Times New Roman" w:cs="Times New Roman"/>
                      <w:sz w:val="21"/>
                      <w:szCs w:val="21"/>
                      <w:lang w:val="en-US" w:eastAsia="zh-CN"/>
                    </w:rPr>
                    <w:t>标准及其2018年修改单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智慧树幼儿园</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王府花园</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270</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七里营派出所</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欣龙祥宾馆</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350</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中国联通七里营营业厅</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420</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新乡县交警大队城区中队</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cs="Times New Roman"/>
                      <w:sz w:val="21"/>
                      <w:szCs w:val="21"/>
                      <w:lang w:val="en-US" w:eastAsia="zh-CN"/>
                    </w:rPr>
                  </w:pPr>
                  <w:r>
                    <w:rPr>
                      <w:rFonts w:hint="eastAsia" w:cs="Times New Roman"/>
                      <w:sz w:val="21"/>
                      <w:szCs w:val="21"/>
                      <w:lang w:val="en-US" w:eastAsia="zh-CN"/>
                    </w:rPr>
                    <w:t>西北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380</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声环境</w:t>
                  </w: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 xml:space="preserve"> 七里营供电所</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cs="Times New Roman"/>
                      <w:snapToGrid w:val="0"/>
                      <w:color w:val="000000"/>
                      <w:kern w:val="0"/>
                      <w:sz w:val="21"/>
                      <w:szCs w:val="21"/>
                    </w:rPr>
                    <w:t>《声环境质量标准》（GB3096-2008）</w:t>
                  </w:r>
                  <w:r>
                    <w:rPr>
                      <w:rFonts w:hint="eastAsia" w:ascii="Times New Roman" w:hAnsi="Times New Roman" w:cs="Times New Roman"/>
                      <w:snapToGrid w:val="0"/>
                      <w:color w:val="000000"/>
                      <w:kern w:val="0"/>
                      <w:sz w:val="21"/>
                      <w:szCs w:val="21"/>
                      <w:lang w:eastAsia="zh-CN"/>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cs="Times New Roman"/>
                      <w:sz w:val="21"/>
                      <w:szCs w:val="21"/>
                      <w:lang w:val="en-US" w:eastAsia="zh-CN"/>
                    </w:rPr>
                  </w:pPr>
                </w:p>
              </w:tc>
              <w:tc>
                <w:tcPr>
                  <w:tcW w:w="2741"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智慧树幼儿园</w:t>
                  </w:r>
                </w:p>
              </w:tc>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北</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napToGrid w:val="0"/>
                      <w:color w:val="000000"/>
                      <w:kern w:val="0"/>
                      <w:sz w:val="21"/>
                      <w:szCs w:val="21"/>
                    </w:rPr>
                    <w:t>《声环境质量标准》（GB3096-2008）</w:t>
                  </w:r>
                  <w:r>
                    <w:rPr>
                      <w:rFonts w:hint="eastAsia" w:cs="Times New Roman"/>
                      <w:snapToGrid w:val="0"/>
                      <w:color w:val="000000"/>
                      <w:kern w:val="0"/>
                      <w:sz w:val="21"/>
                      <w:szCs w:val="21"/>
                      <w:lang w:val="en-US" w:eastAsia="zh-CN"/>
                    </w:rPr>
                    <w:t>1</w:t>
                  </w:r>
                  <w:r>
                    <w:rPr>
                      <w:rFonts w:hint="eastAsia" w:ascii="Times New Roman" w:hAnsi="Times New Roman" w:cs="Times New Roman"/>
                      <w:snapToGrid w:val="0"/>
                      <w:color w:val="000000"/>
                      <w:kern w:val="0"/>
                      <w:sz w:val="21"/>
                      <w:szCs w:val="21"/>
                      <w:lang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地下水</w:t>
                  </w:r>
                </w:p>
              </w:tc>
              <w:tc>
                <w:tcPr>
                  <w:tcW w:w="674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项目厂界外500米范围内不含地下水集中式饮用水水源和热水、矿泉水、温泉</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生态环境</w:t>
                  </w:r>
                </w:p>
              </w:tc>
              <w:tc>
                <w:tcPr>
                  <w:tcW w:w="674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项目用地范围内不含各类生态环境保护目标</w:t>
                  </w:r>
                </w:p>
              </w:tc>
            </w:tr>
          </w:tbl>
          <w:p>
            <w:pPr>
              <w:adjustRightInd w:val="0"/>
              <w:snapToGrid w:val="0"/>
              <w:spacing w:line="460" w:lineRule="exact"/>
              <w:ind w:firstLine="480" w:firstLineChars="200"/>
              <w:rPr>
                <w:rFonts w:hint="eastAsia"/>
                <w:color w:val="FF0000"/>
                <w:sz w:val="24"/>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cs="宋体"/>
                <w:color w:val="FF0000"/>
                <w:kern w:val="0"/>
                <w:szCs w:val="21"/>
                <w:lang w:eastAsia="zh-CN"/>
              </w:rPr>
            </w:pPr>
          </w:p>
          <w:p>
            <w:pPr>
              <w:adjustRightInd w:val="0"/>
              <w:snapToGrid w:val="0"/>
              <w:spacing w:line="460" w:lineRule="exact"/>
              <w:ind w:firstLine="420" w:firstLineChars="200"/>
              <w:rPr>
                <w:rFonts w:hint="eastAsia" w:ascii="宋体" w:hAnsi="宋体" w:eastAsia="宋体" w:cs="宋体"/>
                <w:color w:val="FF0000"/>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0" w:hRule="atLeast"/>
          <w:jc w:val="center"/>
        </w:trPr>
        <w:tc>
          <w:tcPr>
            <w:tcW w:w="800" w:type="dxa"/>
            <w:tcMar>
              <w:left w:w="28" w:type="dxa"/>
              <w:right w:w="28" w:type="dxa"/>
            </w:tcMar>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污染</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物排</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放控</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制标</w:t>
            </w:r>
          </w:p>
          <w:p>
            <w:pPr>
              <w:adjustRightInd w:val="0"/>
              <w:snapToGrid w:val="0"/>
              <w:jc w:val="center"/>
              <w:rPr>
                <w:rFonts w:ascii="宋体" w:hAnsi="宋体" w:cs="宋体"/>
                <w:color w:val="FF0000"/>
                <w:kern w:val="0"/>
                <w:szCs w:val="21"/>
              </w:rPr>
            </w:pPr>
            <w:r>
              <w:rPr>
                <w:rFonts w:hint="eastAsia" w:ascii="宋体" w:hAnsi="宋体" w:cs="宋体"/>
                <w:color w:val="auto"/>
                <w:kern w:val="0"/>
                <w:sz w:val="24"/>
                <w:szCs w:val="24"/>
              </w:rPr>
              <w:t>准</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val="en-US" w:eastAsia="zh-CN"/>
              </w:rPr>
              <w:t>本项目</w:t>
            </w:r>
            <w:r>
              <w:rPr>
                <w:rFonts w:hint="eastAsia" w:ascii="Times New Roman" w:hAnsi="Times New Roman" w:cs="Times New Roman"/>
                <w:sz w:val="24"/>
                <w:lang w:eastAsia="zh-CN"/>
              </w:rPr>
              <w:t>运营</w:t>
            </w:r>
            <w:r>
              <w:rPr>
                <w:rFonts w:hint="default" w:ascii="Times New Roman" w:hAnsi="Times New Roman" w:cs="Times New Roman"/>
                <w:sz w:val="24"/>
              </w:rPr>
              <w:t>过程中</w:t>
            </w:r>
            <w:r>
              <w:rPr>
                <w:rFonts w:hint="eastAsia" w:ascii="Times New Roman" w:hAnsi="Times New Roman" w:cs="Times New Roman"/>
                <w:sz w:val="24"/>
                <w:lang w:val="en-US" w:eastAsia="zh-CN"/>
              </w:rPr>
              <w:t>废气（以非甲烷总烃计）</w:t>
            </w:r>
            <w:r>
              <w:rPr>
                <w:rFonts w:hint="default" w:ascii="Times New Roman" w:hAnsi="Times New Roman" w:cs="Times New Roman"/>
                <w:sz w:val="24"/>
              </w:rPr>
              <w:t>排放</w:t>
            </w:r>
            <w:r>
              <w:rPr>
                <w:rFonts w:hint="eastAsia" w:cs="Times New Roman"/>
                <w:sz w:val="24"/>
                <w:lang w:val="en-US" w:eastAsia="zh-CN"/>
              </w:rPr>
              <w:t>标准</w:t>
            </w:r>
            <w:r>
              <w:rPr>
                <w:rFonts w:hint="default" w:ascii="Times New Roman" w:hAnsi="Times New Roman" w:cs="Times New Roman"/>
                <w:sz w:val="24"/>
              </w:rPr>
              <w:t>执行《关于全省开展工业企业挥发性有机物专项治理工作中排放建议值的通知》（豫环攻坚办[2017]162号）</w:t>
            </w:r>
            <w:r>
              <w:rPr>
                <w:rFonts w:hint="eastAsia" w:cs="Times New Roman"/>
                <w:sz w:val="24"/>
                <w:lang w:val="en-US" w:eastAsia="zh-CN"/>
              </w:rPr>
              <w:t>、</w:t>
            </w:r>
            <w:r>
              <w:rPr>
                <w:rFonts w:hint="default" w:ascii="Times New Roman" w:hAnsi="Times New Roman" w:cs="Times New Roman"/>
                <w:b w:val="0"/>
                <w:bCs/>
                <w:kern w:val="2"/>
                <w:sz w:val="24"/>
                <w:szCs w:val="24"/>
                <w:u w:val="none"/>
                <w:lang w:val="en-US" w:eastAsia="zh-CN" w:bidi="ar-SA"/>
              </w:rPr>
              <w:t>《挥发性有机物无组织排放控制标准》（GB37822-2019）</w:t>
            </w:r>
            <w:r>
              <w:rPr>
                <w:rFonts w:hint="eastAsia" w:cs="Times New Roman"/>
                <w:sz w:val="24"/>
                <w:lang w:val="en-US" w:eastAsia="zh-CN"/>
              </w:rPr>
              <w:t>和</w:t>
            </w:r>
            <w:r>
              <w:rPr>
                <w:rFonts w:hint="default" w:ascii="Times New Roman" w:hAnsi="Times New Roman" w:cs="Times New Roman"/>
                <w:sz w:val="24"/>
              </w:rPr>
              <w:t>《加油站大气污染物排放标准》（GB20952-20</w:t>
            </w:r>
            <w:r>
              <w:rPr>
                <w:rFonts w:hint="eastAsia" w:ascii="Times New Roman" w:hAnsi="Times New Roman" w:cs="Times New Roman"/>
                <w:sz w:val="24"/>
                <w:lang w:val="en-US" w:eastAsia="zh-CN"/>
              </w:rPr>
              <w:t>20</w:t>
            </w:r>
            <w:r>
              <w:rPr>
                <w:rFonts w:hint="default" w:ascii="Times New Roman" w:hAnsi="Times New Roman" w:cs="Times New Roman"/>
                <w:sz w:val="24"/>
              </w:rPr>
              <w:t>）中油气浓度排放标准限值。其具体标准值见</w:t>
            </w:r>
            <w:r>
              <w:rPr>
                <w:rFonts w:hint="eastAsia" w:cs="Times New Roman"/>
                <w:sz w:val="24"/>
                <w:lang w:eastAsia="zh-CN"/>
              </w:rPr>
              <w:t>下表</w:t>
            </w:r>
            <w:r>
              <w:rPr>
                <w:rFonts w:hint="default" w:ascii="Times New Roman" w:hAnsi="Times New Roman" w:cs="Times New Roman"/>
                <w:sz w:val="24"/>
              </w:rPr>
              <w:t>。</w:t>
            </w:r>
          </w:p>
          <w:p>
            <w:pPr>
              <w:pStyle w:val="9"/>
              <w:bidi w:val="0"/>
              <w:rPr>
                <w:rFonts w:hint="eastAsia"/>
              </w:rPr>
            </w:pPr>
            <w:r>
              <w:rPr>
                <w:rFonts w:hint="eastAsia"/>
              </w:rPr>
              <w:t>废气污染物排放执行标准</w:t>
            </w:r>
          </w:p>
          <w:tbl>
            <w:tblPr>
              <w:tblStyle w:val="25"/>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164"/>
              <w:gridCol w:w="1279"/>
              <w:gridCol w:w="33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2026" w:type="pct"/>
                  <w:noWrap w:val="0"/>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rPr>
                    <w:t>排放标准名称</w:t>
                  </w:r>
                  <w:r>
                    <w:rPr>
                      <w:rFonts w:hint="eastAsia" w:ascii="Times New Roman" w:hAnsi="Times New Roman" w:cs="Times New Roman"/>
                      <w:b/>
                      <w:sz w:val="21"/>
                      <w:szCs w:val="21"/>
                      <w:lang w:val="en-US" w:eastAsia="zh-CN"/>
                    </w:rPr>
                    <w:t>及级别</w:t>
                  </w:r>
                </w:p>
              </w:tc>
              <w:tc>
                <w:tcPr>
                  <w:tcW w:w="819" w:type="pct"/>
                  <w:noWrap w:val="0"/>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eastAsia" w:ascii="Times New Roman" w:hAnsi="Times New Roman" w:eastAsia="宋体" w:cs="Times New Roman"/>
                      <w:b/>
                      <w:sz w:val="21"/>
                      <w:szCs w:val="21"/>
                      <w:lang w:eastAsia="zh-CN"/>
                    </w:rPr>
                  </w:pPr>
                  <w:r>
                    <w:rPr>
                      <w:rFonts w:hint="default" w:ascii="Times New Roman" w:hAnsi="Times New Roman" w:cs="Times New Roman"/>
                      <w:b/>
                      <w:sz w:val="21"/>
                      <w:szCs w:val="21"/>
                    </w:rPr>
                    <w:t>污染</w:t>
                  </w:r>
                  <w:r>
                    <w:rPr>
                      <w:rFonts w:hint="eastAsia" w:ascii="Times New Roman" w:hAnsi="Times New Roman" w:cs="Times New Roman"/>
                      <w:b/>
                      <w:sz w:val="21"/>
                      <w:szCs w:val="21"/>
                      <w:lang w:val="en-US" w:eastAsia="zh-CN"/>
                    </w:rPr>
                    <w:t>因子</w:t>
                  </w:r>
                </w:p>
              </w:tc>
              <w:tc>
                <w:tcPr>
                  <w:tcW w:w="2153" w:type="pct"/>
                  <w:noWrap w:val="0"/>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标准限制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2026"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eastAsia="宋体" w:cs="Times New Roman"/>
                      <w:bCs/>
                      <w:kern w:val="2"/>
                      <w:sz w:val="21"/>
                      <w:szCs w:val="21"/>
                      <w:lang w:val="en-US" w:eastAsia="zh-CN"/>
                    </w:rPr>
                  </w:pPr>
                  <w:r>
                    <w:rPr>
                      <w:rFonts w:hint="default" w:ascii="Times New Roman" w:hAnsi="Times New Roman" w:cs="Times New Roman"/>
                      <w:bCs/>
                      <w:sz w:val="21"/>
                      <w:szCs w:val="21"/>
                    </w:rPr>
                    <w:t>《关于全省开展工业企业挥发性有机物专项治理工作中排放建议值的通知》（豫环攻坚办[2017]162号）</w:t>
                  </w:r>
                </w:p>
              </w:tc>
              <w:tc>
                <w:tcPr>
                  <w:tcW w:w="819"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cs="Times New Roman"/>
                      <w:bCs/>
                      <w:kern w:val="2"/>
                      <w:sz w:val="21"/>
                      <w:szCs w:val="21"/>
                    </w:rPr>
                  </w:pPr>
                  <w:r>
                    <w:rPr>
                      <w:rFonts w:hint="default" w:ascii="Times New Roman" w:hAnsi="Times New Roman" w:cs="Times New Roman"/>
                      <w:bCs/>
                      <w:sz w:val="21"/>
                      <w:szCs w:val="21"/>
                    </w:rPr>
                    <w:t>非甲烷总烃</w:t>
                  </w:r>
                </w:p>
              </w:tc>
              <w:tc>
                <w:tcPr>
                  <w:tcW w:w="2153"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eastAsia="宋体" w:cs="Times New Roman"/>
                      <w:kern w:val="2"/>
                      <w:sz w:val="21"/>
                      <w:szCs w:val="21"/>
                      <w:lang w:val="en-US" w:eastAsia="zh-CN"/>
                    </w:rPr>
                  </w:pPr>
                  <w:r>
                    <w:rPr>
                      <w:rFonts w:hint="default" w:ascii="Times New Roman" w:hAnsi="Times New Roman" w:cs="Times New Roman"/>
                      <w:sz w:val="21"/>
                      <w:szCs w:val="21"/>
                    </w:rPr>
                    <w:t>工业企业边界挥发性有机物排放建议值其他企业非甲烷总烃2.0mg/m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026" w:type="pct"/>
                  <w:vMerge w:val="restar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cs="Times New Roman"/>
                      <w:bCs/>
                      <w:kern w:val="2"/>
                      <w:sz w:val="21"/>
                      <w:szCs w:val="21"/>
                    </w:rPr>
                  </w:pPr>
                  <w:r>
                    <w:rPr>
                      <w:rFonts w:hint="default" w:ascii="Times New Roman" w:hAnsi="Times New Roman" w:cs="Times New Roman"/>
                      <w:bCs/>
                      <w:sz w:val="21"/>
                      <w:szCs w:val="21"/>
                    </w:rPr>
                    <w:t>《加油站大气污染物排放标准》（GB20952-20</w:t>
                  </w:r>
                  <w:r>
                    <w:rPr>
                      <w:rFonts w:hint="eastAsia" w:ascii="Times New Roman" w:hAnsi="Times New Roman" w:cs="Times New Roman"/>
                      <w:bCs/>
                      <w:sz w:val="21"/>
                      <w:szCs w:val="21"/>
                      <w:lang w:val="en-US" w:eastAsia="zh-CN"/>
                    </w:rPr>
                    <w:t>20</w:t>
                  </w:r>
                  <w:r>
                    <w:rPr>
                      <w:rFonts w:hint="default" w:ascii="Times New Roman" w:hAnsi="Times New Roman" w:cs="Times New Roman"/>
                      <w:bCs/>
                      <w:sz w:val="21"/>
                      <w:szCs w:val="21"/>
                    </w:rPr>
                    <w:t>）</w:t>
                  </w:r>
                </w:p>
              </w:tc>
              <w:tc>
                <w:tcPr>
                  <w:tcW w:w="819" w:type="pct"/>
                  <w:vMerge w:val="restar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eastAsia" w:ascii="Times New Roman" w:hAnsi="Times New Roman" w:eastAsia="宋体" w:cs="Times New Roman"/>
                      <w:bCs/>
                      <w:kern w:val="2"/>
                      <w:sz w:val="21"/>
                      <w:szCs w:val="21"/>
                      <w:lang w:eastAsia="zh-CN"/>
                    </w:rPr>
                  </w:pPr>
                  <w:r>
                    <w:rPr>
                      <w:rFonts w:hint="default" w:ascii="Times New Roman" w:hAnsi="Times New Roman" w:cs="Times New Roman"/>
                      <w:bCs/>
                      <w:sz w:val="21"/>
                      <w:szCs w:val="21"/>
                    </w:rPr>
                    <w:t>非甲烷总烃</w:t>
                  </w:r>
                </w:p>
              </w:tc>
              <w:tc>
                <w:tcPr>
                  <w:tcW w:w="2153"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eastAsia" w:ascii="Times New Roman" w:hAnsi="Times New Roman" w:eastAsia="宋体" w:cs="Times New Roman"/>
                      <w:bCs/>
                      <w:kern w:val="2"/>
                      <w:sz w:val="21"/>
                      <w:szCs w:val="21"/>
                      <w:lang w:val="en-US" w:eastAsia="zh-CN"/>
                    </w:rPr>
                  </w:pPr>
                  <w:r>
                    <w:rPr>
                      <w:rFonts w:hint="default" w:ascii="Times New Roman" w:hAnsi="Times New Roman" w:cs="Times New Roman"/>
                      <w:bCs/>
                      <w:sz w:val="21"/>
                      <w:szCs w:val="21"/>
                    </w:rPr>
                    <w:t>处理装置油气排放浓度</w:t>
                  </w:r>
                  <w:r>
                    <w:rPr>
                      <w:rFonts w:hint="default" w:ascii="Times New Roman" w:hAnsi="Times New Roman" w:eastAsia="宋体" w:cs="Times New Roman"/>
                      <w:color w:val="000000"/>
                      <w:kern w:val="0"/>
                      <w:sz w:val="21"/>
                      <w:szCs w:val="21"/>
                      <w:lang w:val="en-US" w:eastAsia="zh-CN" w:bidi="ar-SA"/>
                    </w:rPr>
                    <w:t>1</w:t>
                  </w:r>
                  <w:r>
                    <w:rPr>
                      <w:rFonts w:hint="eastAsia" w:ascii="Times New Roman" w:hAnsi="Times New Roman" w:eastAsia="宋体" w:cs="Times New Roman"/>
                      <w:color w:val="000000"/>
                      <w:kern w:val="0"/>
                      <w:sz w:val="21"/>
                      <w:szCs w:val="21"/>
                      <w:lang w:val="en-US" w:eastAsia="zh-CN" w:bidi="ar-SA"/>
                    </w:rPr>
                    <w:t>小</w:t>
                  </w:r>
                  <w:r>
                    <w:rPr>
                      <w:rFonts w:hint="eastAsia" w:ascii="Times New Roman" w:hAnsi="Times New Roman" w:eastAsia="宋体" w:cs="Times New Roman"/>
                      <w:color w:val="000000"/>
                      <w:kern w:val="0"/>
                      <w:sz w:val="21"/>
                      <w:szCs w:val="21"/>
                      <w:highlight w:val="none"/>
                      <w:lang w:val="en-US" w:eastAsia="zh-CN" w:bidi="ar-SA"/>
                    </w:rPr>
                    <w:t>时平均浓度值</w:t>
                  </w:r>
                  <w:r>
                    <w:rPr>
                      <w:rFonts w:hint="default" w:ascii="Arial" w:hAnsi="Arial" w:cs="Arial"/>
                      <w:bCs/>
                      <w:sz w:val="21"/>
                      <w:szCs w:val="21"/>
                    </w:rPr>
                    <w:t>≤</w:t>
                  </w:r>
                  <w:r>
                    <w:rPr>
                      <w:rFonts w:hint="default" w:ascii="Times New Roman" w:hAnsi="Times New Roman" w:cs="Times New Roman"/>
                      <w:bCs/>
                      <w:sz w:val="21"/>
                      <w:szCs w:val="21"/>
                    </w:rPr>
                    <w:t>25g/m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，排放口距地平面高度不低于4m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026" w:type="pct"/>
                  <w:vMerge w:val="continue"/>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pPr>
                </w:p>
              </w:tc>
              <w:tc>
                <w:tcPr>
                  <w:tcW w:w="819" w:type="pct"/>
                  <w:vMerge w:val="continue"/>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pPr>
                </w:p>
              </w:tc>
              <w:tc>
                <w:tcPr>
                  <w:tcW w:w="2153"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无组织非甲烷总烃：4.0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2026"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cs="Times New Roman"/>
                      <w:bCs/>
                      <w:sz w:val="21"/>
                      <w:szCs w:val="21"/>
                    </w:rPr>
                  </w:pPr>
                  <w:r>
                    <w:rPr>
                      <w:rFonts w:hint="default" w:ascii="Times New Roman" w:hAnsi="Times New Roman" w:cs="Times New Roman"/>
                      <w:b w:val="0"/>
                      <w:bCs/>
                      <w:kern w:val="2"/>
                      <w:sz w:val="21"/>
                      <w:szCs w:val="22"/>
                      <w:u w:val="none"/>
                      <w:lang w:val="en-US" w:eastAsia="zh-CN" w:bidi="ar-SA"/>
                    </w:rPr>
                    <w:t>《挥发性有机物无组织排放控制标准》（GB37822-2019）</w:t>
                  </w:r>
                </w:p>
              </w:tc>
              <w:tc>
                <w:tcPr>
                  <w:tcW w:w="819" w:type="pct"/>
                  <w:noWrap w:val="0"/>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非甲烷总烃</w:t>
                  </w:r>
                </w:p>
              </w:tc>
              <w:tc>
                <w:tcPr>
                  <w:tcW w:w="2153" w:type="pct"/>
                  <w:noWrap w:val="0"/>
                  <w:vAlign w:val="center"/>
                </w:tcPr>
                <w:p>
                  <w:pPr>
                    <w:tabs>
                      <w:tab w:val="left" w:pos="600"/>
                    </w:tabs>
                    <w:spacing w:line="3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监控点处1h平均浓度值：6mg/m</w:t>
                  </w:r>
                  <w:r>
                    <w:rPr>
                      <w:rFonts w:hint="default" w:ascii="Times New Roman" w:hAnsi="Times New Roman" w:eastAsia="宋体" w:cs="Times New Roman"/>
                      <w:color w:val="auto"/>
                      <w:sz w:val="21"/>
                      <w:szCs w:val="21"/>
                      <w:vertAlign w:val="superscript"/>
                      <w:lang w:eastAsia="zh-CN"/>
                    </w:rPr>
                    <w:t>3</w:t>
                  </w:r>
                </w:p>
                <w:p>
                  <w:pPr>
                    <w:pStyle w:val="8"/>
                    <w:keepNext w:val="0"/>
                    <w:keepLines w:val="0"/>
                    <w:pageBreakBefore w:val="0"/>
                    <w:widowControl w:val="0"/>
                    <w:kinsoku/>
                    <w:wordWrap/>
                    <w:overflowPunct/>
                    <w:topLinePunct w:val="0"/>
                    <w:autoSpaceDE w:val="0"/>
                    <w:autoSpaceDN w:val="0"/>
                    <w:bidi w:val="0"/>
                    <w:adjustRightInd w:val="0"/>
                    <w:snapToGrid w:val="0"/>
                    <w:spacing w:line="260" w:lineRule="exact"/>
                    <w:ind w:firstLine="0"/>
                    <w:jc w:val="center"/>
                    <w:textAlignment w:val="auto"/>
                    <w:rPr>
                      <w:rFonts w:hint="default" w:ascii="Times New Roman" w:hAnsi="Times New Roman" w:cs="Times New Roman"/>
                      <w:bCs/>
                      <w:sz w:val="21"/>
                      <w:szCs w:val="21"/>
                    </w:rPr>
                  </w:pPr>
                  <w:r>
                    <w:rPr>
                      <w:rFonts w:hint="default" w:ascii="Times New Roman" w:hAnsi="Times New Roman" w:eastAsia="宋体" w:cs="Times New Roman"/>
                      <w:color w:val="auto"/>
                      <w:sz w:val="21"/>
                      <w:szCs w:val="21"/>
                      <w:lang w:eastAsia="zh-CN"/>
                    </w:rPr>
                    <w:t>监控点处任意一次浓度值：20mg/m</w:t>
                  </w:r>
                  <w:r>
                    <w:rPr>
                      <w:rFonts w:hint="default" w:ascii="Times New Roman" w:hAnsi="Times New Roman" w:eastAsia="宋体" w:cs="Times New Roman"/>
                      <w:color w:val="auto"/>
                      <w:sz w:val="21"/>
                      <w:szCs w:val="21"/>
                      <w:vertAlign w:val="superscript"/>
                      <w:lang w:eastAsia="zh-CN"/>
                    </w:rPr>
                    <w:t>3</w:t>
                  </w:r>
                </w:p>
              </w:tc>
            </w:tr>
          </w:tbl>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rPr>
                <w:rFonts w:hint="default"/>
                <w:color w:val="000000"/>
              </w:rPr>
            </w:pPr>
            <w:r>
              <w:rPr>
                <w:rFonts w:hint="default" w:ascii="Times New Roman" w:hAnsi="Times New Roman" w:eastAsia="宋体" w:cs="Times New Roman"/>
                <w:b w:val="0"/>
                <w:bCs w:val="0"/>
                <w:color w:val="000000"/>
                <w:sz w:val="24"/>
                <w:lang w:eastAsia="zh-CN"/>
              </w:rPr>
              <w:t>加油油气管线液阻</w:t>
            </w:r>
            <w:r>
              <w:rPr>
                <w:rFonts w:hint="eastAsia" w:ascii="Times New Roman" w:hAnsi="Times New Roman" w:eastAsia="宋体" w:cs="Times New Roman"/>
                <w:b w:val="0"/>
                <w:bCs w:val="0"/>
                <w:color w:val="000000"/>
                <w:sz w:val="24"/>
                <w:lang w:eastAsia="zh-CN"/>
              </w:rPr>
              <w:t>检测值应小于</w:t>
            </w:r>
            <w:r>
              <w:rPr>
                <w:color w:val="000000"/>
                <w:sz w:val="24"/>
              </w:rPr>
              <w:t>《加油站大气污染物排放标准》（GB20952-2020）中</w:t>
            </w:r>
            <w:r>
              <w:rPr>
                <w:rFonts w:hint="eastAsia"/>
                <w:color w:val="000000"/>
                <w:sz w:val="24"/>
                <w:lang w:eastAsia="zh-CN"/>
              </w:rPr>
              <w:t>表</w:t>
            </w:r>
            <w:r>
              <w:rPr>
                <w:rFonts w:hint="eastAsia"/>
                <w:color w:val="000000"/>
                <w:sz w:val="24"/>
                <w:lang w:val="en-US" w:eastAsia="zh-CN"/>
              </w:rPr>
              <w:t>1规定的最大压力限值；油气回收系统密闭性压力检测值应大于等于</w:t>
            </w:r>
            <w:r>
              <w:rPr>
                <w:color w:val="000000"/>
                <w:sz w:val="24"/>
              </w:rPr>
              <w:t>《加油站大气污染物排放标准》（GB20952-2020）中</w:t>
            </w:r>
            <w:r>
              <w:rPr>
                <w:rFonts w:hint="eastAsia"/>
                <w:color w:val="000000"/>
                <w:sz w:val="24"/>
                <w:lang w:eastAsia="zh-CN"/>
              </w:rPr>
              <w:t>表</w:t>
            </w:r>
            <w:r>
              <w:rPr>
                <w:rFonts w:hint="eastAsia"/>
                <w:color w:val="000000"/>
                <w:sz w:val="24"/>
                <w:lang w:val="en-US" w:eastAsia="zh-CN"/>
              </w:rPr>
              <w:t>2规定的最小剩余压力限值；各种加油油气回收系统的气液比均应在大于等于1.0和小于等于1.2范围内。</w:t>
            </w:r>
          </w:p>
          <w:p>
            <w:pPr>
              <w:keepNext w:val="0"/>
              <w:keepLines w:val="0"/>
              <w:pageBreakBefore w:val="0"/>
              <w:widowControl w:val="0"/>
              <w:kinsoku/>
              <w:wordWrap/>
              <w:overflowPunct/>
              <w:topLinePunct w:val="0"/>
              <w:autoSpaceDE w:val="0"/>
              <w:autoSpaceDN w:val="0"/>
              <w:bidi w:val="0"/>
              <w:adjustRightInd/>
              <w:snapToGrid/>
              <w:spacing w:before="0" w:line="480" w:lineRule="exact"/>
              <w:ind w:firstLine="482" w:firstLineChars="200"/>
              <w:jc w:val="both"/>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、噪声</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eastAsia" w:ascii="黑体" w:hAnsi="黑体" w:eastAsia="黑体" w:cs="黑体"/>
                <w:b w:val="0"/>
                <w:bCs w:val="0"/>
                <w:color w:val="auto"/>
                <w:sz w:val="24"/>
                <w:szCs w:val="24"/>
                <w:lang w:val="en-US" w:eastAsia="zh-CN"/>
              </w:rPr>
            </w:pPr>
            <w:r>
              <w:rPr>
                <w:rFonts w:hint="default" w:ascii="Times New Roman" w:hAnsi="Times New Roman" w:cs="Times New Roman"/>
                <w:bCs/>
                <w:color w:val="auto"/>
                <w:sz w:val="24"/>
              </w:rPr>
              <w:t>营运期</w:t>
            </w:r>
            <w:r>
              <w:rPr>
                <w:rFonts w:hint="eastAsia" w:cs="Times New Roman"/>
                <w:bCs/>
                <w:color w:val="auto"/>
                <w:sz w:val="24"/>
                <w:lang w:val="en-US" w:eastAsia="zh-CN"/>
              </w:rPr>
              <w:t>加油站厂界</w:t>
            </w:r>
            <w:r>
              <w:rPr>
                <w:rFonts w:hint="default" w:ascii="Times New Roman" w:hAnsi="Times New Roman" w:cs="Times New Roman"/>
                <w:bCs/>
                <w:color w:val="auto"/>
                <w:sz w:val="24"/>
              </w:rPr>
              <w:t>噪声执行《工业企业厂界环境噪声排放标准》（GB12348-2008）中</w:t>
            </w:r>
            <w:r>
              <w:rPr>
                <w:rFonts w:hint="eastAsia" w:ascii="Times New Roman" w:hAnsi="Times New Roman" w:cs="Times New Roman"/>
                <w:bCs/>
                <w:color w:val="auto"/>
                <w:sz w:val="24"/>
                <w:lang w:val="en-US" w:eastAsia="zh-CN"/>
              </w:rPr>
              <w:t>4类</w:t>
            </w:r>
            <w:r>
              <w:rPr>
                <w:rFonts w:hint="default" w:ascii="Times New Roman" w:hAnsi="Times New Roman" w:cs="Times New Roman"/>
                <w:bCs/>
                <w:color w:val="auto"/>
                <w:sz w:val="24"/>
              </w:rPr>
              <w:t>标准。</w:t>
            </w:r>
            <w:r>
              <w:rPr>
                <w:rFonts w:hint="default" w:ascii="Times New Roman" w:hAnsi="Times New Roman" w:cs="Times New Roman"/>
                <w:color w:val="auto"/>
                <w:sz w:val="24"/>
                <w:szCs w:val="24"/>
              </w:rPr>
              <w:t>具体</w:t>
            </w:r>
            <w:r>
              <w:rPr>
                <w:rFonts w:hint="eastAsia"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rPr>
              <w:t>噪声标准值执行</w:t>
            </w:r>
            <w:r>
              <w:rPr>
                <w:rFonts w:hint="eastAsia" w:ascii="Times New Roman" w:hAnsi="Times New Roman" w:cs="Times New Roman"/>
                <w:color w:val="auto"/>
                <w:sz w:val="24"/>
                <w:szCs w:val="24"/>
                <w:lang w:val="en-US" w:eastAsia="zh-CN"/>
              </w:rPr>
              <w:t>情况</w:t>
            </w:r>
            <w:r>
              <w:rPr>
                <w:rFonts w:hint="default" w:ascii="Times New Roman" w:hAnsi="Times New Roman" w:cs="Times New Roman"/>
                <w:color w:val="auto"/>
                <w:sz w:val="24"/>
                <w:szCs w:val="24"/>
              </w:rPr>
              <w:t>见</w:t>
            </w:r>
            <w:r>
              <w:rPr>
                <w:rFonts w:hint="eastAsia" w:ascii="Times New Roman" w:hAnsi="Times New Roman" w:cs="Times New Roman"/>
                <w:b w:val="0"/>
                <w:bCs w:val="0"/>
                <w:color w:val="auto"/>
                <w:sz w:val="24"/>
                <w:szCs w:val="24"/>
                <w:lang w:val="en-US" w:eastAsia="zh-CN"/>
              </w:rPr>
              <w:t>下表。</w:t>
            </w:r>
          </w:p>
          <w:p>
            <w:pPr>
              <w:pStyle w:val="9"/>
              <w:bidi w:val="0"/>
              <w:rPr>
                <w:rFonts w:hint="default" w:ascii="Times New Roman" w:hAnsi="Times New Roman" w:cs="Times New Roman"/>
                <w:b/>
                <w:bCs/>
                <w:color w:val="auto"/>
                <w:sz w:val="24"/>
                <w:szCs w:val="24"/>
                <w:lang w:val="en-US" w:eastAsia="zh-CN"/>
              </w:rPr>
            </w:pPr>
            <w:r>
              <w:rPr>
                <w:rFonts w:hint="eastAsia" w:ascii="黑体" w:hAnsi="黑体" w:eastAsia="黑体" w:cs="黑体"/>
                <w:b w:val="0"/>
                <w:bCs w:val="0"/>
                <w:color w:val="auto"/>
                <w:sz w:val="24"/>
                <w:szCs w:val="24"/>
                <w:lang w:val="en-US" w:eastAsia="zh-CN"/>
              </w:rPr>
              <w:t xml:space="preserve">   </w:t>
            </w:r>
            <w:r>
              <w:rPr>
                <w:rFonts w:hint="eastAsia"/>
                <w:lang w:val="en-US" w:eastAsia="zh-CN"/>
              </w:rPr>
              <w:t xml:space="preserve">厂界环境噪声排放标准     </w:t>
            </w:r>
            <w:r>
              <w:rPr>
                <w:rFonts w:hint="default"/>
                <w:lang w:val="en-US" w:eastAsia="zh-CN"/>
              </w:rPr>
              <w:t xml:space="preserve"> </w:t>
            </w:r>
            <w:r>
              <w:rPr>
                <w:rFonts w:hint="eastAsia"/>
                <w:lang w:val="en-US" w:eastAsia="zh-CN"/>
              </w:rPr>
              <w:t>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1"/>
              <w:gridCol w:w="1226"/>
              <w:gridCol w:w="1174"/>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1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标准类别</w:t>
                  </w:r>
                </w:p>
              </w:tc>
              <w:tc>
                <w:tcPr>
                  <w:tcW w:w="7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128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1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eastAsia" w:ascii="Times New Roman" w:hAnsi="Times New Roman" w:cs="Times New Roman"/>
                      <w:color w:val="auto"/>
                      <w:sz w:val="21"/>
                      <w:szCs w:val="21"/>
                      <w:lang w:val="en-US" w:eastAsia="zh-CN"/>
                    </w:rPr>
                    <w:t>4类</w:t>
                  </w:r>
                </w:p>
              </w:tc>
              <w:tc>
                <w:tcPr>
                  <w:tcW w:w="7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28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四周厂界</w:t>
                  </w:r>
                </w:p>
              </w:tc>
            </w:tr>
          </w:tbl>
          <w:p>
            <w:pPr>
              <w:keepNext w:val="0"/>
              <w:keepLines w:val="0"/>
              <w:pageBreakBefore w:val="0"/>
              <w:widowControl w:val="0"/>
              <w:kinsoku/>
              <w:wordWrap/>
              <w:overflowPunct/>
              <w:topLinePunct w:val="0"/>
              <w:autoSpaceDE w:val="0"/>
              <w:autoSpaceDN w:val="0"/>
              <w:bidi w:val="0"/>
              <w:adjustRightInd/>
              <w:snapToGrid/>
              <w:spacing w:before="0" w:line="480" w:lineRule="exact"/>
              <w:ind w:firstLine="482" w:firstLineChars="200"/>
              <w:jc w:val="both"/>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rPr>
              <w:t>、固废</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宋体" w:hAnsi="宋体" w:cs="宋体"/>
                <w:color w:val="FF0000"/>
                <w:kern w:val="0"/>
                <w:szCs w:val="21"/>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val="en-US" w:eastAsia="zh-CN"/>
              </w:rPr>
              <w:t>危险废物执行</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危险</w:t>
            </w:r>
            <w:r>
              <w:rPr>
                <w:rFonts w:hint="default" w:ascii="Times New Roman" w:hAnsi="Times New Roman" w:eastAsia="宋体" w:cs="Times New Roman"/>
                <w:bCs/>
                <w:color w:val="auto"/>
                <w:sz w:val="24"/>
              </w:rPr>
              <w:t>废物贮存污染控制标准》（GB1859</w:t>
            </w:r>
            <w:r>
              <w:rPr>
                <w:rFonts w:hint="default" w:ascii="Times New Roman" w:hAnsi="Times New Roman" w:eastAsia="宋体" w:cs="Times New Roman"/>
                <w:bCs/>
                <w:color w:val="auto"/>
                <w:sz w:val="24"/>
                <w:lang w:val="en-US" w:eastAsia="zh-CN"/>
              </w:rPr>
              <w:t>7</w:t>
            </w:r>
            <w:r>
              <w:rPr>
                <w:rFonts w:hint="default" w:ascii="Times New Roman" w:hAnsi="Times New Roman" w:eastAsia="宋体" w:cs="Times New Roman"/>
                <w:bCs/>
                <w:color w:val="auto"/>
                <w:sz w:val="24"/>
              </w:rPr>
              <w:t>-2001）标准及</w:t>
            </w:r>
            <w:r>
              <w:rPr>
                <w:rFonts w:hint="eastAsia" w:ascii="Times New Roman" w:hAnsi="Times New Roman" w:eastAsia="宋体" w:cs="Times New Roman"/>
                <w:bCs/>
                <w:color w:val="auto"/>
                <w:sz w:val="24"/>
                <w:lang w:val="en-US" w:eastAsia="zh-CN"/>
              </w:rPr>
              <w:t>其2013年</w:t>
            </w:r>
            <w:r>
              <w:rPr>
                <w:rFonts w:hint="default" w:ascii="Times New Roman" w:hAnsi="Times New Roman" w:eastAsia="宋体" w:cs="Times New Roman"/>
                <w:bCs/>
                <w:color w:val="auto"/>
                <w:sz w:val="24"/>
              </w:rPr>
              <w:t>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80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FF0000"/>
                <w:kern w:val="0"/>
                <w:szCs w:val="21"/>
              </w:rPr>
            </w:pPr>
            <w:r>
              <w:rPr>
                <w:rFonts w:hint="eastAsia" w:ascii="宋体" w:hAnsi="宋体" w:cs="宋体"/>
                <w:color w:val="auto"/>
                <w:kern w:val="0"/>
                <w:szCs w:val="21"/>
              </w:rPr>
              <w:t>指标</w:t>
            </w:r>
          </w:p>
        </w:tc>
        <w:tc>
          <w:tcPr>
            <w:tcW w:w="8190" w:type="dxa"/>
            <w:vAlign w:val="center"/>
          </w:tcPr>
          <w:p>
            <w:pPr>
              <w:snapToGrid w:val="0"/>
              <w:spacing w:line="460" w:lineRule="exact"/>
              <w:ind w:firstLine="480" w:firstLineChars="200"/>
              <w:rPr>
                <w:rFonts w:hint="default"/>
                <w:color w:val="auto"/>
                <w:sz w:val="24"/>
                <w:lang w:val="en-US"/>
              </w:rPr>
            </w:pPr>
            <w:r>
              <w:rPr>
                <w:rFonts w:hint="eastAsia"/>
                <w:color w:val="auto"/>
                <w:sz w:val="24"/>
              </w:rPr>
              <w:t>本项目属于</w:t>
            </w:r>
            <w:r>
              <w:rPr>
                <w:rFonts w:hint="eastAsia"/>
                <w:color w:val="auto"/>
                <w:sz w:val="24"/>
                <w:lang w:val="en-US" w:eastAsia="zh-CN"/>
              </w:rPr>
              <w:t>改扩建</w:t>
            </w:r>
            <w:r>
              <w:rPr>
                <w:rFonts w:hint="eastAsia"/>
                <w:color w:val="auto"/>
                <w:sz w:val="24"/>
              </w:rPr>
              <w:t>项目，</w:t>
            </w:r>
            <w:r>
              <w:rPr>
                <w:rFonts w:hint="eastAsia"/>
                <w:color w:val="auto"/>
                <w:sz w:val="24"/>
                <w:lang w:val="en-US" w:eastAsia="zh-CN"/>
              </w:rPr>
              <w:t>扩建后油气回收系统由原来的二次油气回收升级改造为三级油气回收系统，扩建完成后全站VOCs（非甲烷总烃）排放量为</w:t>
            </w:r>
            <w:r>
              <w:rPr>
                <w:rFonts w:hint="eastAsia"/>
                <w:color w:val="auto"/>
                <w:sz w:val="24"/>
                <w:lang w:val="fr-FR" w:eastAsia="zh-CN"/>
              </w:rPr>
              <w:t>0.</w:t>
            </w:r>
            <w:r>
              <w:rPr>
                <w:rFonts w:hint="eastAsia"/>
                <w:color w:val="auto"/>
                <w:sz w:val="24"/>
                <w:lang w:val="en-US" w:eastAsia="zh-CN"/>
              </w:rPr>
              <w:t>0229t/a，以新带老削减量为0.0427t/a，新增VOCs（非甲烷总烃）排放量为0t/a。</w:t>
            </w:r>
          </w:p>
          <w:p>
            <w:pPr>
              <w:snapToGrid w:val="0"/>
              <w:spacing w:line="460" w:lineRule="exact"/>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根据《河南省生态环境厅关于印发建设项目主要污染物排放总量指标管理工作内部规程的通知》规定，建设项目环境影响评价文件中应明确建设项目主要污染物排放总量指标及替代方案。本项目属于</w:t>
            </w:r>
            <w:r>
              <w:rPr>
                <w:rFonts w:hint="eastAsia" w:cs="Times New Roman"/>
                <w:b w:val="0"/>
                <w:bCs w:val="0"/>
                <w:color w:val="000000"/>
                <w:kern w:val="2"/>
                <w:sz w:val="24"/>
                <w:szCs w:val="24"/>
                <w:lang w:val="en-US" w:eastAsia="zh-CN" w:bidi="ar-SA"/>
              </w:rPr>
              <w:t>改</w:t>
            </w:r>
            <w:r>
              <w:rPr>
                <w:rFonts w:hint="eastAsia" w:ascii="Times New Roman" w:hAnsi="Times New Roman" w:eastAsia="宋体" w:cs="Times New Roman"/>
                <w:b w:val="0"/>
                <w:bCs w:val="0"/>
                <w:color w:val="000000"/>
                <w:kern w:val="2"/>
                <w:sz w:val="24"/>
                <w:szCs w:val="24"/>
                <w:lang w:val="en-US" w:eastAsia="zh-CN" w:bidi="ar-SA"/>
              </w:rPr>
              <w:t>扩</w:t>
            </w:r>
            <w:r>
              <w:rPr>
                <w:rFonts w:hint="default" w:ascii="Times New Roman" w:hAnsi="Times New Roman" w:eastAsia="宋体" w:cs="Times New Roman"/>
                <w:b w:val="0"/>
                <w:bCs w:val="0"/>
                <w:color w:val="000000"/>
                <w:kern w:val="2"/>
                <w:sz w:val="24"/>
                <w:szCs w:val="24"/>
                <w:lang w:val="en-US" w:eastAsia="zh-CN" w:bidi="ar-SA"/>
              </w:rPr>
              <w:t>建项目，新增污染物排放量为COD0t/a、氨氮0t/a、SO</w:t>
            </w:r>
            <w:r>
              <w:rPr>
                <w:rFonts w:hint="default" w:ascii="Times New Roman" w:hAnsi="Times New Roman" w:eastAsia="宋体" w:cs="Times New Roman"/>
                <w:b w:val="0"/>
                <w:bCs w:val="0"/>
                <w:color w:val="000000"/>
                <w:kern w:val="2"/>
                <w:sz w:val="24"/>
                <w:szCs w:val="24"/>
                <w:vertAlign w:val="subscript"/>
                <w:lang w:val="en-US" w:eastAsia="zh-CN" w:bidi="ar-SA"/>
              </w:rPr>
              <w:t>2</w:t>
            </w:r>
            <w:r>
              <w:rPr>
                <w:rFonts w:hint="default" w:ascii="Times New Roman" w:hAnsi="Times New Roman" w:eastAsia="宋体" w:cs="Times New Roman"/>
                <w:b w:val="0"/>
                <w:bCs w:val="0"/>
                <w:color w:val="000000"/>
                <w:kern w:val="2"/>
                <w:sz w:val="24"/>
                <w:szCs w:val="24"/>
                <w:lang w:val="en-US" w:eastAsia="zh-CN" w:bidi="ar-SA"/>
              </w:rPr>
              <w:t>0t/a、NOx0t/a、颗粒物</w:t>
            </w:r>
            <w:r>
              <w:rPr>
                <w:rFonts w:hint="eastAsia" w:eastAsia="宋体" w:cs="Times New Roman"/>
                <w:b w:val="0"/>
                <w:bCs w:val="0"/>
                <w:color w:val="000000"/>
                <w:kern w:val="2"/>
                <w:sz w:val="24"/>
                <w:szCs w:val="24"/>
                <w:lang w:val="en-US" w:eastAsia="zh-CN" w:bidi="ar-SA"/>
              </w:rPr>
              <w:t>0</w:t>
            </w:r>
            <w:r>
              <w:rPr>
                <w:rFonts w:hint="default" w:ascii="Times New Roman" w:hAnsi="Times New Roman" w:eastAsia="宋体" w:cs="Times New Roman"/>
                <w:b w:val="0"/>
                <w:bCs w:val="0"/>
                <w:color w:val="000000"/>
                <w:kern w:val="2"/>
                <w:sz w:val="24"/>
                <w:szCs w:val="24"/>
                <w:lang w:val="en-US" w:eastAsia="zh-CN" w:bidi="ar-SA"/>
              </w:rPr>
              <w:t>t/a、VOCs</w:t>
            </w:r>
            <w:r>
              <w:rPr>
                <w:rFonts w:hint="eastAsia" w:ascii="Times New Roman" w:hAnsi="Times New Roman" w:eastAsia="宋体" w:cs="Times New Roman"/>
                <w:b w:val="0"/>
                <w:bCs w:val="0"/>
                <w:color w:val="000000"/>
                <w:kern w:val="2"/>
                <w:sz w:val="24"/>
                <w:szCs w:val="24"/>
                <w:lang w:val="en-US" w:eastAsia="zh-CN" w:bidi="ar-SA"/>
              </w:rPr>
              <w:t>0</w:t>
            </w:r>
            <w:r>
              <w:rPr>
                <w:rFonts w:hint="default" w:ascii="Times New Roman" w:hAnsi="Times New Roman" w:eastAsia="宋体" w:cs="Times New Roman"/>
                <w:b w:val="0"/>
                <w:bCs w:val="0"/>
                <w:color w:val="000000"/>
                <w:kern w:val="2"/>
                <w:sz w:val="24"/>
                <w:szCs w:val="24"/>
                <w:lang w:val="en-US" w:eastAsia="zh-CN" w:bidi="ar-SA"/>
              </w:rPr>
              <w:t>t/a、铅0t/a、铬0t/a、镉0t/a、汞0t/a、砷0t/a。</w:t>
            </w: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snapToGrid w:val="0"/>
              <w:spacing w:line="460" w:lineRule="exact"/>
              <w:ind w:firstLine="480" w:firstLineChars="200"/>
              <w:rPr>
                <w:color w:val="FF0000"/>
                <w:sz w:val="24"/>
              </w:rPr>
            </w:pPr>
          </w:p>
          <w:p>
            <w:pPr>
              <w:adjustRightInd w:val="0"/>
              <w:snapToGrid w:val="0"/>
              <w:spacing w:line="460" w:lineRule="exact"/>
              <w:ind w:firstLine="480" w:firstLineChars="200"/>
              <w:rPr>
                <w:rFonts w:hint="eastAsia"/>
                <w:color w:val="FF0000"/>
                <w:sz w:val="24"/>
                <w:lang w:eastAsia="zh-CN"/>
              </w:rPr>
            </w:pPr>
          </w:p>
          <w:p>
            <w:pPr>
              <w:adjustRightInd w:val="0"/>
              <w:snapToGrid w:val="0"/>
              <w:spacing w:line="460" w:lineRule="exact"/>
              <w:ind w:firstLine="480" w:firstLineChars="200"/>
              <w:rPr>
                <w:rFonts w:hint="eastAsia"/>
                <w:color w:val="FF0000"/>
                <w:sz w:val="24"/>
                <w:lang w:eastAsia="zh-CN"/>
              </w:rPr>
            </w:pPr>
          </w:p>
          <w:p>
            <w:pPr>
              <w:adjustRightInd w:val="0"/>
              <w:snapToGrid w:val="0"/>
              <w:spacing w:line="460" w:lineRule="exact"/>
              <w:ind w:firstLine="480" w:firstLineChars="200"/>
              <w:rPr>
                <w:rFonts w:hint="eastAsia" w:eastAsia="宋体"/>
                <w:color w:val="FF0000"/>
                <w:sz w:val="24"/>
                <w:lang w:eastAsia="zh-CN"/>
              </w:rPr>
            </w:pPr>
          </w:p>
        </w:tc>
      </w:tr>
    </w:tbl>
    <w:p>
      <w:pPr>
        <w:pStyle w:val="21"/>
        <w:jc w:val="center"/>
        <w:outlineLvl w:val="0"/>
        <w:rPr>
          <w:rFonts w:ascii="黑体" w:hAnsi="黑体" w:eastAsia="黑体"/>
          <w:snapToGrid w:val="0"/>
          <w:color w:val="FF0000"/>
          <w:sz w:val="30"/>
          <w:szCs w:val="30"/>
        </w:rPr>
      </w:pPr>
      <w:r>
        <w:rPr>
          <w:rFonts w:ascii="黑体" w:hAnsi="黑体" w:eastAsia="黑体"/>
          <w:snapToGrid w:val="0"/>
          <w:color w:val="FF0000"/>
          <w:sz w:val="36"/>
          <w:szCs w:val="36"/>
        </w:rPr>
        <w:br w:type="page"/>
      </w:r>
      <w:r>
        <w:rPr>
          <w:rFonts w:hint="eastAsia" w:ascii="黑体" w:hAnsi="黑体" w:eastAsia="黑体"/>
          <w:snapToGrid w:val="0"/>
          <w:color w:val="auto"/>
          <w:sz w:val="30"/>
          <w:szCs w:val="30"/>
        </w:rPr>
        <w:t>四、主要环境影响和保护措施</w:t>
      </w:r>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4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35" w:type="dxa"/>
            <w:tcMar>
              <w:left w:w="28" w:type="dxa"/>
              <w:right w:w="28" w:type="dxa"/>
            </w:tcMar>
            <w:vAlign w:val="center"/>
          </w:tcPr>
          <w:p>
            <w:pPr>
              <w:pStyle w:val="21"/>
              <w:adjustRightInd w:val="0"/>
              <w:snapToGrid w:val="0"/>
              <w:spacing w:before="0" w:beforeAutospacing="0" w:after="0" w:afterAutospacing="0"/>
              <w:jc w:val="center"/>
              <w:rPr>
                <w:rFonts w:cs="宋体"/>
                <w:color w:val="auto"/>
                <w:kern w:val="2"/>
                <w:sz w:val="21"/>
                <w:szCs w:val="21"/>
                <w:lang w:val="en-US"/>
              </w:rPr>
            </w:pPr>
            <w:r>
              <w:rPr>
                <w:rFonts w:hint="eastAsia" w:cs="宋体"/>
                <w:color w:val="auto"/>
                <w:kern w:val="2"/>
                <w:sz w:val="21"/>
                <w:szCs w:val="21"/>
                <w:lang w:val="en-US"/>
              </w:rPr>
              <w:t>施工</w:t>
            </w:r>
          </w:p>
          <w:p>
            <w:pPr>
              <w:pStyle w:val="21"/>
              <w:adjustRightInd w:val="0"/>
              <w:snapToGrid w:val="0"/>
              <w:spacing w:before="0" w:beforeAutospacing="0" w:after="0" w:afterAutospacing="0"/>
              <w:jc w:val="center"/>
              <w:rPr>
                <w:rFonts w:cs="宋体"/>
                <w:color w:val="auto"/>
                <w:kern w:val="2"/>
                <w:sz w:val="21"/>
                <w:szCs w:val="21"/>
                <w:lang w:val="en-US"/>
              </w:rPr>
            </w:pPr>
            <w:r>
              <w:rPr>
                <w:rFonts w:hint="eastAsia" w:cs="宋体"/>
                <w:color w:val="auto"/>
                <w:kern w:val="2"/>
                <w:sz w:val="21"/>
                <w:szCs w:val="21"/>
                <w:lang w:val="en-US"/>
              </w:rPr>
              <w:t>期环</w:t>
            </w:r>
          </w:p>
          <w:p>
            <w:pPr>
              <w:pStyle w:val="21"/>
              <w:adjustRightInd w:val="0"/>
              <w:snapToGrid w:val="0"/>
              <w:spacing w:before="0" w:beforeAutospacing="0" w:after="0" w:afterAutospacing="0"/>
              <w:jc w:val="center"/>
              <w:rPr>
                <w:rFonts w:cs="宋体"/>
                <w:color w:val="auto"/>
                <w:kern w:val="2"/>
                <w:sz w:val="21"/>
                <w:szCs w:val="21"/>
                <w:lang w:val="en-US"/>
              </w:rPr>
            </w:pPr>
            <w:r>
              <w:rPr>
                <w:rFonts w:hint="eastAsia" w:cs="宋体"/>
                <w:color w:val="auto"/>
                <w:kern w:val="2"/>
                <w:sz w:val="21"/>
                <w:szCs w:val="21"/>
                <w:lang w:val="en-US"/>
              </w:rPr>
              <w:t>境保</w:t>
            </w:r>
          </w:p>
          <w:p>
            <w:pPr>
              <w:pStyle w:val="21"/>
              <w:adjustRightInd w:val="0"/>
              <w:snapToGrid w:val="0"/>
              <w:spacing w:before="0" w:beforeAutospacing="0" w:after="0" w:afterAutospacing="0"/>
              <w:jc w:val="center"/>
              <w:rPr>
                <w:rFonts w:cs="宋体"/>
                <w:color w:val="auto"/>
                <w:kern w:val="2"/>
                <w:sz w:val="21"/>
                <w:szCs w:val="21"/>
                <w:lang w:val="en-US"/>
              </w:rPr>
            </w:pPr>
            <w:r>
              <w:rPr>
                <w:rFonts w:hint="eastAsia" w:cs="宋体"/>
                <w:color w:val="auto"/>
                <w:kern w:val="2"/>
                <w:sz w:val="21"/>
                <w:szCs w:val="21"/>
                <w:lang w:val="en-US"/>
              </w:rPr>
              <w:t>护措</w:t>
            </w:r>
          </w:p>
          <w:p>
            <w:pPr>
              <w:pStyle w:val="21"/>
              <w:adjustRightInd w:val="0"/>
              <w:snapToGrid w:val="0"/>
              <w:spacing w:before="0" w:beforeAutospacing="0" w:after="0" w:afterAutospacing="0"/>
              <w:jc w:val="center"/>
              <w:rPr>
                <w:rFonts w:cs="宋体"/>
                <w:bCs/>
                <w:color w:val="FF0000"/>
                <w:kern w:val="2"/>
                <w:sz w:val="21"/>
                <w:szCs w:val="21"/>
                <w:lang w:val="en-US"/>
              </w:rPr>
            </w:pPr>
            <w:r>
              <w:rPr>
                <w:rFonts w:hint="eastAsia" w:cs="宋体"/>
                <w:color w:val="auto"/>
                <w:kern w:val="2"/>
                <w:sz w:val="21"/>
                <w:szCs w:val="21"/>
                <w:lang w:val="en-US"/>
              </w:rPr>
              <w:t>施</w:t>
            </w:r>
          </w:p>
        </w:tc>
        <w:tc>
          <w:tcPr>
            <w:tcW w:w="8446" w:type="dxa"/>
            <w:vAlign w:val="center"/>
          </w:tcPr>
          <w:p>
            <w:pPr>
              <w:adjustRightInd w:val="0"/>
              <w:snapToGrid w:val="0"/>
              <w:spacing w:line="460" w:lineRule="exact"/>
              <w:ind w:firstLine="480" w:firstLineChars="200"/>
              <w:rPr>
                <w:rFonts w:ascii="宋体" w:hAnsi="宋体" w:cs="宋体"/>
                <w:bCs/>
                <w:color w:val="FF0000"/>
                <w:spacing w:val="-10"/>
                <w:sz w:val="24"/>
              </w:rPr>
            </w:pPr>
            <w:r>
              <w:rPr>
                <w:rFonts w:hint="eastAsia"/>
                <w:bCs/>
                <w:color w:val="auto"/>
                <w:sz w:val="24"/>
              </w:rPr>
              <w:t>本项目</w:t>
            </w:r>
            <w:r>
              <w:rPr>
                <w:rFonts w:hint="eastAsia"/>
                <w:bCs/>
                <w:color w:val="auto"/>
                <w:sz w:val="24"/>
                <w:lang w:eastAsia="zh-CN"/>
              </w:rPr>
              <w:t>设备已建成，后续不再进行土建施工，</w:t>
            </w:r>
            <w:r>
              <w:rPr>
                <w:rFonts w:hint="default" w:ascii="Times New Roman" w:hAnsi="Times New Roman" w:eastAsia="宋体" w:cs="Times New Roman"/>
                <w:b w:val="0"/>
                <w:bCs/>
                <w:color w:val="auto"/>
                <w:spacing w:val="-10"/>
                <w:sz w:val="24"/>
                <w:szCs w:val="24"/>
              </w:rPr>
              <w:t>因此，本次评价不再进行施工期环境影响分析。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35" w:type="dxa"/>
            <w:tcMar>
              <w:left w:w="28" w:type="dxa"/>
              <w:right w:w="28" w:type="dxa"/>
            </w:tcMar>
            <w:vAlign w:val="center"/>
          </w:tcPr>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运营</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期环</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境影</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响和</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保护</w:t>
            </w:r>
          </w:p>
          <w:p>
            <w:pPr>
              <w:adjustRightInd w:val="0"/>
              <w:snapToGrid w:val="0"/>
              <w:jc w:val="center"/>
              <w:rPr>
                <w:rFonts w:ascii="宋体" w:hAnsi="宋体" w:cs="宋体"/>
                <w:bCs/>
                <w:color w:val="FF0000"/>
                <w:szCs w:val="21"/>
              </w:rPr>
            </w:pPr>
            <w:r>
              <w:rPr>
                <w:rFonts w:hint="eastAsia" w:ascii="宋体" w:hAnsi="宋体" w:cs="宋体"/>
                <w:bCs/>
                <w:color w:val="auto"/>
                <w:sz w:val="24"/>
                <w:szCs w:val="24"/>
              </w:rPr>
              <w:t>措施</w:t>
            </w:r>
          </w:p>
        </w:tc>
        <w:tc>
          <w:tcPr>
            <w:tcW w:w="8446" w:type="dxa"/>
            <w:tcBorders>
              <w:right w:val="single" w:color="auto" w:sz="4" w:space="0"/>
            </w:tcBorders>
            <w:vAlign w:val="center"/>
          </w:tcPr>
          <w:p>
            <w:pPr>
              <w:adjustRightInd w:val="0"/>
              <w:snapToGrid w:val="0"/>
              <w:spacing w:line="460" w:lineRule="exact"/>
              <w:rPr>
                <w:b/>
                <w:color w:val="auto"/>
                <w:sz w:val="24"/>
              </w:rPr>
            </w:pPr>
            <w:r>
              <w:rPr>
                <w:b/>
                <w:color w:val="auto"/>
                <w:sz w:val="24"/>
              </w:rPr>
              <w:t>营运期环境影响分析：</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rPr>
            </w:pPr>
            <w:r>
              <w:rPr>
                <w:color w:val="auto"/>
                <w:sz w:val="24"/>
              </w:rPr>
              <w:t>营运期污染因素主要有废气、噪声、固废，具体内容见以下分析。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trike w:val="0"/>
                <w:dstrike w:val="0"/>
                <w:color w:val="auto"/>
                <w:sz w:val="24"/>
                <w:lang w:eastAsia="zh-CN"/>
              </w:rPr>
            </w:pPr>
            <w:r>
              <w:rPr>
                <w:rFonts w:hint="eastAsia" w:ascii="Times New Roman" w:hAnsi="Times New Roman" w:eastAsia="宋体" w:cs="Times New Roman"/>
                <w:strike w:val="0"/>
                <w:dstrike w:val="0"/>
                <w:color w:val="auto"/>
                <w:sz w:val="24"/>
                <w:lang w:eastAsia="zh-CN"/>
              </w:rPr>
              <w:t>一、废气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strike w:val="0"/>
                <w:dstrike w:val="0"/>
                <w:color w:val="auto"/>
                <w:sz w:val="24"/>
              </w:rPr>
              <w:t>根据前述工程分析可知</w:t>
            </w:r>
            <w:r>
              <w:rPr>
                <w:rFonts w:hint="default" w:ascii="Times New Roman" w:hAnsi="Times New Roman" w:eastAsia="宋体" w:cs="Times New Roman"/>
                <w:strike w:val="0"/>
                <w:dstrike w:val="0"/>
                <w:color w:val="auto"/>
                <w:sz w:val="24"/>
                <w:lang w:eastAsia="zh-CN"/>
              </w:rPr>
              <w:t>，</w:t>
            </w:r>
            <w:r>
              <w:rPr>
                <w:rFonts w:hint="default"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rPr>
              <w:t>营运期污染源主要包括</w:t>
            </w:r>
            <w:r>
              <w:rPr>
                <w:rFonts w:ascii="Times New Roman" w:hAnsi="Times New Roman"/>
                <w:color w:val="auto"/>
                <w:kern w:val="0"/>
                <w:sz w:val="24"/>
                <w:szCs w:val="24"/>
              </w:rPr>
              <w:t>卸油、储油和加油等过程</w:t>
            </w:r>
            <w:r>
              <w:rPr>
                <w:rFonts w:hint="eastAsia" w:cs="Times New Roman"/>
                <w:strike w:val="0"/>
                <w:dstrike w:val="0"/>
                <w:color w:val="auto"/>
                <w:sz w:val="24"/>
                <w:lang w:eastAsia="zh-CN"/>
              </w:rPr>
              <w:t>油品挥发废气和</w:t>
            </w:r>
            <w:r>
              <w:rPr>
                <w:rFonts w:hint="default" w:ascii="Times New Roman" w:hAnsi="Times New Roman" w:eastAsia="宋体" w:cs="Times New Roman"/>
                <w:strike w:val="0"/>
                <w:dstrike w:val="0"/>
                <w:color w:val="auto"/>
                <w:sz w:val="24"/>
              </w:rPr>
              <w:t>站区车辆汽车尾气等。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strike w:val="0"/>
                <w:dstrike w:val="0"/>
                <w:color w:val="auto"/>
                <w:sz w:val="24"/>
              </w:rPr>
              <w:t>（1）大气污染因素及源强分析</w:t>
            </w:r>
          </w:p>
          <w:p>
            <w:pPr>
              <w:pStyle w:val="24"/>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textAlignment w:val="auto"/>
              <w:rPr>
                <w:rFonts w:hint="default" w:ascii="Times New Roman" w:hAnsi="Times New Roman" w:eastAsia="宋体" w:cs="Times New Roman"/>
                <w:strike w:val="0"/>
                <w:dstrike w:val="0"/>
                <w:color w:val="auto"/>
                <w:kern w:val="2"/>
                <w:sz w:val="24"/>
                <w:szCs w:val="24"/>
                <w:lang w:val="en-US" w:eastAsia="zh-CN" w:bidi="ar-SA"/>
              </w:rPr>
            </w:pPr>
            <w:r>
              <w:rPr>
                <w:rFonts w:hint="default" w:ascii="Times New Roman" w:hAnsi="Times New Roman" w:eastAsia="宋体" w:cs="Times New Roman"/>
                <w:strike w:val="0"/>
                <w:dstrike w:val="0"/>
                <w:color w:val="auto"/>
                <w:kern w:val="2"/>
                <w:sz w:val="24"/>
                <w:szCs w:val="24"/>
                <w:lang w:val="en-US" w:eastAsia="zh-CN" w:bidi="ar-SA"/>
              </w:rPr>
              <w:t>①油品挥发废气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本项目在卸油、储油、加油作业等过程会产生一定的油气，主要大气污染物为非甲烷总烃。 </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color w:val="FF0000"/>
                <w:lang w:val="en-US" w:eastAsia="zh-CN"/>
              </w:rPr>
            </w:pPr>
            <w:r>
              <w:rPr>
                <w:rFonts w:hint="eastAsia" w:ascii="Times New Roman" w:hAnsi="Times New Roman" w:eastAsia="宋体" w:cs="Times New Roman"/>
                <w:color w:val="auto"/>
                <w:sz w:val="24"/>
                <w:szCs w:val="24"/>
                <w:lang w:val="en-US" w:eastAsia="zh-CN"/>
              </w:rPr>
              <w:t>储油罐大呼吸损失是指储油罐进行装油作业时，由于机械力的作用加剧了油品挥发程度，产生了油气；油罐进油时，由于油面逐渐升高，气体空间逐渐减小，罐内压力增大，为保持压力平衡，一部分油气通过呼吸阀排出，形成了称为“大呼吸”的油气排放。储油罐小呼吸损失是指油罐在没有收发油作业的情况下，油品储存过程中，随着外界气温、压力在一天内的升降周期变化，罐内气体空间温度、油品蒸发速度、油气浓度和蒸汽压力也随之变化，此时油罐会排出油气和吸入空气，从而造成油气损失。加油机作业损失为车辆加油时，油品进入汽车油箱，油箱内的烃类气体被油品置换排入大气。此外，在加油机作业过程中，不可避免地有一些成品油跑、冒、滴、漏现象的发生，跑冒滴漏量与加油站的管理、加油工人的操作水平等诸多因素有关。</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汽油：根据《环境影响评价工程师执业资格登记培训教材 社会区域类环</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境影响评价》，参考《成品油销售业汽油油气排放控制标准》及同类型加油站项目，汽油卸油、储油、加油过程中烃类气体产生系数为：储油罐大呼吸造成的烃类气体平均排放率约0.88kg/m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通过量，小呼吸造成的烃类气体平均排放率约0.12kg/m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通过量，车辆加油时造成的烃类气体排放速率约为0.11kg/m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通过量，加油机作业过程中成品油的跑、冒、滴、漏一般平均损失量为0.036kg/m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 通过量。</w:t>
            </w:r>
            <w:r>
              <w:rPr>
                <w:color w:val="auto"/>
                <w:kern w:val="0"/>
                <w:sz w:val="24"/>
                <w:lang w:bidi="ar"/>
              </w:rPr>
              <w:t>本项目设1套汽油油气回收装置，包括一次、二次油气回收系统</w:t>
            </w:r>
            <w:r>
              <w:rPr>
                <w:rFonts w:hint="eastAsia" w:ascii="Times New Roman" w:hAnsi="Times New Roman" w:eastAsia="宋体" w:cs="Times New Roman"/>
                <w:color w:val="auto"/>
                <w:sz w:val="24"/>
                <w:szCs w:val="24"/>
                <w:lang w:val="en-US" w:eastAsia="zh-CN"/>
              </w:rPr>
              <w:t>，其中油罐车在加油站装卸油料过程进行一次油气回收，回收率可达99%；汽车加油时利用加油枪上的特殊装置实现二次油气回收，其回收的效率为85~95%，本项目取90%。</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eastAsia" w:ascii="宋体" w:hAnsi="宋体" w:eastAsia="宋体" w:cs="宋体"/>
                <w:color w:val="auto"/>
                <w:kern w:val="0"/>
                <w:sz w:val="24"/>
                <w:szCs w:val="24"/>
                <w:lang w:val="en-US" w:eastAsia="zh-CN" w:bidi="ar"/>
              </w:rPr>
              <w:t>根据《加油站大气污染物排放标准》（</w:t>
            </w:r>
            <w:r>
              <w:rPr>
                <w:rFonts w:hint="default" w:ascii="Times New Roman" w:hAnsi="Times New Roman" w:eastAsia="宋体" w:cs="Times New Roman"/>
                <w:color w:val="auto"/>
                <w:kern w:val="0"/>
                <w:sz w:val="24"/>
                <w:szCs w:val="24"/>
                <w:lang w:val="en-US" w:eastAsia="zh-CN" w:bidi="ar"/>
              </w:rPr>
              <w:t>GB20952-2020</w:t>
            </w:r>
            <w:r>
              <w:rPr>
                <w:rFonts w:hint="eastAsia" w:ascii="宋体" w:hAnsi="宋体" w:eastAsia="宋体" w:cs="宋体"/>
                <w:color w:val="auto"/>
                <w:kern w:val="0"/>
                <w:sz w:val="24"/>
                <w:szCs w:val="24"/>
                <w:lang w:val="en-US" w:eastAsia="zh-CN" w:bidi="ar"/>
              </w:rPr>
              <w:t>）要求，采用密闭储罐，并在储罐呼吸阀处拟设置油气排放处置装置（三次油气回收），当油罐压力超过预设的压力值时（</w:t>
            </w:r>
            <w:r>
              <w:rPr>
                <w:rFonts w:hint="default" w:ascii="Times New Roman" w:hAnsi="Times New Roman" w:eastAsia="宋体" w:cs="Times New Roman"/>
                <w:color w:val="auto"/>
                <w:kern w:val="0"/>
                <w:sz w:val="24"/>
                <w:szCs w:val="24"/>
                <w:lang w:val="en-US" w:eastAsia="zh-CN" w:bidi="ar"/>
              </w:rPr>
              <w:t>+150Pa</w:t>
            </w:r>
            <w:r>
              <w:rPr>
                <w:rFonts w:hint="eastAsia" w:ascii="宋体" w:hAnsi="宋体" w:eastAsia="宋体" w:cs="宋体"/>
                <w:color w:val="auto"/>
                <w:kern w:val="0"/>
                <w:sz w:val="24"/>
                <w:szCs w:val="24"/>
                <w:lang w:val="en-US" w:eastAsia="zh-CN" w:bidi="ar"/>
              </w:rPr>
              <w:t>），设备内部的真空泵自动开始运行，抽取储罐内的油气通过采用吸附、吸收、冷凝、膜分离方法对油气进行处理回收，其回收的效率可达</w:t>
            </w:r>
            <w:r>
              <w:rPr>
                <w:rFonts w:hint="default" w:ascii="Times New Roman" w:hAnsi="Times New Roman" w:eastAsia="宋体" w:cs="Times New Roman"/>
                <w:color w:val="auto"/>
                <w:kern w:val="0"/>
                <w:sz w:val="24"/>
                <w:szCs w:val="24"/>
                <w:lang w:val="en-US" w:eastAsia="zh-CN" w:bidi="ar"/>
              </w:rPr>
              <w:t>90~99%</w:t>
            </w:r>
            <w:r>
              <w:rPr>
                <w:rFonts w:hint="eastAsia" w:ascii="宋体" w:hAnsi="宋体" w:eastAsia="宋体" w:cs="宋体"/>
                <w:color w:val="auto"/>
                <w:kern w:val="0"/>
                <w:sz w:val="24"/>
                <w:szCs w:val="24"/>
                <w:lang w:val="en-US" w:eastAsia="zh-CN" w:bidi="ar"/>
              </w:rPr>
              <w:t>。本项目采用的是冷凝回收工艺，本评价三次油气回收效率取</w:t>
            </w:r>
            <w:r>
              <w:rPr>
                <w:rFonts w:hint="default" w:ascii="Times New Roman" w:hAnsi="Times New Roman" w:eastAsia="宋体" w:cs="Times New Roman"/>
                <w:color w:val="auto"/>
                <w:kern w:val="0"/>
                <w:sz w:val="24"/>
                <w:szCs w:val="24"/>
                <w:lang w:val="en-US" w:eastAsia="zh-CN" w:bidi="ar"/>
              </w:rPr>
              <w:t>95%</w:t>
            </w:r>
            <w:r>
              <w:rPr>
                <w:rFonts w:hint="eastAsia" w:ascii="宋体" w:hAnsi="宋体" w:eastAsia="宋体" w:cs="宋体"/>
                <w:color w:val="auto"/>
                <w:kern w:val="0"/>
                <w:sz w:val="24"/>
                <w:szCs w:val="24"/>
                <w:lang w:val="en-US" w:eastAsia="zh-CN" w:bidi="ar"/>
              </w:rPr>
              <w:t>计，本项目油气处理装置排气口距地平面高度为</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柴油：根据《环境影响评价工程师执业资格登记培训教材 社会区域类环</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境影响评价》，柴油储油罐小呼吸造成的烃类有机物排放速率为0.01kg/m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通过量。参照《中国加油站VOC排放污染现状及控制》，未安装油气回收系统的柴油储罐大呼吸产生的烃类气体排放因子为0.027kg/t，未安装油气回收系统的柴油加油机在进行加油时产生的烃类气体排放因子为0.048kg/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经查阅相关资料，汽油相对密度（水=1）约0.75g/cm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，柴油相对密度（水=1）约0.85g/cm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。根据油品销售方案，全站92#、95#汽油年销售量共为200t/a，则汽油年通过量约为266.67m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/a；0#柴油年销售量共为50t/a，则柴油年通过量约为58.82m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/a。综上所述，本项目非甲烷总烃产排情况见下表：</w:t>
            </w:r>
          </w:p>
          <w:p>
            <w:pPr>
              <w:pStyle w:val="9"/>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eastAsia="zh-CN"/>
              </w:rPr>
              <w:t>非甲烷总烃产排情况</w:t>
            </w:r>
            <w:r>
              <w:rPr>
                <w:rFonts w:hint="default" w:ascii="Times New Roman" w:hAnsi="Times New Roman" w:cs="Times New Roman"/>
                <w:color w:val="auto"/>
                <w:sz w:val="24"/>
                <w:szCs w:val="24"/>
                <w:lang w:eastAsia="zh-CN"/>
              </w:rPr>
              <w:t>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702"/>
              <w:gridCol w:w="886"/>
              <w:gridCol w:w="886"/>
              <w:gridCol w:w="880"/>
              <w:gridCol w:w="970"/>
              <w:gridCol w:w="834"/>
              <w:gridCol w:w="886"/>
              <w:gridCol w:w="834"/>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种类</w:t>
                  </w:r>
                </w:p>
              </w:tc>
              <w:tc>
                <w:tcPr>
                  <w:tcW w:w="2203"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汽油</w:t>
                  </w:r>
                </w:p>
              </w:tc>
              <w:tc>
                <w:tcPr>
                  <w:tcW w:w="2143"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53"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产排污环节</w:t>
                  </w:r>
                </w:p>
              </w:tc>
              <w:tc>
                <w:tcPr>
                  <w:tcW w:w="107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储油罐</w:t>
                  </w:r>
                </w:p>
              </w:tc>
              <w:tc>
                <w:tcPr>
                  <w:tcW w:w="11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加油机</w:t>
                  </w:r>
                </w:p>
              </w:tc>
              <w:tc>
                <w:tcPr>
                  <w:tcW w:w="10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储油罐</w:t>
                  </w:r>
                </w:p>
              </w:tc>
              <w:tc>
                <w:tcPr>
                  <w:tcW w:w="10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大呼吸损失</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小呼吸损失</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加油作业损失</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跑冒滴漏损失</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大呼吸损失</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小呼吸损失</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加油作业损失</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跑冒滴漏损失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产生情况</w:t>
                  </w: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产生系数 </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0.88</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0.11</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0.036</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0.027kg/t</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0.048kg/t</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0.036</w:t>
                  </w:r>
                  <w:r>
                    <w:rPr>
                      <w:rFonts w:hint="eastAsia" w:ascii="Times New Roman" w:hAnsi="Times New Roman" w:eastAsia="宋体" w:cs="Times New Roman"/>
                      <w:color w:val="auto"/>
                      <w:sz w:val="21"/>
                      <w:szCs w:val="21"/>
                      <w:lang w:val="en-US" w:eastAsia="zh-CN"/>
                    </w:rPr>
                    <w:t>kg/m</w:t>
                  </w:r>
                  <w:r>
                    <w:rPr>
                      <w:rFonts w:hint="eastAsia"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通过量</w:t>
                  </w:r>
                </w:p>
              </w:tc>
              <w:tc>
                <w:tcPr>
                  <w:tcW w:w="2203"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kern w:val="0"/>
                      <w:szCs w:val="21"/>
                      <w:lang w:val="en-US" w:eastAsia="zh-CN" w:bidi="ar"/>
                    </w:rPr>
                    <w:t>200t/a，266.67m</w:t>
                  </w:r>
                  <w:r>
                    <w:rPr>
                      <w:rFonts w:hint="eastAsia"/>
                      <w:color w:val="auto"/>
                      <w:kern w:val="0"/>
                      <w:szCs w:val="21"/>
                      <w:vertAlign w:val="superscript"/>
                      <w:lang w:val="en-US" w:eastAsia="zh-CN" w:bidi="ar"/>
                    </w:rPr>
                    <w:t>3</w:t>
                  </w:r>
                  <w:r>
                    <w:rPr>
                      <w:rFonts w:hint="eastAsia"/>
                      <w:color w:val="auto"/>
                      <w:kern w:val="0"/>
                      <w:szCs w:val="21"/>
                      <w:lang w:val="en-US" w:eastAsia="zh-CN" w:bidi="ar"/>
                    </w:rPr>
                    <w:t>/a</w:t>
                  </w:r>
                </w:p>
              </w:tc>
              <w:tc>
                <w:tcPr>
                  <w:tcW w:w="2143"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kern w:val="0"/>
                      <w:szCs w:val="21"/>
                      <w:lang w:val="en-US" w:eastAsia="zh-CN" w:bidi="ar"/>
                    </w:rPr>
                    <w:t>50t/a，58.82m</w:t>
                  </w:r>
                  <w:r>
                    <w:rPr>
                      <w:rFonts w:hint="eastAsia"/>
                      <w:color w:val="auto"/>
                      <w:kern w:val="0"/>
                      <w:szCs w:val="21"/>
                      <w:vertAlign w:val="superscript"/>
                      <w:lang w:val="en-US" w:eastAsia="zh-CN" w:bidi="ar"/>
                    </w:rPr>
                    <w:t>3</w:t>
                  </w:r>
                  <w:r>
                    <w:rPr>
                      <w:rFonts w:hint="eastAsia"/>
                      <w:color w:val="auto"/>
                      <w:kern w:val="0"/>
                      <w:szCs w:val="21"/>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产生量（t/a）</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0.2347 </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0.0320 </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0.0293 </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0.0096 </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0.0014 </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0.0006 </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0.0024 </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 xml:space="preserve">0.0021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污染治理措施</w:t>
                  </w: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治理工艺</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一次油气回收</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三次油气回收（冷凝）</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二次油气回收</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治理效率</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99%</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95%</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排放情况</w:t>
                  </w: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排放量（t/a）</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0.0023</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0.0016</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0.0029</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kern w:val="0"/>
                      <w:szCs w:val="21"/>
                      <w:lang w:val="en-US" w:eastAsia="zh-CN" w:bidi="ar"/>
                    </w:rPr>
                    <w:t xml:space="preserve">0.0096 </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kern w:val="0"/>
                      <w:szCs w:val="21"/>
                      <w:lang w:val="en-US" w:eastAsia="zh-CN" w:bidi="ar"/>
                    </w:rPr>
                    <w:t xml:space="preserve">0.0014 </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kern w:val="0"/>
                      <w:szCs w:val="21"/>
                      <w:lang w:val="en-US" w:eastAsia="zh-CN" w:bidi="ar"/>
                    </w:rPr>
                    <w:t xml:space="preserve">0.0006 </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kern w:val="0"/>
                      <w:szCs w:val="21"/>
                      <w:lang w:val="en-US" w:eastAsia="zh-CN" w:bidi="ar"/>
                    </w:rPr>
                    <w:t xml:space="preserve">0.0024 </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auto"/>
                      <w:kern w:val="0"/>
                      <w:szCs w:val="21"/>
                      <w:lang w:val="en-US" w:eastAsia="zh-CN" w:bidi="ar"/>
                    </w:rPr>
                    <w:t xml:space="preserve">0.0021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合计（t/a）</w:t>
                  </w:r>
                </w:p>
              </w:tc>
              <w:tc>
                <w:tcPr>
                  <w:tcW w:w="4346"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0.0229（0.0026kg/h）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排放方式</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有组织</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是否为可行技术</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w:t>
                  </w:r>
                </w:p>
              </w:tc>
              <w:tc>
                <w:tcPr>
                  <w:tcW w:w="5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注：（1）根据《排污许可证申请与核发技术规范——储油库、加油站》（HJ1118-2020）附录 F，本项目采用的油气回收系统及油气冷凝法处理装置均为可行技术。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（2）项目扩建前年销售汽油160t/a，汽油年通过量约为213.33m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/a；柴油年销售量为40t/a，柴油年通过量约为47.06m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/a。扩建前采用二级油气回收，根据上表核算后，项目扩建前现有工程非甲烷总烃排放量合计为0.0427t/a。</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color w:val="auto"/>
                <w:sz w:val="24"/>
                <w:szCs w:val="24"/>
              </w:rPr>
            </w:pPr>
            <w:r>
              <w:rPr>
                <w:rFonts w:hint="default"/>
                <w:color w:val="auto"/>
                <w:sz w:val="24"/>
                <w:szCs w:val="24"/>
              </w:rPr>
              <w:t>本项目废气排放</w:t>
            </w:r>
            <w:r>
              <w:rPr>
                <w:rFonts w:hint="eastAsia"/>
                <w:color w:val="auto"/>
                <w:sz w:val="24"/>
                <w:szCs w:val="24"/>
                <w:lang w:eastAsia="zh-CN"/>
              </w:rPr>
              <w:t>口基本情况见</w:t>
            </w:r>
            <w:r>
              <w:rPr>
                <w:rFonts w:hint="eastAsia"/>
                <w:color w:val="auto"/>
                <w:sz w:val="24"/>
                <w:szCs w:val="24"/>
                <w:lang w:val="en-US" w:eastAsia="zh-CN"/>
              </w:rPr>
              <w:t>下</w:t>
            </w:r>
            <w:r>
              <w:rPr>
                <w:rFonts w:hint="eastAsia"/>
                <w:color w:val="auto"/>
                <w:sz w:val="24"/>
                <w:szCs w:val="24"/>
                <w:lang w:eastAsia="zh-CN"/>
              </w:rPr>
              <w:t>表</w:t>
            </w:r>
            <w:r>
              <w:rPr>
                <w:rFonts w:hint="default"/>
                <w:color w:val="auto"/>
                <w:sz w:val="24"/>
                <w:szCs w:val="24"/>
              </w:rPr>
              <w:t>。</w:t>
            </w:r>
          </w:p>
          <w:p>
            <w:pPr>
              <w:pStyle w:val="9"/>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大气排放口基本信息情况表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0"/>
              <w:gridCol w:w="1072"/>
              <w:gridCol w:w="1097"/>
              <w:gridCol w:w="1072"/>
              <w:gridCol w:w="1154"/>
              <w:gridCol w:w="931"/>
              <w:gridCol w:w="899"/>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79"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排放口</w:t>
                  </w:r>
                </w:p>
              </w:tc>
              <w:tc>
                <w:tcPr>
                  <w:tcW w:w="6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z w:val="21"/>
                      <w:szCs w:val="21"/>
                    </w:rPr>
                  </w:pPr>
                  <w:r>
                    <w:rPr>
                      <w:rFonts w:hint="default"/>
                      <w:b/>
                      <w:bCs/>
                      <w:color w:val="auto"/>
                      <w:sz w:val="21"/>
                      <w:szCs w:val="21"/>
                    </w:rPr>
                    <w:t>排气筒高度/m</w:t>
                  </w:r>
                </w:p>
              </w:tc>
              <w:tc>
                <w:tcPr>
                  <w:tcW w:w="70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default"/>
                      <w:b/>
                      <w:bCs/>
                      <w:color w:val="auto"/>
                      <w:sz w:val="21"/>
                      <w:szCs w:val="21"/>
                    </w:rPr>
                    <w:t>排气筒出口内径/m</w:t>
                  </w:r>
                  <w:r>
                    <w:rPr>
                      <w:rFonts w:hint="eastAsia"/>
                      <w:b/>
                      <w:bCs/>
                      <w:color w:val="auto"/>
                      <w:sz w:val="21"/>
                      <w:szCs w:val="21"/>
                      <w:lang w:val="en-US" w:eastAsia="zh-CN"/>
                    </w:rPr>
                    <w:t>m</w:t>
                  </w:r>
                </w:p>
              </w:tc>
              <w:tc>
                <w:tcPr>
                  <w:tcW w:w="1113"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排放口地理坐标</w:t>
                  </w:r>
                </w:p>
              </w:tc>
              <w:tc>
                <w:tcPr>
                  <w:tcW w:w="6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z w:val="21"/>
                      <w:szCs w:val="21"/>
                    </w:rPr>
                  </w:pPr>
                  <w:r>
                    <w:rPr>
                      <w:rFonts w:hint="eastAsia"/>
                      <w:b/>
                      <w:bCs/>
                      <w:color w:val="auto"/>
                      <w:sz w:val="21"/>
                      <w:szCs w:val="21"/>
                      <w:lang w:eastAsia="zh-CN"/>
                    </w:rPr>
                    <w:t>排气</w:t>
                  </w:r>
                  <w:r>
                    <w:rPr>
                      <w:rFonts w:hint="default"/>
                      <w:b/>
                      <w:bCs/>
                      <w:color w:val="auto"/>
                      <w:sz w:val="21"/>
                      <w:szCs w:val="21"/>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bCs/>
                      <w:color w:val="auto"/>
                      <w:sz w:val="21"/>
                      <w:szCs w:val="21"/>
                    </w:rPr>
                  </w:pPr>
                  <w:r>
                    <w:rPr>
                      <w:rFonts w:hint="default"/>
                      <w:b/>
                      <w:bCs/>
                      <w:color w:val="auto"/>
                      <w:sz w:val="21"/>
                      <w:szCs w:val="21"/>
                    </w:rPr>
                    <w:t>名称</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类型</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编号</w:t>
                  </w:r>
                </w:p>
              </w:tc>
              <w:tc>
                <w:tcPr>
                  <w:tcW w:w="6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p>
              </w:tc>
              <w:tc>
                <w:tcPr>
                  <w:tcW w:w="70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经度</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纬度</w:t>
                  </w:r>
                </w:p>
              </w:tc>
              <w:tc>
                <w:tcPr>
                  <w:tcW w:w="6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油气处理装置排气</w:t>
                  </w:r>
                  <w:r>
                    <w:rPr>
                      <w:rFonts w:hint="eastAsia"/>
                      <w:color w:val="auto"/>
                      <w:sz w:val="21"/>
                      <w:szCs w:val="21"/>
                      <w:lang w:val="en-US" w:eastAsia="zh-CN"/>
                    </w:rPr>
                    <w:t>口</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eastAsia="zh-CN"/>
                    </w:rPr>
                  </w:pPr>
                  <w:r>
                    <w:rPr>
                      <w:rFonts w:hint="eastAsia"/>
                      <w:color w:val="auto"/>
                      <w:sz w:val="21"/>
                      <w:szCs w:val="21"/>
                      <w:lang w:eastAsia="zh-CN"/>
                    </w:rPr>
                    <w:t>一般排放口</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DA001</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r>
                    <w:rPr>
                      <w:rFonts w:hint="default"/>
                      <w:color w:val="auto"/>
                      <w:sz w:val="21"/>
                      <w:szCs w:val="21"/>
                    </w:rPr>
                    <w:t>5</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r>
                    <w:rPr>
                      <w:rFonts w:hint="default"/>
                      <w:color w:val="auto"/>
                      <w:sz w:val="21"/>
                      <w:szCs w:val="21"/>
                    </w:rPr>
                    <w:t>113°47′30.917″</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r>
                    <w:rPr>
                      <w:rFonts w:hint="default"/>
                      <w:color w:val="auto"/>
                      <w:sz w:val="21"/>
                      <w:szCs w:val="21"/>
                    </w:rPr>
                    <w:t>35°10′8.750″</w:t>
                  </w:r>
                </w:p>
              </w:tc>
              <w:tc>
                <w:tcPr>
                  <w:tcW w:w="6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常温</w:t>
                  </w:r>
                </w:p>
              </w:tc>
            </w:tr>
          </w:tbl>
          <w:p>
            <w:pPr>
              <w:keepNext w:val="0"/>
              <w:keepLines w:val="0"/>
              <w:pageBreakBefore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rPr>
              <w:t>废气污染物排放执行标准</w:t>
            </w:r>
            <w:r>
              <w:rPr>
                <w:rFonts w:hint="eastAsia"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eastAsia="zh-CN"/>
              </w:rPr>
              <w:t>监测要求见</w:t>
            </w:r>
            <w:r>
              <w:rPr>
                <w:rFonts w:hint="eastAsia" w:ascii="Times New Roman" w:hAnsi="Times New Roman" w:eastAsia="宋体" w:cs="Times New Roman"/>
                <w:color w:val="auto"/>
                <w:sz w:val="24"/>
                <w:szCs w:val="24"/>
                <w:lang w:eastAsia="zh-CN"/>
              </w:rPr>
              <w:t>下表</w:t>
            </w:r>
            <w:r>
              <w:rPr>
                <w:rFonts w:hint="default" w:ascii="Times New Roman" w:hAnsi="Times New Roman" w:eastAsia="宋体" w:cs="Times New Roman"/>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废气污染物排放执行标准情况表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1"/>
              <w:gridCol w:w="450"/>
              <w:gridCol w:w="682"/>
              <w:gridCol w:w="1138"/>
              <w:gridCol w:w="3351"/>
              <w:gridCol w:w="127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6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eastAsia="zh-CN"/>
                    </w:rPr>
                    <w:t>排放口</w:t>
                  </w:r>
                </w:p>
              </w:tc>
              <w:tc>
                <w:tcPr>
                  <w:tcW w:w="11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污染物种类</w:t>
                  </w:r>
                </w:p>
              </w:tc>
              <w:tc>
                <w:tcPr>
                  <w:tcW w:w="5780"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名称</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eastAsia="zh-CN"/>
                    </w:rPr>
                    <w:t>类型</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eastAsia="zh-CN"/>
                    </w:rPr>
                    <w:t>编号</w:t>
                  </w:r>
                </w:p>
              </w:tc>
              <w:tc>
                <w:tcPr>
                  <w:tcW w:w="11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p>
              </w:tc>
              <w:tc>
                <w:tcPr>
                  <w:tcW w:w="33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标准名称</w:t>
                  </w:r>
                </w:p>
              </w:tc>
              <w:tc>
                <w:tcPr>
                  <w:tcW w:w="127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rPr>
                    <w:t>浓度限值</w:t>
                  </w:r>
                </w:p>
              </w:tc>
              <w:tc>
                <w:tcPr>
                  <w:tcW w:w="11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eastAsia" w:ascii="Times New Roman" w:hAnsi="Times New Roman" w:cs="Times New Roman"/>
                      <w:b/>
                      <w:bCs w:val="0"/>
                      <w:color w:val="auto"/>
                      <w:sz w:val="21"/>
                      <w:szCs w:val="21"/>
                      <w:lang w:eastAsia="zh-CN"/>
                    </w:rPr>
                    <w:t>速率</w:t>
                  </w:r>
                  <w:r>
                    <w:rPr>
                      <w:rFonts w:hint="default" w:ascii="Times New Roman" w:hAnsi="Times New Roman" w:cs="Times New Roman"/>
                      <w:b/>
                      <w:bCs w:val="0"/>
                      <w:color w:val="auto"/>
                      <w:sz w:val="21"/>
                      <w:szCs w:val="21"/>
                    </w:rPr>
                    <w:t>限值/</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w:t>
                  </w:r>
                  <w:r>
                    <w:rPr>
                      <w:rFonts w:hint="default" w:ascii="Times New Roman" w:hAnsi="Times New Roman" w:eastAsia="宋体" w:cs="Times New Roman"/>
                      <w:b/>
                      <w:bCs w:val="0"/>
                      <w:color w:val="auto"/>
                      <w:sz w:val="21"/>
                      <w:szCs w:val="21"/>
                      <w:vertAlign w:val="baseline"/>
                      <w:lang w:val="en-US" w:eastAsia="zh-CN"/>
                    </w:rPr>
                    <w:t>kg/h</w:t>
                  </w:r>
                  <w:r>
                    <w:rPr>
                      <w:rFonts w:hint="default" w:ascii="Times New Roman" w:hAnsi="Times New Roman" w:cs="Times New Roman"/>
                      <w:b/>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43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color w:val="auto"/>
                      <w:sz w:val="21"/>
                      <w:szCs w:val="21"/>
                      <w:lang w:val="en-US" w:eastAsia="zh-CN"/>
                    </w:rPr>
                    <w:t>油气处理装置排气</w:t>
                  </w:r>
                  <w:r>
                    <w:rPr>
                      <w:rFonts w:hint="eastAsia"/>
                      <w:color w:val="auto"/>
                      <w:sz w:val="21"/>
                      <w:szCs w:val="21"/>
                      <w:lang w:val="en-US" w:eastAsia="zh-CN"/>
                    </w:rPr>
                    <w:t>口</w:t>
                  </w:r>
                  <w:r>
                    <w:rPr>
                      <w:rFonts w:hint="default"/>
                      <w:color w:val="auto"/>
                      <w:sz w:val="21"/>
                      <w:szCs w:val="21"/>
                      <w:lang w:val="en-US" w:eastAsia="zh-CN"/>
                    </w:rPr>
                    <w:t xml:space="preserve"> </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sz w:val="21"/>
                      <w:szCs w:val="21"/>
                      <w:lang w:eastAsia="zh-CN"/>
                    </w:rPr>
                  </w:pPr>
                  <w:r>
                    <w:rPr>
                      <w:rFonts w:hint="eastAsia"/>
                      <w:color w:val="auto"/>
                      <w:sz w:val="21"/>
                      <w:szCs w:val="21"/>
                      <w:lang w:eastAsia="zh-CN"/>
                    </w:rPr>
                    <w:t>一般排放口</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color w:val="auto"/>
                      <w:sz w:val="21"/>
                      <w:szCs w:val="21"/>
                      <w:lang w:val="en-US" w:eastAsia="zh-CN"/>
                    </w:rPr>
                    <w:t>DA001</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color w:val="auto"/>
                      <w:sz w:val="21"/>
                      <w:szCs w:val="21"/>
                      <w:lang w:eastAsia="zh-CN"/>
                    </w:rPr>
                  </w:pPr>
                  <w:r>
                    <w:rPr>
                      <w:rFonts w:hint="eastAsia"/>
                      <w:color w:val="auto"/>
                      <w:sz w:val="21"/>
                      <w:szCs w:val="21"/>
                      <w:lang w:eastAsia="zh-CN"/>
                    </w:rPr>
                    <w:t>非甲烷总烃（有组织）</w:t>
                  </w:r>
                </w:p>
              </w:tc>
              <w:tc>
                <w:tcPr>
                  <w:tcW w:w="33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《加油站大气污染物排放标准》（GB20952-2020）</w:t>
                  </w:r>
                </w:p>
              </w:tc>
              <w:tc>
                <w:tcPr>
                  <w:tcW w:w="127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color w:val="auto"/>
                      <w:sz w:val="21"/>
                      <w:szCs w:val="21"/>
                      <w:lang w:val="en-US" w:eastAsia="zh-CN"/>
                    </w:rPr>
                  </w:pPr>
                  <w:r>
                    <w:rPr>
                      <w:rFonts w:hint="default" w:cs="Times New Roman"/>
                      <w:b w:val="0"/>
                      <w:bCs/>
                      <w:color w:val="auto"/>
                      <w:sz w:val="21"/>
                      <w:szCs w:val="21"/>
                      <w:lang w:val="en-US" w:eastAsia="zh-CN"/>
                    </w:rPr>
                    <w:t>1小时平均浓度值≤25g/m</w:t>
                  </w:r>
                  <w:r>
                    <w:rPr>
                      <w:rFonts w:hint="default" w:cs="Times New Roman"/>
                      <w:b w:val="0"/>
                      <w:bCs/>
                      <w:color w:val="auto"/>
                      <w:sz w:val="21"/>
                      <w:szCs w:val="21"/>
                      <w:vertAlign w:val="superscript"/>
                      <w:lang w:val="en-US" w:eastAsia="zh-CN"/>
                    </w:rPr>
                    <w:t>3</w:t>
                  </w:r>
                </w:p>
              </w:tc>
              <w:tc>
                <w:tcPr>
                  <w:tcW w:w="11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56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厂界</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color w:val="auto"/>
                      <w:sz w:val="21"/>
                      <w:szCs w:val="21"/>
                      <w:lang w:eastAsia="zh-CN"/>
                    </w:rPr>
                  </w:pPr>
                  <w:r>
                    <w:rPr>
                      <w:rFonts w:hint="eastAsia" w:ascii="Times New Roman" w:hAnsi="Times New Roman" w:cs="Times New Roman"/>
                      <w:b w:val="0"/>
                      <w:bCs/>
                      <w:color w:val="auto"/>
                      <w:sz w:val="21"/>
                      <w:szCs w:val="21"/>
                      <w:lang w:eastAsia="zh-CN"/>
                    </w:rPr>
                    <w:t>非甲烷总烃</w:t>
                  </w:r>
                </w:p>
              </w:tc>
              <w:tc>
                <w:tcPr>
                  <w:tcW w:w="33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《加油站大气污染物排放标准》（GB20952-2020）</w:t>
                  </w:r>
                  <w:r>
                    <w:rPr>
                      <w:rFonts w:hint="eastAsia" w:ascii="Times New Roman" w:hAnsi="Times New Roman" w:eastAsia="宋体" w:cs="Times New Roman"/>
                      <w:b w:val="0"/>
                      <w:bCs w:val="0"/>
                      <w:color w:val="auto"/>
                      <w:sz w:val="21"/>
                      <w:szCs w:val="21"/>
                      <w:vertAlign w:val="baseline"/>
                      <w:lang w:val="en-US" w:eastAsia="zh-CN"/>
                    </w:rPr>
                    <w:t>和</w:t>
                  </w:r>
                  <w:r>
                    <w:rPr>
                      <w:rFonts w:hint="default"/>
                      <w:color w:val="auto"/>
                      <w:sz w:val="21"/>
                      <w:szCs w:val="21"/>
                    </w:rPr>
                    <w:t>豫环攻坚办[2017]162号</w:t>
                  </w:r>
                </w:p>
              </w:tc>
              <w:tc>
                <w:tcPr>
                  <w:tcW w:w="127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2m</w:t>
                  </w:r>
                  <w:r>
                    <w:rPr>
                      <w:rFonts w:hint="default" w:cs="Times New Roman"/>
                      <w:b w:val="0"/>
                      <w:bCs/>
                      <w:color w:val="auto"/>
                      <w:sz w:val="21"/>
                      <w:szCs w:val="21"/>
                      <w:lang w:val="en-US" w:eastAsia="zh-CN"/>
                    </w:rPr>
                    <w:t>g/m</w:t>
                  </w:r>
                  <w:r>
                    <w:rPr>
                      <w:rFonts w:hint="default" w:cs="Times New Roman"/>
                      <w:b w:val="0"/>
                      <w:bCs/>
                      <w:color w:val="auto"/>
                      <w:sz w:val="21"/>
                      <w:szCs w:val="21"/>
                      <w:vertAlign w:val="superscript"/>
                      <w:lang w:val="en-US" w:eastAsia="zh-CN"/>
                    </w:rPr>
                    <w:t>3</w:t>
                  </w:r>
                </w:p>
              </w:tc>
              <w:tc>
                <w:tcPr>
                  <w:tcW w:w="11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color w:val="auto"/>
                <w:kern w:val="0"/>
                <w:sz w:val="24"/>
                <w:szCs w:val="24"/>
                <w:lang w:eastAsia="zh-CN"/>
              </w:rPr>
            </w:pPr>
            <w:r>
              <w:rPr>
                <w:rFonts w:hint="eastAsia" w:ascii="Times New Roman" w:hAnsi="Times New Roman" w:eastAsia="宋体" w:cs="Times New Roman"/>
                <w:color w:val="auto"/>
                <w:sz w:val="24"/>
                <w:szCs w:val="24"/>
                <w:lang w:val="en-US" w:eastAsia="zh-CN"/>
              </w:rPr>
              <w:t>综上，企业非甲烷总排放量为0.0229t/a。</w:t>
            </w:r>
            <w:r>
              <w:rPr>
                <w:rFonts w:hint="eastAsia" w:ascii="Times New Roman" w:hAnsi="Times New Roman" w:eastAsia="宋体" w:cs="Times New Roman"/>
                <w:color w:val="auto"/>
                <w:sz w:val="24"/>
                <w:szCs w:val="24"/>
                <w:highlight w:val="none"/>
                <w:lang w:val="en-US" w:eastAsia="zh-CN"/>
              </w:rPr>
              <w:t>根据建设单位提供资料，油气回收处置装置处理量为5m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/h，油气排放速率约 0.0026kg/h，则</w:t>
            </w:r>
            <w:r>
              <w:rPr>
                <w:rFonts w:hint="eastAsia" w:ascii="Times New Roman" w:hAnsi="Times New Roman" w:eastAsia="宋体" w:cs="Times New Roman"/>
                <w:color w:val="auto"/>
                <w:sz w:val="24"/>
                <w:szCs w:val="24"/>
                <w:lang w:val="en-US" w:eastAsia="zh-CN"/>
              </w:rPr>
              <w:t>油气处理装置出口非甲烷总烃排放浓度经核算后为0.52g/m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lang w:val="en-US" w:eastAsia="zh-CN"/>
              </w:rPr>
              <w:t>满足</w:t>
            </w:r>
            <w:r>
              <w:rPr>
                <w:color w:val="auto"/>
                <w:sz w:val="24"/>
              </w:rPr>
              <w:t>《加油站大气污染物排放标准》（GB20952-2020）</w:t>
            </w:r>
            <w:r>
              <w:rPr>
                <w:rFonts w:hint="eastAsia"/>
                <w:color w:val="auto"/>
                <w:sz w:val="24"/>
                <w:lang w:eastAsia="zh-CN"/>
              </w:rPr>
              <w:t>的要求</w:t>
            </w:r>
            <w:r>
              <w:rPr>
                <w:rFonts w:hint="eastAsia" w:ascii="宋体" w:hAnsi="宋体" w:eastAsia="宋体" w:cs="宋体"/>
                <w:color w:val="auto"/>
                <w:kern w:val="0"/>
                <w:sz w:val="24"/>
                <w:szCs w:val="24"/>
                <w:lang w:val="en-US" w:eastAsia="zh-CN" w:bidi="ar"/>
              </w:rPr>
              <w:t>（</w:t>
            </w:r>
            <w:r>
              <w:rPr>
                <w:rFonts w:hint="eastAsia"/>
                <w:color w:val="auto"/>
                <w:sz w:val="24"/>
                <w:lang w:val="en-US" w:eastAsia="zh-CN"/>
              </w:rPr>
              <w:t>油气处理装置的油气排放浓度1小时平均浓度值≤25g/m</w:t>
            </w:r>
            <w:r>
              <w:rPr>
                <w:rFonts w:hint="eastAsia"/>
                <w:color w:val="auto"/>
                <w:sz w:val="24"/>
                <w:vertAlign w:val="superscript"/>
                <w:lang w:val="en-US" w:eastAsia="zh-CN"/>
              </w:rPr>
              <w:t>3</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sz w:val="24"/>
                <w:szCs w:val="24"/>
                <w:lang w:val="en-US" w:eastAsia="zh-CN"/>
              </w:rPr>
              <w:t>；</w:t>
            </w:r>
            <w:r>
              <w:rPr>
                <w:rFonts w:hint="default"/>
                <w:color w:val="auto"/>
                <w:sz w:val="24"/>
                <w:szCs w:val="24"/>
                <w:highlight w:val="none"/>
                <w:lang w:val="en-US" w:eastAsia="zh-CN"/>
              </w:rPr>
              <w:t>根据</w:t>
            </w:r>
            <w:r>
              <w:rPr>
                <w:rFonts w:hint="eastAsia"/>
                <w:color w:val="auto"/>
                <w:sz w:val="24"/>
                <w:szCs w:val="24"/>
                <w:highlight w:val="none"/>
                <w:lang w:val="en-US" w:eastAsia="zh-CN"/>
              </w:rPr>
              <w:t>河南顺意检</w:t>
            </w:r>
            <w:r>
              <w:rPr>
                <w:rFonts w:hint="eastAsia"/>
                <w:sz w:val="24"/>
                <w:szCs w:val="24"/>
                <w:highlight w:val="none"/>
                <w:lang w:val="en-US" w:eastAsia="zh-CN"/>
              </w:rPr>
              <w:t>测技术有限公司于2022年8月4日出具的</w:t>
            </w:r>
            <w:r>
              <w:rPr>
                <w:rFonts w:hint="default"/>
                <w:sz w:val="24"/>
                <w:szCs w:val="24"/>
                <w:highlight w:val="none"/>
                <w:lang w:val="en-US" w:eastAsia="zh-CN"/>
              </w:rPr>
              <w:t>检测报告</w:t>
            </w:r>
            <w:r>
              <w:rPr>
                <w:rFonts w:hint="eastAsia"/>
                <w:sz w:val="24"/>
                <w:szCs w:val="24"/>
                <w:highlight w:val="none"/>
                <w:lang w:val="en-US" w:eastAsia="zh-CN"/>
              </w:rPr>
              <w:t>（检测时间为2022年7月30日），站区厂界非甲烷总烃无组织检测结果为0.45-1.74g/m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ascii="Times New Roman" w:hAnsi="Times New Roman" w:eastAsia="宋体" w:cs="Times New Roman"/>
                <w:color w:val="auto"/>
                <w:sz w:val="24"/>
                <w:szCs w:val="24"/>
                <w:vertAlign w:val="baseline"/>
                <w:lang w:val="en-US" w:eastAsia="zh-CN"/>
              </w:rPr>
              <w:t>满足</w:t>
            </w:r>
            <w:r>
              <w:rPr>
                <w:color w:val="auto"/>
                <w:sz w:val="24"/>
              </w:rPr>
              <w:t>《加油站大气污染物排放标准》（GB20952-2020）</w:t>
            </w:r>
            <w:r>
              <w:rPr>
                <w:rFonts w:hint="eastAsia"/>
                <w:color w:val="auto"/>
                <w:sz w:val="24"/>
                <w:lang w:eastAsia="zh-CN"/>
              </w:rPr>
              <w:t>的要求</w:t>
            </w:r>
            <w:r>
              <w:rPr>
                <w:rFonts w:hint="eastAsia" w:ascii="宋体" w:hAnsi="宋体" w:eastAsia="宋体" w:cs="宋体"/>
                <w:color w:val="auto"/>
                <w:kern w:val="0"/>
                <w:sz w:val="24"/>
                <w:szCs w:val="24"/>
                <w:lang w:val="en-US" w:eastAsia="zh-CN" w:bidi="ar"/>
              </w:rPr>
              <w:t>（非甲烷总烃无组织排放浓度</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.0mg/m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同时满足</w:t>
            </w:r>
            <w:r>
              <w:rPr>
                <w:rFonts w:hint="eastAsia" w:ascii="宋体" w:hAnsi="宋体" w:eastAsia="宋体" w:cs="宋体"/>
                <w:color w:val="auto"/>
                <w:kern w:val="0"/>
                <w:sz w:val="24"/>
                <w:szCs w:val="24"/>
                <w:lang w:val="en-US" w:eastAsia="zh-CN" w:bidi="ar"/>
              </w:rPr>
              <w:t>《关于全省开展工业企业挥发性有机物专项治理工作中排放建议值的通知》（豫环攻坚办〔</w:t>
            </w:r>
            <w:r>
              <w:rPr>
                <w:rFonts w:hint="default" w:ascii="Times New Roman" w:hAnsi="Times New Roman" w:eastAsia="宋体" w:cs="Times New Roman"/>
                <w:color w:val="auto"/>
                <w:kern w:val="0"/>
                <w:sz w:val="24"/>
                <w:szCs w:val="24"/>
                <w:lang w:val="en-US" w:eastAsia="zh-CN" w:bidi="ar"/>
              </w:rPr>
              <w:t>2017</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162</w:t>
            </w:r>
            <w:r>
              <w:rPr>
                <w:rFonts w:hint="eastAsia" w:ascii="宋体" w:hAnsi="宋体" w:eastAsia="宋体" w:cs="宋体"/>
                <w:color w:val="auto"/>
                <w:kern w:val="0"/>
                <w:sz w:val="24"/>
                <w:szCs w:val="24"/>
                <w:lang w:val="en-US" w:eastAsia="zh-CN" w:bidi="ar"/>
              </w:rPr>
              <w:t>号）（非甲烷总烃无组织排放浓度</w:t>
            </w:r>
            <w:r>
              <w:rPr>
                <w:rFonts w:hint="default" w:ascii="Times New Roman" w:hAnsi="Times New Roman" w:eastAsia="宋体" w:cs="Times New Roman"/>
                <w:color w:val="auto"/>
                <w:kern w:val="0"/>
                <w:sz w:val="24"/>
                <w:szCs w:val="24"/>
                <w:lang w:val="en-US" w:eastAsia="zh-CN" w:bidi="ar"/>
              </w:rPr>
              <w:t>2.0mg/m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r>
              <w:rPr>
                <w:rFonts w:hint="default" w:ascii="Times New Roman" w:hAnsi="Times New Roman" w:cs="Times New Roman"/>
                <w:color w:val="auto"/>
                <w:sz w:val="24"/>
                <w:szCs w:val="24"/>
                <w:lang w:val="en-US" w:eastAsia="zh-CN"/>
              </w:rPr>
              <w:t>的要求</w:t>
            </w:r>
            <w:r>
              <w:rPr>
                <w:rFonts w:hint="eastAsia" w:ascii="Times New Roman" w:hAnsi="Times New Roman" w:cs="Times New Roman"/>
                <w:color w:val="auto"/>
                <w:sz w:val="24"/>
                <w:szCs w:val="24"/>
                <w:lang w:val="en-US" w:eastAsia="zh-CN"/>
              </w:rPr>
              <w:t>；加油站的液阻、密闭性、气液比均能满足</w:t>
            </w:r>
            <w:r>
              <w:rPr>
                <w:color w:val="auto"/>
                <w:sz w:val="24"/>
              </w:rPr>
              <w:t>《加油站大气污染物排放标准》（GB20952-2020）</w:t>
            </w:r>
            <w:r>
              <w:rPr>
                <w:rFonts w:hint="eastAsia"/>
                <w:color w:val="auto"/>
                <w:sz w:val="24"/>
                <w:lang w:eastAsia="zh-CN"/>
              </w:rPr>
              <w:t>的要求</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val="0"/>
              <w:spacing w:line="520" w:lineRule="exact"/>
              <w:ind w:firstLine="480" w:firstLineChars="200"/>
              <w:jc w:val="left"/>
              <w:textAlignment w:val="auto"/>
              <w:rPr>
                <w:rFonts w:hint="default" w:ascii="Times New Roman" w:hAnsi="Times New Roman" w:eastAsia="宋体" w:cs="Times New Roman"/>
                <w:color w:val="auto"/>
                <w:sz w:val="24"/>
              </w:rPr>
            </w:pPr>
            <w:r>
              <w:rPr>
                <w:rFonts w:hint="eastAsia" w:cs="Times New Roman"/>
                <w:color w:val="auto"/>
                <w:sz w:val="24"/>
                <w:lang w:eastAsia="zh-CN"/>
              </w:rPr>
              <w:t>②</w:t>
            </w:r>
            <w:r>
              <w:rPr>
                <w:rFonts w:hint="default" w:ascii="Times New Roman" w:hAnsi="Times New Roman" w:eastAsia="宋体" w:cs="Times New Roman"/>
                <w:color w:val="auto"/>
                <w:sz w:val="24"/>
              </w:rPr>
              <w:t xml:space="preserve"> 汽车尾气 </w:t>
            </w:r>
          </w:p>
          <w:p>
            <w:pPr>
              <w:keepNext w:val="0"/>
              <w:keepLines w:val="0"/>
              <w:pageBreakBefore w:val="0"/>
              <w:widowControl w:val="0"/>
              <w:kinsoku/>
              <w:wordWrap/>
              <w:overflowPunct/>
              <w:topLinePunct w:val="0"/>
              <w:autoSpaceDE w:val="0"/>
              <w:autoSpaceDN w:val="0"/>
              <w:bidi w:val="0"/>
              <w:adjustRightInd/>
              <w:snapToGrid w:val="0"/>
              <w:spacing w:line="52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营期，进入站区汽车在怠速状态或启动时排放汽车尾气，汽车尾气中主要污染物为CO、NOx、THC。由于车辆运行启动时间较短，因此汽车尾气产生量较小；且地面通风条件较好，在空旷条件下汽车尾气很容易扩散，故对周围环境影响不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rPr>
              <w:t>非正常排放分析</w:t>
            </w:r>
          </w:p>
          <w:p>
            <w:pPr>
              <w:pStyle w:val="24"/>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textAlignment w:val="auto"/>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项目废气非正常工况排放主要为</w:t>
            </w:r>
            <w:r>
              <w:rPr>
                <w:rFonts w:hint="eastAsia" w:ascii="Times New Roman" w:hAnsi="Times New Roman" w:eastAsia="宋体" w:cs="Times New Roman"/>
                <w:b w:val="0"/>
                <w:bCs/>
                <w:color w:val="000000"/>
                <w:sz w:val="24"/>
                <w:szCs w:val="24"/>
                <w:lang w:val="en-US" w:eastAsia="zh-CN"/>
              </w:rPr>
              <w:t>油气回收系统</w:t>
            </w:r>
            <w:r>
              <w:rPr>
                <w:rFonts w:hint="default" w:ascii="Times New Roman" w:hAnsi="Times New Roman" w:eastAsia="宋体" w:cs="Times New Roman"/>
                <w:b w:val="0"/>
                <w:bCs/>
                <w:color w:val="000000"/>
                <w:sz w:val="24"/>
                <w:szCs w:val="24"/>
                <w:lang w:val="en-US" w:eastAsia="zh-CN"/>
              </w:rPr>
              <w:t>不能正常运行时，</w:t>
            </w:r>
            <w:r>
              <w:rPr>
                <w:rFonts w:hint="eastAsia" w:ascii="Times New Roman" w:hAnsi="Times New Roman" w:eastAsia="宋体" w:cs="Times New Roman"/>
                <w:b w:val="0"/>
                <w:bCs/>
                <w:color w:val="000000"/>
                <w:sz w:val="24"/>
                <w:szCs w:val="24"/>
                <w:lang w:val="en-US" w:eastAsia="zh-CN"/>
              </w:rPr>
              <w:t>卸油、加油时油气未经回收直接无组织排放</w:t>
            </w:r>
            <w:r>
              <w:rPr>
                <w:rFonts w:hint="default"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lang w:val="en-US" w:eastAsia="zh-CN"/>
              </w:rPr>
              <w:t>油气回收设施</w:t>
            </w:r>
            <w:r>
              <w:rPr>
                <w:rFonts w:hint="default" w:ascii="Times New Roman" w:hAnsi="Times New Roman" w:eastAsia="宋体" w:cs="Times New Roman"/>
                <w:b w:val="0"/>
                <w:bCs/>
                <w:color w:val="000000"/>
                <w:sz w:val="24"/>
                <w:szCs w:val="24"/>
                <w:lang w:val="en-US" w:eastAsia="zh-CN"/>
              </w:rPr>
              <w:t>出现故障不能正常运行时，应立即停产进行维修，避免对周围环境造成污染。废气非正常工况源强情况见下表。</w:t>
            </w:r>
          </w:p>
          <w:p>
            <w:pPr>
              <w:pStyle w:val="9"/>
              <w:bidi w:val="0"/>
            </w:pPr>
            <w:r>
              <w:rPr>
                <w:rFonts w:hint="eastAsia"/>
              </w:rPr>
              <w:t>非正常排放参数表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843"/>
              <w:gridCol w:w="893"/>
              <w:gridCol w:w="894"/>
              <w:gridCol w:w="1031"/>
              <w:gridCol w:w="875"/>
              <w:gridCol w:w="656"/>
              <w:gridCol w:w="596"/>
              <w:gridCol w:w="103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序号</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污染源</w:t>
                  </w:r>
                </w:p>
              </w:tc>
              <w:tc>
                <w:tcPr>
                  <w:tcW w:w="5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非正常排放原因</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污染物</w:t>
                  </w:r>
                </w:p>
              </w:tc>
              <w:tc>
                <w:tcPr>
                  <w:tcW w:w="62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非正常排放浓度/（mg/m</w:t>
                  </w:r>
                  <w:r>
                    <w:rPr>
                      <w:rFonts w:hint="default" w:ascii="Times New Roman" w:hAnsi="Times New Roman" w:eastAsia="宋体" w:cs="Times New Roman"/>
                      <w:b/>
                      <w:bCs/>
                      <w:color w:val="000000"/>
                      <w:sz w:val="21"/>
                      <w:szCs w:val="21"/>
                      <w:u w:val="none" w:color="auto"/>
                      <w:vertAlign w:val="superscript"/>
                      <w:lang w:val="en-US" w:eastAsia="zh-CN"/>
                    </w:rPr>
                    <w:t>3</w:t>
                  </w:r>
                  <w:r>
                    <w:rPr>
                      <w:rFonts w:hint="default" w:ascii="Times New Roman" w:hAnsi="Times New Roman" w:eastAsia="宋体" w:cs="Times New Roman"/>
                      <w:b/>
                      <w:bCs/>
                      <w:color w:val="000000"/>
                      <w:sz w:val="21"/>
                      <w:szCs w:val="21"/>
                      <w:u w:val="none" w:color="auto"/>
                      <w:vertAlign w:val="baseline"/>
                      <w:lang w:val="en-US" w:eastAsia="zh-CN"/>
                    </w:rPr>
                    <w:t>）</w:t>
                  </w:r>
                </w:p>
              </w:tc>
              <w:tc>
                <w:tcPr>
                  <w:tcW w:w="5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非正常排放速率/（kg/h）</w:t>
                  </w: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单次持续时间/h</w:t>
                  </w:r>
                </w:p>
              </w:tc>
              <w:tc>
                <w:tcPr>
                  <w:tcW w:w="36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vertAlign w:val="baseline"/>
                      <w:lang w:val="en-US" w:eastAsia="zh-CN"/>
                    </w:rPr>
                    <w:t>年发生频次/</w:t>
                  </w:r>
                  <w:r>
                    <w:rPr>
                      <w:rFonts w:hint="eastAsia" w:ascii="Times New Roman" w:hAnsi="Times New Roman" w:eastAsia="宋体" w:cs="Times New Roman"/>
                      <w:b/>
                      <w:bCs/>
                      <w:color w:val="000000"/>
                      <w:sz w:val="21"/>
                      <w:szCs w:val="21"/>
                      <w:u w:val="none" w:color="auto"/>
                      <w:vertAlign w:val="baseline"/>
                      <w:lang w:val="en-US" w:eastAsia="zh-CN"/>
                    </w:rPr>
                    <w:t>年</w:t>
                  </w:r>
                </w:p>
              </w:tc>
              <w:tc>
                <w:tcPr>
                  <w:tcW w:w="62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kern w:val="0"/>
                      <w:sz w:val="21"/>
                      <w:szCs w:val="21"/>
                      <w:u w:val="none" w:color="auto"/>
                      <w:lang w:val="en-US" w:eastAsia="zh-CN" w:bidi="ar"/>
                    </w:rPr>
                  </w:pPr>
                  <w:r>
                    <w:rPr>
                      <w:rFonts w:hint="eastAsia" w:ascii="Times New Roman" w:hAnsi="Times New Roman" w:eastAsia="宋体" w:cs="Times New Roman"/>
                      <w:b/>
                      <w:bCs/>
                      <w:color w:val="000000"/>
                      <w:kern w:val="0"/>
                      <w:sz w:val="21"/>
                      <w:szCs w:val="21"/>
                      <w:u w:val="none" w:color="auto"/>
                      <w:lang w:val="en-US" w:eastAsia="zh-CN" w:bidi="ar"/>
                    </w:rPr>
                    <w:t>非正常排放量（t/a）</w:t>
                  </w:r>
                </w:p>
              </w:tc>
              <w:tc>
                <w:tcPr>
                  <w:tcW w:w="62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u w:val="none" w:color="auto"/>
                      <w:vertAlign w:val="baseline"/>
                      <w:lang w:val="en-US" w:eastAsia="zh-CN"/>
                    </w:rPr>
                  </w:pPr>
                  <w:r>
                    <w:rPr>
                      <w:rFonts w:hint="default" w:ascii="Times New Roman" w:hAnsi="Times New Roman" w:eastAsia="宋体" w:cs="Times New Roman"/>
                      <w:b/>
                      <w:bCs/>
                      <w:color w:val="000000"/>
                      <w:kern w:val="0"/>
                      <w:sz w:val="21"/>
                      <w:szCs w:val="21"/>
                      <w:u w:val="none" w:color="auto"/>
                      <w:lang w:val="en-US" w:eastAsia="zh-CN" w:bidi="ar"/>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1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1</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卸油、加油等</w:t>
                  </w:r>
                </w:p>
              </w:tc>
              <w:tc>
                <w:tcPr>
                  <w:tcW w:w="5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废气处理设施故障，按最不利情况考虑，处理效率为0%</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cs="Times New Roman"/>
                      <w:color w:val="000000"/>
                      <w:kern w:val="0"/>
                      <w:sz w:val="21"/>
                      <w:szCs w:val="21"/>
                      <w:u w:val="none" w:color="auto"/>
                      <w:lang w:val="en-US" w:eastAsia="zh-CN"/>
                    </w:rPr>
                    <w:t>非甲烷总烃</w:t>
                  </w:r>
                </w:p>
              </w:tc>
              <w:tc>
                <w:tcPr>
                  <w:tcW w:w="627" w:type="pct"/>
                  <w:noWrap w:val="0"/>
                  <w:vAlign w:val="center"/>
                </w:tcPr>
                <w:p>
                  <w:pPr>
                    <w:pStyle w:val="5"/>
                    <w:pageBreakBefore w:val="0"/>
                    <w:kinsoku/>
                    <w:wordWrap/>
                    <w:overflowPunct/>
                    <w:topLinePunct w:val="0"/>
                    <w:autoSpaceDE/>
                    <w:autoSpaceDN/>
                    <w:bidi w:val="0"/>
                    <w:adjustRightInd w:val="0"/>
                    <w:snapToGrid w:val="0"/>
                    <w:spacing w:before="0" w:after="0" w:line="240" w:lineRule="auto"/>
                    <w:jc w:val="center"/>
                    <w:textAlignment w:val="auto"/>
                    <w:outlineLvl w:val="2"/>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532" w:type="pct"/>
                  <w:noWrap w:val="0"/>
                  <w:vAlign w:val="center"/>
                </w:tcPr>
                <w:p>
                  <w:pPr>
                    <w:pStyle w:val="5"/>
                    <w:pageBreakBefore w:val="0"/>
                    <w:kinsoku/>
                    <w:wordWrap/>
                    <w:overflowPunct/>
                    <w:topLinePunct w:val="0"/>
                    <w:autoSpaceDE/>
                    <w:autoSpaceDN/>
                    <w:bidi w:val="0"/>
                    <w:adjustRightInd w:val="0"/>
                    <w:snapToGrid w:val="0"/>
                    <w:spacing w:before="0" w:after="0" w:line="240" w:lineRule="auto"/>
                    <w:jc w:val="center"/>
                    <w:textAlignment w:val="auto"/>
                    <w:outlineLvl w:val="2"/>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b w:val="0"/>
                      <w:bCs w:val="0"/>
                      <w:color w:val="000000"/>
                      <w:sz w:val="21"/>
                      <w:szCs w:val="21"/>
                      <w:u w:val="none" w:color="auto"/>
                      <w:vertAlign w:val="baseline"/>
                      <w:lang w:val="en-US" w:eastAsia="zh-CN"/>
                    </w:rPr>
                    <w:t>0.00004</w:t>
                  </w: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1</w:t>
                  </w:r>
                </w:p>
              </w:tc>
              <w:tc>
                <w:tcPr>
                  <w:tcW w:w="36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1</w:t>
                  </w:r>
                </w:p>
              </w:tc>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0.00004</w:t>
                  </w:r>
                </w:p>
              </w:tc>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立即停止生产，对设备进行检修</w:t>
                  </w:r>
                </w:p>
              </w:tc>
            </w:tr>
          </w:tbl>
          <w:p>
            <w:pPr>
              <w:keepNext w:val="0"/>
              <w:keepLines w:val="0"/>
              <w:pageBreakBefore w:val="0"/>
              <w:widowControl w:val="0"/>
              <w:kinsoku/>
              <w:wordWrap/>
              <w:overflowPunct/>
              <w:topLinePunct w:val="0"/>
              <w:autoSpaceDE w:val="0"/>
              <w:autoSpaceDN w:val="0"/>
              <w:bidi w:val="0"/>
              <w:adjustRightInd/>
              <w:snapToGrid w:val="0"/>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3</w:t>
            </w:r>
            <w:r>
              <w:rPr>
                <w:rFonts w:hint="eastAsia" w:cs="Times New Roman"/>
                <w:b w:val="0"/>
                <w:bCs w:val="0"/>
                <w:color w:val="auto"/>
                <w:sz w:val="24"/>
                <w:szCs w:val="24"/>
                <w:lang w:eastAsia="zh-CN"/>
              </w:rPr>
              <w:t>）</w:t>
            </w:r>
            <w:r>
              <w:rPr>
                <w:rFonts w:hint="default" w:ascii="Times New Roman" w:hAnsi="Times New Roman" w:cs="Times New Roman"/>
                <w:b w:val="0"/>
                <w:bCs w:val="0"/>
                <w:color w:val="auto"/>
                <w:sz w:val="24"/>
                <w:szCs w:val="24"/>
              </w:rPr>
              <w:t>废气治理措施可行性分析</w:t>
            </w:r>
          </w:p>
          <w:p>
            <w:pPr>
              <w:keepNext w:val="0"/>
              <w:keepLines w:val="0"/>
              <w:pageBreakBefore w:val="0"/>
              <w:widowControl w:val="0"/>
              <w:kinsoku/>
              <w:wordWrap/>
              <w:overflowPunct/>
              <w:topLinePunct w:val="0"/>
              <w:autoSpaceDE w:val="0"/>
              <w:autoSpaceDN w:val="0"/>
              <w:bidi w:val="0"/>
              <w:adjustRightInd/>
              <w:snapToGrid w:val="0"/>
              <w:spacing w:line="520" w:lineRule="exact"/>
              <w:ind w:firstLine="480" w:firstLineChars="200"/>
              <w:textAlignment w:val="auto"/>
              <w:rPr>
                <w:rFonts w:hint="eastAsia"/>
                <w:color w:val="auto"/>
                <w:sz w:val="24"/>
                <w:szCs w:val="24"/>
              </w:rPr>
            </w:pPr>
            <w:r>
              <w:rPr>
                <w:rFonts w:hint="eastAsia"/>
                <w:color w:val="auto"/>
                <w:sz w:val="24"/>
                <w:szCs w:val="24"/>
                <w:lang w:val="en-US" w:eastAsia="zh-CN"/>
              </w:rPr>
              <w:t>根据《排污许可证申请与核发技术规范——储油库、加油站》（HJ1118-2020）附录 F，加油站排污单位污染治理措施可行性技术包含油气回收系统和油气排放处理装置，本项目在储罐呼吸阀处设置油气排放处置对储罐产生的非甲烷总烃进行收集处理，处理后非甲烷总烃有组织排放满足《加油站大气污染物排放标准》（GB20952-2020）标准限值（油气处理装置的油气排放浓度1小时平均浓度值≤25g/m3）；本项目采用油气回收系统对卸油及加油过程中产生的有机废气（以非甲烷总烃计）进行收集处理，处理后厂界非甲烷总烃无组织排放满足《加油站大气污染物排放标准》（GB20952-2020）表3标准限值（监控点处1小时平均浓度值4.0mg/m</w:t>
            </w:r>
            <w:r>
              <w:rPr>
                <w:rFonts w:hint="eastAsia"/>
                <w:color w:val="auto"/>
                <w:sz w:val="24"/>
                <w:szCs w:val="24"/>
                <w:vertAlign w:val="superscript"/>
                <w:lang w:val="en-US" w:eastAsia="zh-CN"/>
              </w:rPr>
              <w:t>3</w:t>
            </w:r>
            <w:r>
              <w:rPr>
                <w:rFonts w:hint="eastAsia"/>
                <w:color w:val="auto"/>
                <w:sz w:val="24"/>
                <w:szCs w:val="24"/>
                <w:lang w:val="en-US" w:eastAsia="zh-CN"/>
              </w:rPr>
              <w:t>）及《关于全省开展工业企业挥发性有机物专项治理工作中排放建议值的通知》（豫环攻坚办〔2017〕162号）中厂界排放浓度（无组织非甲烷总烃周界外浓度最高点≤2.0mg/m</w:t>
            </w:r>
            <w:r>
              <w:rPr>
                <w:rFonts w:hint="eastAsia"/>
                <w:color w:val="auto"/>
                <w:sz w:val="24"/>
                <w:szCs w:val="24"/>
                <w:vertAlign w:val="superscript"/>
                <w:lang w:val="en-US" w:eastAsia="zh-CN"/>
              </w:rPr>
              <w:t>3</w:t>
            </w:r>
            <w:r>
              <w:rPr>
                <w:rFonts w:hint="eastAsia"/>
                <w:color w:val="auto"/>
                <w:sz w:val="24"/>
                <w:szCs w:val="24"/>
                <w:lang w:val="en-US" w:eastAsia="zh-CN"/>
              </w:rPr>
              <w:t>）限值的要求，故本项目废气处理措施可行。根据工程分析，本项目废气排放量较少，均能达标排放，因此对周围环境影响较小。</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b w:val="0"/>
                <w:bCs/>
                <w:color w:val="auto"/>
                <w:sz w:val="24"/>
              </w:rPr>
            </w:pPr>
            <w:r>
              <w:rPr>
                <w:rFonts w:hint="eastAsia"/>
                <w:b w:val="0"/>
                <w:bCs/>
                <w:color w:val="auto"/>
                <w:sz w:val="24"/>
                <w:lang w:eastAsia="zh-CN"/>
              </w:rPr>
              <w:t>（</w:t>
            </w:r>
            <w:r>
              <w:rPr>
                <w:rFonts w:hint="eastAsia"/>
                <w:b w:val="0"/>
                <w:bCs/>
                <w:color w:val="auto"/>
                <w:sz w:val="24"/>
                <w:lang w:val="en-US" w:eastAsia="zh-CN"/>
              </w:rPr>
              <w:t>4</w:t>
            </w:r>
            <w:r>
              <w:rPr>
                <w:rFonts w:hint="eastAsia"/>
                <w:b w:val="0"/>
                <w:bCs/>
                <w:color w:val="auto"/>
                <w:sz w:val="24"/>
                <w:lang w:eastAsia="zh-CN"/>
              </w:rPr>
              <w:t>）</w:t>
            </w:r>
            <w:r>
              <w:rPr>
                <w:b w:val="0"/>
                <w:bCs/>
                <w:color w:val="auto"/>
                <w:sz w:val="24"/>
              </w:rPr>
              <w:t>监测要求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eastAsia="宋体"/>
                <w:bCs/>
                <w:color w:val="auto"/>
                <w:sz w:val="24"/>
              </w:rPr>
            </w:pPr>
            <w:r>
              <w:rPr>
                <w:rFonts w:hint="default" w:eastAsia="宋体"/>
                <w:bCs/>
                <w:color w:val="auto"/>
                <w:sz w:val="24"/>
              </w:rPr>
              <w:t>根据《排污许可证申请与核发技术规范  储油库、加油站》（HJ 1118-2020），</w:t>
            </w:r>
            <w:r>
              <w:rPr>
                <w:rFonts w:hint="default" w:eastAsia="宋体"/>
                <w:bCs/>
                <w:color w:val="auto"/>
                <w:sz w:val="24"/>
                <w:lang w:val="en-US" w:eastAsia="zh-CN"/>
              </w:rPr>
              <w:t>本项目</w:t>
            </w:r>
            <w:r>
              <w:rPr>
                <w:rFonts w:hint="eastAsia" w:eastAsia="宋体"/>
                <w:bCs/>
                <w:color w:val="auto"/>
                <w:sz w:val="24"/>
                <w:lang w:val="en-US" w:eastAsia="zh-CN"/>
              </w:rPr>
              <w:t>提出以下监测计划</w:t>
            </w:r>
            <w:r>
              <w:rPr>
                <w:rFonts w:hint="default" w:eastAsia="宋体"/>
                <w:bCs/>
                <w:color w:val="auto"/>
                <w:sz w:val="24"/>
                <w:lang w:val="en-US" w:eastAsia="zh-CN"/>
              </w:rPr>
              <w:t>。</w:t>
            </w:r>
          </w:p>
          <w:p>
            <w:pPr>
              <w:pStyle w:val="9"/>
              <w:bidi w:val="0"/>
              <w:rPr>
                <w:rFonts w:hint="default"/>
                <w:lang w:val="en-US"/>
              </w:rPr>
            </w:pPr>
            <w:r>
              <w:rPr>
                <w:rFonts w:hint="eastAsia"/>
                <w:lang w:val="en-US" w:eastAsia="zh-CN"/>
              </w:rPr>
              <w:t>废气污染源监测内容一览表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09"/>
              <w:gridCol w:w="2305"/>
              <w:gridCol w:w="1138"/>
              <w:gridCol w:w="1064"/>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1" w:hRule="atLeast"/>
                <w:jc w:val="center"/>
              </w:trPr>
              <w:tc>
                <w:tcPr>
                  <w:tcW w:w="909"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污染物产生环节</w:t>
                  </w:r>
                </w:p>
              </w:tc>
              <w:tc>
                <w:tcPr>
                  <w:tcW w:w="230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13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064"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2804"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09" w:type="dxa"/>
                  <w:vMerge w:val="restart"/>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油气回收</w:t>
                  </w:r>
                </w:p>
              </w:tc>
              <w:tc>
                <w:tcPr>
                  <w:tcW w:w="2305" w:type="dxa"/>
                  <w:vAlign w:val="center"/>
                </w:tcPr>
                <w:p>
                  <w:pPr>
                    <w:keepNext w:val="0"/>
                    <w:keepLines w:val="0"/>
                    <w:pageBreakBefore w:val="0"/>
                    <w:widowControl w:val="0"/>
                    <w:tabs>
                      <w:tab w:val="left" w:pos="2218"/>
                    </w:tabs>
                    <w:kinsoku/>
                    <w:wordWrap/>
                    <w:overflowPunct/>
                    <w:topLinePunct w:val="0"/>
                    <w:autoSpaceDE w:val="0"/>
                    <w:autoSpaceDN w:val="0"/>
                    <w:bidi w:val="0"/>
                    <w:spacing w:line="2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新宋体" w:cs="Times New Roman"/>
                      <w:color w:val="auto"/>
                      <w:sz w:val="21"/>
                      <w:szCs w:val="21"/>
                    </w:rPr>
                    <w:t>加油机油气回收立管上的三通检测接头处</w:t>
                  </w:r>
                </w:p>
              </w:tc>
              <w:tc>
                <w:tcPr>
                  <w:tcW w:w="113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密闭性</w:t>
                  </w:r>
                </w:p>
              </w:tc>
              <w:tc>
                <w:tcPr>
                  <w:tcW w:w="1064"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cs="Times New Roman"/>
                      <w:color w:val="auto"/>
                      <w:sz w:val="21"/>
                      <w:szCs w:val="21"/>
                      <w:lang w:val="en-US" w:eastAsia="zh-CN"/>
                    </w:rPr>
                    <w:t>季</w:t>
                  </w:r>
                </w:p>
              </w:tc>
              <w:tc>
                <w:tcPr>
                  <w:tcW w:w="2804"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lang w:eastAsia="zh-CN"/>
                    </w:rPr>
                    <w:t>加油站大气污染物排放标准</w:t>
                  </w:r>
                  <w:r>
                    <w:rPr>
                      <w:rFonts w:hint="default" w:ascii="Times New Roman" w:hAnsi="Times New Roman" w:cs="Times New Roman"/>
                      <w:color w:val="auto"/>
                      <w:sz w:val="21"/>
                      <w:szCs w:val="21"/>
                      <w:lang w:val="en-US" w:eastAsia="zh-CN"/>
                    </w:rPr>
                    <w:t>（GB20952-20</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09" w:type="dxa"/>
                  <w:vMerge w:val="continue"/>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eastAsia="zh-CN"/>
                    </w:rPr>
                  </w:pPr>
                </w:p>
              </w:tc>
              <w:tc>
                <w:tcPr>
                  <w:tcW w:w="2305" w:type="dxa"/>
                  <w:vAlign w:val="center"/>
                </w:tcPr>
                <w:p>
                  <w:pPr>
                    <w:keepNext w:val="0"/>
                    <w:keepLines w:val="0"/>
                    <w:pageBreakBefore w:val="0"/>
                    <w:widowControl w:val="0"/>
                    <w:tabs>
                      <w:tab w:val="left" w:pos="2218"/>
                    </w:tabs>
                    <w:kinsoku/>
                    <w:wordWrap/>
                    <w:overflowPunct/>
                    <w:topLinePunct w:val="0"/>
                    <w:autoSpaceDE w:val="0"/>
                    <w:autoSpaceDN w:val="0"/>
                    <w:bidi w:val="0"/>
                    <w:spacing w:line="2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新宋体" w:cs="Times New Roman"/>
                      <w:color w:val="auto"/>
                      <w:sz w:val="21"/>
                      <w:szCs w:val="21"/>
                    </w:rPr>
                    <w:t>加油机油气回收立管处</w:t>
                  </w:r>
                </w:p>
              </w:tc>
              <w:tc>
                <w:tcPr>
                  <w:tcW w:w="113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液阻</w:t>
                  </w:r>
                </w:p>
              </w:tc>
              <w:tc>
                <w:tcPr>
                  <w:tcW w:w="1064"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cs="Times New Roman"/>
                      <w:color w:val="auto"/>
                      <w:sz w:val="21"/>
                      <w:szCs w:val="21"/>
                      <w:lang w:val="en-US" w:eastAsia="zh-CN"/>
                    </w:rPr>
                    <w:t>季</w:t>
                  </w:r>
                </w:p>
              </w:tc>
              <w:tc>
                <w:tcPr>
                  <w:tcW w:w="280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09" w:type="dxa"/>
                  <w:vMerge w:val="continue"/>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eastAsia="zh-CN"/>
                    </w:rPr>
                  </w:pPr>
                </w:p>
              </w:tc>
              <w:tc>
                <w:tcPr>
                  <w:tcW w:w="2305" w:type="dxa"/>
                  <w:vAlign w:val="center"/>
                </w:tcPr>
                <w:p>
                  <w:pPr>
                    <w:keepNext w:val="0"/>
                    <w:keepLines w:val="0"/>
                    <w:pageBreakBefore w:val="0"/>
                    <w:widowControl w:val="0"/>
                    <w:tabs>
                      <w:tab w:val="left" w:pos="2218"/>
                    </w:tabs>
                    <w:kinsoku/>
                    <w:wordWrap/>
                    <w:overflowPunct/>
                    <w:topLinePunct w:val="0"/>
                    <w:autoSpaceDE w:val="0"/>
                    <w:autoSpaceDN w:val="0"/>
                    <w:bidi w:val="0"/>
                    <w:spacing w:line="2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新宋体" w:cs="Times New Roman"/>
                      <w:color w:val="auto"/>
                      <w:sz w:val="21"/>
                      <w:szCs w:val="21"/>
                    </w:rPr>
                    <w:t>加油枪的喷管处</w:t>
                  </w:r>
                </w:p>
              </w:tc>
              <w:tc>
                <w:tcPr>
                  <w:tcW w:w="113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气液比</w:t>
                  </w:r>
                </w:p>
              </w:tc>
              <w:tc>
                <w:tcPr>
                  <w:tcW w:w="1064"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w:t>
                  </w:r>
                  <w:r>
                    <w:rPr>
                      <w:rFonts w:hint="eastAsia" w:cs="Times New Roman"/>
                      <w:color w:val="auto"/>
                      <w:sz w:val="21"/>
                      <w:szCs w:val="21"/>
                      <w:lang w:val="en-US" w:eastAsia="zh-CN"/>
                    </w:rPr>
                    <w:t>季</w:t>
                  </w:r>
                </w:p>
              </w:tc>
              <w:tc>
                <w:tcPr>
                  <w:tcW w:w="280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09" w:type="dxa"/>
                  <w:vMerge w:val="continue"/>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eastAsia="zh-CN"/>
                    </w:rPr>
                  </w:pPr>
                </w:p>
              </w:tc>
              <w:tc>
                <w:tcPr>
                  <w:tcW w:w="2305" w:type="dxa"/>
                  <w:vAlign w:val="center"/>
                </w:tcPr>
                <w:p>
                  <w:pPr>
                    <w:keepNext w:val="0"/>
                    <w:keepLines w:val="0"/>
                    <w:pageBreakBefore w:val="0"/>
                    <w:widowControl w:val="0"/>
                    <w:tabs>
                      <w:tab w:val="left" w:pos="2218"/>
                    </w:tabs>
                    <w:kinsoku/>
                    <w:wordWrap/>
                    <w:overflowPunct/>
                    <w:topLinePunct w:val="0"/>
                    <w:autoSpaceDE w:val="0"/>
                    <w:autoSpaceDN w:val="0"/>
                    <w:bidi w:val="0"/>
                    <w:spacing w:line="260" w:lineRule="exact"/>
                    <w:jc w:val="center"/>
                    <w:textAlignment w:val="auto"/>
                    <w:rPr>
                      <w:rFonts w:hint="default" w:ascii="Times New Roman" w:hAnsi="Times New Roman" w:eastAsia="新宋体" w:cs="Times New Roman"/>
                      <w:color w:val="auto"/>
                      <w:sz w:val="21"/>
                      <w:szCs w:val="21"/>
                    </w:rPr>
                  </w:pPr>
                  <w:r>
                    <w:rPr>
                      <w:rFonts w:hint="eastAsia" w:ascii="Times New Roman" w:hAnsi="Times New Roman" w:eastAsia="新宋体" w:cs="Times New Roman"/>
                      <w:color w:val="auto"/>
                      <w:sz w:val="21"/>
                      <w:szCs w:val="21"/>
                      <w:lang w:val="en-US" w:eastAsia="zh-CN"/>
                    </w:rPr>
                    <w:t>油气处理装置排气筒</w:t>
                  </w:r>
                </w:p>
              </w:tc>
              <w:tc>
                <w:tcPr>
                  <w:tcW w:w="1138" w:type="dxa"/>
                  <w:vAlign w:val="center"/>
                </w:tcPr>
                <w:p>
                  <w:pPr>
                    <w:keepNext w:val="0"/>
                    <w:keepLines w:val="0"/>
                    <w:pageBreakBefore w:val="0"/>
                    <w:widowControl w:val="0"/>
                    <w:tabs>
                      <w:tab w:val="left" w:pos="2218"/>
                    </w:tabs>
                    <w:kinsoku/>
                    <w:wordWrap/>
                    <w:overflowPunct/>
                    <w:topLinePunct w:val="0"/>
                    <w:autoSpaceDE w:val="0"/>
                    <w:autoSpaceDN w:val="0"/>
                    <w:bidi w:val="0"/>
                    <w:spacing w:line="260" w:lineRule="exact"/>
                    <w:jc w:val="center"/>
                    <w:textAlignment w:val="auto"/>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eastAsia="zh-CN"/>
                    </w:rPr>
                    <w:t>非甲烷总烃</w:t>
                  </w:r>
                </w:p>
              </w:tc>
              <w:tc>
                <w:tcPr>
                  <w:tcW w:w="1064"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次/年</w:t>
                  </w:r>
                </w:p>
              </w:tc>
              <w:tc>
                <w:tcPr>
                  <w:tcW w:w="280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09"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30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eastAsia="zh-CN"/>
                    </w:rPr>
                    <w:t>厂区上风向</w:t>
                  </w:r>
                  <w:r>
                    <w:rPr>
                      <w:rFonts w:hint="default" w:ascii="Times New Roman" w:hAnsi="Times New Roman" w:cs="Times New Roman"/>
                      <w:color w:val="auto"/>
                      <w:sz w:val="21"/>
                      <w:szCs w:val="21"/>
                      <w:lang w:val="en-US" w:eastAsia="zh-CN"/>
                    </w:rPr>
                    <w:t>1个监控点，下风向3个监控点</w:t>
                  </w:r>
                </w:p>
              </w:tc>
              <w:tc>
                <w:tcPr>
                  <w:tcW w:w="113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val="en-US" w:eastAsia="zh-CN"/>
                    </w:rPr>
                    <w:t>非甲烷总烃</w:t>
                  </w:r>
                </w:p>
              </w:tc>
              <w:tc>
                <w:tcPr>
                  <w:tcW w:w="1064"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次/年</w:t>
                  </w:r>
                </w:p>
              </w:tc>
              <w:tc>
                <w:tcPr>
                  <w:tcW w:w="2804" w:type="dxa"/>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rPr>
                    <w:t>《关于全省开展工业企业挥发性有机物专项治理工作中排放建议值的通知》（豫环攻坚办【2017】162号附件2建议值</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 w:val="0"/>
                      <w:bCs/>
                      <w:color w:val="auto"/>
                      <w:sz w:val="21"/>
                      <w:szCs w:val="21"/>
                      <w:u w:val="none"/>
                      <w:lang w:val="en-US" w:eastAsia="zh-CN"/>
                    </w:rPr>
                    <w:t>《挥发性有机物无组织排放控制标准》（GB37822-2019）</w:t>
                  </w:r>
                </w:p>
              </w:tc>
            </w:tr>
          </w:tbl>
          <w:p>
            <w:pPr>
              <w:keepNext w:val="0"/>
              <w:keepLines w:val="0"/>
              <w:pageBreakBefore w:val="0"/>
              <w:kinsoku/>
              <w:wordWrap/>
              <w:overflowPunct/>
              <w:topLinePunct w:val="0"/>
              <w:autoSpaceDE/>
              <w:autoSpaceDN/>
              <w:bidi w:val="0"/>
              <w:adjustRightInd w:val="0"/>
              <w:snapToGrid w:val="0"/>
              <w:spacing w:line="520" w:lineRule="exact"/>
              <w:ind w:firstLine="482" w:firstLineChars="200"/>
              <w:textAlignment w:val="auto"/>
              <w:rPr>
                <w:b/>
                <w:color w:val="auto"/>
                <w:sz w:val="24"/>
              </w:rPr>
            </w:pPr>
            <w:r>
              <w:rPr>
                <w:rFonts w:hint="eastAsia"/>
                <w:b/>
                <w:color w:val="auto"/>
                <w:sz w:val="24"/>
                <w:lang w:eastAsia="zh-CN"/>
              </w:rPr>
              <w:t>二</w:t>
            </w:r>
            <w:r>
              <w:rPr>
                <w:b/>
                <w:color w:val="auto"/>
                <w:sz w:val="24"/>
              </w:rPr>
              <w:t>、废水</w:t>
            </w:r>
          </w:p>
          <w:p>
            <w:pPr>
              <w:keepNext w:val="0"/>
              <w:keepLines w:val="0"/>
              <w:pageBreakBefore w:val="0"/>
              <w:kinsoku/>
              <w:wordWrap/>
              <w:overflowPunct/>
              <w:topLinePunct w:val="0"/>
              <w:autoSpaceDE/>
              <w:autoSpaceDN/>
              <w:bidi w:val="0"/>
              <w:snapToGrid w:val="0"/>
              <w:spacing w:line="520" w:lineRule="exact"/>
              <w:ind w:firstLine="480" w:firstLineChars="200"/>
              <w:textAlignment w:val="auto"/>
              <w:rPr>
                <w:rFonts w:hint="eastAsia" w:eastAsia="宋体"/>
                <w:color w:val="auto"/>
                <w:sz w:val="24"/>
                <w:lang w:eastAsia="zh-CN"/>
              </w:rPr>
            </w:pPr>
            <w:r>
              <w:rPr>
                <w:rFonts w:hint="eastAsia"/>
                <w:color w:val="auto"/>
                <w:sz w:val="24"/>
                <w:lang w:eastAsia="zh-CN"/>
              </w:rPr>
              <w:t>本次扩建无生产废水产排，不新增劳动定员，无新增生活污水。</w:t>
            </w:r>
          </w:p>
          <w:p>
            <w:pPr>
              <w:keepNext w:val="0"/>
              <w:keepLines w:val="0"/>
              <w:pageBreakBefore w:val="0"/>
              <w:kinsoku/>
              <w:wordWrap/>
              <w:overflowPunct/>
              <w:topLinePunct w:val="0"/>
              <w:autoSpaceDE/>
              <w:autoSpaceDN/>
              <w:bidi w:val="0"/>
              <w:snapToGrid w:val="0"/>
              <w:spacing w:line="520" w:lineRule="exact"/>
              <w:ind w:firstLine="482" w:firstLineChars="200"/>
              <w:textAlignment w:val="auto"/>
              <w:rPr>
                <w:b/>
                <w:color w:val="auto"/>
                <w:sz w:val="24"/>
              </w:rPr>
            </w:pPr>
            <w:r>
              <w:rPr>
                <w:b/>
                <w:color w:val="auto"/>
                <w:sz w:val="24"/>
              </w:rPr>
              <w:t>三、噪声</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2"/>
              <w:rPr>
                <w:rFonts w:hint="default" w:ascii="Times New Roman" w:hAnsi="Times New Roman" w:cs="Times New Roman"/>
                <w:b w:val="0"/>
                <w:bCs/>
                <w:color w:val="auto"/>
                <w:kern w:val="0"/>
                <w:sz w:val="24"/>
              </w:rPr>
            </w:pPr>
            <w:r>
              <w:rPr>
                <w:rFonts w:hint="eastAsia" w:cs="Times New Roman"/>
                <w:b w:val="0"/>
                <w:bCs/>
                <w:color w:val="auto"/>
                <w:kern w:val="0"/>
                <w:sz w:val="24"/>
                <w:lang w:eastAsia="zh-CN"/>
              </w:rPr>
              <w:t>（</w:t>
            </w:r>
            <w:r>
              <w:rPr>
                <w:rFonts w:hint="eastAsia" w:cs="Times New Roman"/>
                <w:b w:val="0"/>
                <w:bCs/>
                <w:color w:val="auto"/>
                <w:kern w:val="0"/>
                <w:sz w:val="24"/>
                <w:lang w:val="en-US" w:eastAsia="zh-CN"/>
              </w:rPr>
              <w:t>1</w:t>
            </w:r>
            <w:r>
              <w:rPr>
                <w:rFonts w:hint="eastAsia" w:cs="Times New Roman"/>
                <w:b w:val="0"/>
                <w:bCs/>
                <w:color w:val="auto"/>
                <w:kern w:val="0"/>
                <w:sz w:val="24"/>
                <w:lang w:eastAsia="zh-CN"/>
              </w:rPr>
              <w:t>）</w:t>
            </w:r>
            <w:r>
              <w:rPr>
                <w:rFonts w:hint="default" w:ascii="Times New Roman" w:hAnsi="Times New Roman" w:cs="Times New Roman"/>
                <w:b w:val="0"/>
                <w:bCs/>
                <w:color w:val="auto"/>
                <w:kern w:val="0"/>
                <w:sz w:val="24"/>
              </w:rPr>
              <w:t>噪声源强</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outlineLvl w:val="2"/>
              <w:rPr>
                <w:rFonts w:hint="eastAsia" w:ascii="黑体" w:hAnsi="黑体" w:eastAsia="黑体" w:cs="黑体"/>
                <w:color w:val="auto"/>
                <w:sz w:val="24"/>
              </w:rPr>
            </w:pPr>
            <w:r>
              <w:rPr>
                <w:rFonts w:hint="eastAsia" w:ascii="Times New Roman" w:hAnsi="Times New Roman" w:cs="Times New Roman"/>
                <w:color w:val="auto"/>
                <w:sz w:val="24"/>
                <w:szCs w:val="24"/>
                <w:lang w:val="en-US" w:eastAsia="zh-CN"/>
              </w:rPr>
              <w:t>本项目运营期噪声源主要为加油机等运行时产生的噪声，</w:t>
            </w:r>
            <w:r>
              <w:rPr>
                <w:rFonts w:hint="default" w:ascii="Times New Roman" w:hAnsi="Times New Roman" w:eastAsia="宋体" w:cs="Times New Roman"/>
                <w:color w:val="auto"/>
                <w:sz w:val="24"/>
                <w:highlight w:val="none"/>
              </w:rPr>
              <w:t>噪声源强为</w:t>
            </w:r>
            <w:r>
              <w:rPr>
                <w:rFonts w:hint="eastAsia" w:ascii="Times New Roman" w:hAnsi="Times New Roman" w:cs="Times New Roman"/>
                <w:color w:val="auto"/>
                <w:sz w:val="24"/>
                <w:highlight w:val="none"/>
                <w:lang w:val="en-US" w:eastAsia="zh-CN"/>
              </w:rPr>
              <w:t>65</w:t>
            </w:r>
            <w:r>
              <w:rPr>
                <w:rFonts w:hint="default" w:ascii="Times New Roman" w:hAnsi="Times New Roman" w:cs="Times New Roman"/>
                <w:color w:val="auto"/>
                <w:sz w:val="24"/>
                <w:highlight w:val="none"/>
              </w:rPr>
              <w:t>dB(A)</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进出车辆交通噪声，噪声源强约为</w:t>
            </w:r>
            <w:r>
              <w:rPr>
                <w:rFonts w:hint="eastAsia" w:ascii="Times New Roman" w:hAnsi="Times New Roman" w:cs="Times New Roman"/>
                <w:color w:val="auto"/>
                <w:sz w:val="24"/>
                <w:highlight w:val="none"/>
                <w:lang w:val="en-US" w:eastAsia="zh-CN"/>
              </w:rPr>
              <w:t>70</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 xml:space="preserve"> dB(A)</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加油站</w:t>
            </w:r>
            <w:r>
              <w:rPr>
                <w:rFonts w:hint="default" w:ascii="Times New Roman" w:hAnsi="Times New Roman" w:eastAsia="宋体" w:cs="Times New Roman"/>
                <w:color w:val="auto"/>
                <w:sz w:val="24"/>
                <w:highlight w:val="none"/>
              </w:rPr>
              <w:t>设备优先采用低噪声设备，同时设备均加装减振基础，进出车辆减速慢行以降低交通噪声对周围环境影响</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具体分析</w:t>
            </w:r>
            <w:r>
              <w:rPr>
                <w:rFonts w:hint="default" w:ascii="Times New Roman" w:hAnsi="Times New Roman" w:cs="Times New Roman"/>
                <w:bCs/>
                <w:color w:val="auto"/>
                <w:kern w:val="0"/>
                <w:sz w:val="24"/>
              </w:rPr>
              <w:t>见</w:t>
            </w:r>
            <w:r>
              <w:rPr>
                <w:rFonts w:hint="eastAsia" w:cs="Times New Roman"/>
                <w:bCs/>
                <w:color w:val="auto"/>
                <w:kern w:val="0"/>
                <w:sz w:val="24"/>
                <w:lang w:eastAsia="zh-CN"/>
              </w:rPr>
              <w:t>下</w:t>
            </w:r>
            <w:r>
              <w:rPr>
                <w:rFonts w:hint="default" w:ascii="Times New Roman" w:hAnsi="Times New Roman" w:cs="Times New Roman"/>
                <w:bCs/>
                <w:color w:val="auto"/>
                <w:kern w:val="0"/>
                <w:sz w:val="24"/>
              </w:rPr>
              <w:t>表。</w:t>
            </w:r>
          </w:p>
          <w:p>
            <w:pPr>
              <w:pStyle w:val="9"/>
              <w:bidi w:val="0"/>
              <w:rPr>
                <w:rFonts w:hint="eastAsia"/>
              </w:rPr>
            </w:pPr>
            <w:r>
              <w:rPr>
                <w:rFonts w:hint="eastAsia"/>
                <w:lang w:val="en-US" w:eastAsia="zh-CN"/>
              </w:rPr>
              <w:t>本项目</w:t>
            </w:r>
            <w:r>
              <w:rPr>
                <w:rFonts w:hint="eastAsia"/>
              </w:rPr>
              <w:t>高噪声设备一览表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24"/>
              <w:gridCol w:w="1133"/>
              <w:gridCol w:w="903"/>
              <w:gridCol w:w="1095"/>
              <w:gridCol w:w="1155"/>
              <w:gridCol w:w="2230"/>
              <w:gridCol w:w="87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501" w:type="pct"/>
                  <w:vMerge w:val="restart"/>
                  <w:tcBorders>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噪声类型</w:t>
                  </w:r>
                </w:p>
              </w:tc>
              <w:tc>
                <w:tcPr>
                  <w:tcW w:w="689" w:type="pct"/>
                  <w:vMerge w:val="restart"/>
                  <w:tcBorders>
                    <w:lef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549" w:type="pct"/>
                  <w:vMerge w:val="restar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数量</w:t>
                  </w:r>
                </w:p>
              </w:tc>
              <w:tc>
                <w:tcPr>
                  <w:tcW w:w="1368" w:type="pct"/>
                  <w:gridSpan w:val="2"/>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声源值</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dB(A)</w:t>
                  </w:r>
                </w:p>
              </w:tc>
              <w:tc>
                <w:tcPr>
                  <w:tcW w:w="1356" w:type="pct"/>
                  <w:vMerge w:val="restart"/>
                  <w:tcBorders>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533" w:type="pct"/>
                  <w:vMerge w:val="restar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运行</w:t>
                  </w:r>
                </w:p>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501" w:type="pct"/>
                  <w:vMerge w:val="continue"/>
                  <w:tcBorders>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p>
              </w:tc>
              <w:tc>
                <w:tcPr>
                  <w:tcW w:w="689" w:type="pct"/>
                  <w:vMerge w:val="continue"/>
                  <w:tcBorders>
                    <w:lef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p>
              </w:tc>
              <w:tc>
                <w:tcPr>
                  <w:tcW w:w="549" w:type="pct"/>
                  <w:vMerge w:val="continue"/>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bCs/>
                      <w:color w:val="auto"/>
                      <w:sz w:val="21"/>
                      <w:szCs w:val="21"/>
                      <w:highlight w:val="none"/>
                    </w:rPr>
                  </w:pPr>
                </w:p>
              </w:tc>
              <w:tc>
                <w:tcPr>
                  <w:tcW w:w="666" w:type="pc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治理前</w:t>
                  </w:r>
                </w:p>
              </w:tc>
              <w:tc>
                <w:tcPr>
                  <w:tcW w:w="70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治理后</w:t>
                  </w:r>
                </w:p>
              </w:tc>
              <w:tc>
                <w:tcPr>
                  <w:tcW w:w="1356"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highlight w:val="none"/>
                    </w:rPr>
                  </w:pPr>
                </w:p>
              </w:tc>
              <w:tc>
                <w:tcPr>
                  <w:tcW w:w="533" w:type="pct"/>
                  <w:vMerge w:val="continue"/>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501" w:type="pct"/>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机械设备噪声</w:t>
                  </w:r>
                </w:p>
              </w:tc>
              <w:tc>
                <w:tcPr>
                  <w:tcW w:w="689" w:type="pct"/>
                  <w:noWrap w:val="0"/>
                  <w:vAlign w:val="center"/>
                </w:tcPr>
                <w:p>
                  <w:pPr>
                    <w:keepNext w:val="0"/>
                    <w:keepLines w:val="0"/>
                    <w:pageBreakBefore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加油机</w:t>
                  </w:r>
                </w:p>
              </w:tc>
              <w:tc>
                <w:tcPr>
                  <w:tcW w:w="54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2台</w:t>
                  </w:r>
                </w:p>
              </w:tc>
              <w:tc>
                <w:tcPr>
                  <w:tcW w:w="666" w:type="pc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70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45</w:t>
                  </w:r>
                </w:p>
              </w:tc>
              <w:tc>
                <w:tcPr>
                  <w:tcW w:w="1356" w:type="pct"/>
                  <w:tcBorders>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加油机设置</w:t>
                  </w:r>
                  <w:r>
                    <w:rPr>
                      <w:rFonts w:hint="default" w:ascii="Times New Roman" w:hAnsi="Times New Roman" w:eastAsia="宋体" w:cs="Times New Roman"/>
                      <w:color w:val="auto"/>
                      <w:sz w:val="21"/>
                      <w:szCs w:val="21"/>
                      <w:highlight w:val="none"/>
                    </w:rPr>
                    <w:t>减振</w:t>
                  </w:r>
                  <w:r>
                    <w:rPr>
                      <w:rFonts w:hint="eastAsia" w:ascii="Times New Roman" w:hAnsi="Times New Roman" w:cs="Times New Roman"/>
                      <w:color w:val="auto"/>
                      <w:sz w:val="21"/>
                      <w:szCs w:val="21"/>
                      <w:highlight w:val="none"/>
                      <w:lang w:val="en-US" w:eastAsia="zh-CN"/>
                    </w:rPr>
                    <w:t>垫</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并加强设备的日常维护管理</w:t>
                  </w:r>
                </w:p>
              </w:tc>
              <w:tc>
                <w:tcPr>
                  <w:tcW w:w="533" w:type="pc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501"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交通噪声</w:t>
                  </w:r>
                </w:p>
              </w:tc>
              <w:tc>
                <w:tcPr>
                  <w:tcW w:w="68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进出车辆</w:t>
                  </w:r>
                </w:p>
              </w:tc>
              <w:tc>
                <w:tcPr>
                  <w:tcW w:w="54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66" w:type="pc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70-80</w:t>
                  </w:r>
                  <w:r>
                    <w:rPr>
                      <w:rFonts w:hint="default" w:ascii="Times New Roman" w:hAnsi="Times New Roman" w:cs="Times New Roman"/>
                      <w:color w:val="auto"/>
                      <w:sz w:val="21"/>
                      <w:szCs w:val="21"/>
                      <w:highlight w:val="none"/>
                    </w:rPr>
                    <w:t xml:space="preserve"> </w:t>
                  </w:r>
                </w:p>
              </w:tc>
              <w:tc>
                <w:tcPr>
                  <w:tcW w:w="70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50-60</w:t>
                  </w:r>
                </w:p>
              </w:tc>
              <w:tc>
                <w:tcPr>
                  <w:tcW w:w="1356" w:type="pct"/>
                  <w:tcBorders>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加强管理，</w:t>
                  </w:r>
                  <w:r>
                    <w:rPr>
                      <w:rFonts w:hint="default" w:ascii="Times New Roman" w:hAnsi="Times New Roman" w:eastAsia="宋体" w:cs="Times New Roman"/>
                      <w:color w:val="auto"/>
                      <w:sz w:val="21"/>
                      <w:szCs w:val="21"/>
                      <w:highlight w:val="none"/>
                    </w:rPr>
                    <w:t>减速慢行，</w:t>
                  </w:r>
                  <w:r>
                    <w:rPr>
                      <w:rFonts w:hint="eastAsia" w:ascii="Times New Roman" w:hAnsi="Times New Roman" w:cs="Times New Roman"/>
                      <w:color w:val="auto"/>
                      <w:sz w:val="21"/>
                      <w:szCs w:val="21"/>
                      <w:highlight w:val="none"/>
                      <w:lang w:val="en-US" w:eastAsia="zh-CN"/>
                    </w:rPr>
                    <w:t>禁止鸣笛</w:t>
                  </w:r>
                  <w:r>
                    <w:rPr>
                      <w:rFonts w:hint="default" w:ascii="Times New Roman" w:hAnsi="Times New Roman" w:eastAsia="宋体" w:cs="Times New Roman"/>
                      <w:color w:val="auto"/>
                      <w:sz w:val="21"/>
                      <w:szCs w:val="21"/>
                      <w:highlight w:val="none"/>
                    </w:rPr>
                    <w:t>，距离衰减</w:t>
                  </w:r>
                </w:p>
              </w:tc>
              <w:tc>
                <w:tcPr>
                  <w:tcW w:w="533" w:type="pct"/>
                  <w:tcBorders>
                    <w:lef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24h</w:t>
                  </w:r>
                </w:p>
              </w:tc>
            </w:tr>
          </w:tbl>
          <w:p>
            <w:pPr>
              <w:keepNext w:val="0"/>
              <w:keepLines w:val="0"/>
              <w:pageBreakBefore w:val="0"/>
              <w:widowControl w:val="0"/>
              <w:kinsoku/>
              <w:wordWrap/>
              <w:overflowPunct/>
              <w:topLinePunct w:val="0"/>
              <w:autoSpaceDE w:val="0"/>
              <w:autoSpaceDN w:val="0"/>
              <w:bidi w:val="0"/>
              <w:spacing w:line="520" w:lineRule="exact"/>
              <w:ind w:firstLine="578"/>
              <w:textAlignment w:val="auto"/>
              <w:rPr>
                <w:rFonts w:hint="default" w:ascii="Times New Roman" w:hAnsi="Times New Roman" w:cs="Times New Roman"/>
                <w:b w:val="0"/>
                <w:bCs/>
                <w:color w:val="auto"/>
                <w:kern w:val="0"/>
                <w:sz w:val="24"/>
              </w:rPr>
            </w:pPr>
            <w:r>
              <w:rPr>
                <w:rFonts w:hint="eastAsia" w:cs="Times New Roman"/>
                <w:b w:val="0"/>
                <w:bCs/>
                <w:color w:val="auto"/>
                <w:kern w:val="0"/>
                <w:sz w:val="24"/>
                <w:lang w:eastAsia="zh-CN"/>
              </w:rPr>
              <w:t>（</w:t>
            </w:r>
            <w:r>
              <w:rPr>
                <w:rFonts w:hint="eastAsia" w:cs="Times New Roman"/>
                <w:b w:val="0"/>
                <w:bCs/>
                <w:color w:val="auto"/>
                <w:kern w:val="0"/>
                <w:sz w:val="24"/>
                <w:lang w:val="en-US" w:eastAsia="zh-CN"/>
              </w:rPr>
              <w:t>2</w:t>
            </w:r>
            <w:r>
              <w:rPr>
                <w:rFonts w:hint="eastAsia" w:cs="Times New Roman"/>
                <w:b w:val="0"/>
                <w:bCs/>
                <w:color w:val="auto"/>
                <w:kern w:val="0"/>
                <w:sz w:val="24"/>
                <w:lang w:eastAsia="zh-CN"/>
              </w:rPr>
              <w:t>）</w:t>
            </w:r>
            <w:r>
              <w:rPr>
                <w:rFonts w:hint="default" w:ascii="Times New Roman" w:hAnsi="Times New Roman" w:cs="Times New Roman"/>
                <w:b w:val="0"/>
                <w:bCs/>
                <w:color w:val="auto"/>
                <w:kern w:val="0"/>
                <w:sz w:val="24"/>
              </w:rPr>
              <w:t>预测模式</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本次评价分别将</w:t>
            </w:r>
            <w:r>
              <w:rPr>
                <w:rFonts w:hint="default" w:ascii="Times New Roman" w:hAnsi="Times New Roman" w:cs="Times New Roman"/>
                <w:color w:val="auto"/>
                <w:sz w:val="24"/>
                <w:lang w:val="en-US" w:eastAsia="zh-CN"/>
              </w:rPr>
              <w:t>加油站</w:t>
            </w:r>
            <w:r>
              <w:rPr>
                <w:rFonts w:hint="default" w:ascii="Times New Roman" w:hAnsi="Times New Roman" w:cs="Times New Roman"/>
                <w:color w:val="auto"/>
                <w:sz w:val="24"/>
              </w:rPr>
              <w:t xml:space="preserve">内采取降噪措施后的设备噪声进行叠加，然后向厂界四周做衰减计算。                                                                                                                                                                                                                                                                                                                                                                                                                                                                                                                                                                                                                                                                                                                                                                                                                                                                                                                                                                                                                                                                                                                                                                                                                                                                                                                                                                                                                                                                                                                       </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i/>
                <w:color w:val="auto"/>
                <w:position w:val="-30"/>
                <w:sz w:val="24"/>
              </w:rPr>
              <w:pict>
                <v:shape id="_x0000_s1026" o:spid="_x0000_s1026" o:spt="75" type="#_x0000_t75" style="position:absolute;left:0pt;margin-left:150.75pt;margin-top:16.2pt;height:36pt;width:130.2pt;z-index:-251652096;mso-width-relative:page;mso-height-relative:page;" o:ole="t" filled="f" o:preferrelative="t" stroked="f" coordsize="21600,21600">
                  <v:path/>
                  <v:fill on="f" focussize="0,0"/>
                  <v:stroke on="f"/>
                  <v:imagedata r:id="rId17" o:title=""/>
                  <o:lock v:ext="edit" aspectratio="t"/>
                </v:shape>
                <o:OLEObject Type="Embed" ProgID="Equation.DSMT4" ShapeID="_x0000_s1026" DrawAspect="Content" ObjectID="_1468075727" r:id="rId16">
                  <o:LockedField>false</o:LockedField>
                </o:OLEObject>
              </w:pict>
            </w:r>
            <w:r>
              <w:rPr>
                <w:rFonts w:hint="eastAsia" w:ascii="Times New Roman" w:hAnsi="Times New Roman" w:cs="Times New Roman"/>
                <w:color w:val="auto"/>
                <w:sz w:val="24"/>
                <w:lang w:val="en-US" w:eastAsia="zh-CN"/>
              </w:rPr>
              <w:t>噪声贡献值计算公式：</w:t>
            </w:r>
          </w:p>
          <w:p>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auto"/>
                <w:sz w:val="24"/>
              </w:rPr>
            </w:pPr>
          </w:p>
          <w:p>
            <w:pPr>
              <w:pStyle w:val="23"/>
              <w:keepLines w:val="0"/>
              <w:pageBreakBefore w:val="0"/>
              <w:kinsoku/>
              <w:wordWrap/>
              <w:topLinePunct w:val="0"/>
              <w:bidi w:val="0"/>
              <w:snapToGrid w:val="0"/>
              <w:spacing w:after="0" w:line="520" w:lineRule="exact"/>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式中：</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—建设项目声源在预测点的等效声级贡献值，dB(A)；</w:t>
            </w:r>
          </w:p>
          <w:p>
            <w:pPr>
              <w:pStyle w:val="23"/>
              <w:keepLines w:val="0"/>
              <w:pageBreakBefore w:val="0"/>
              <w:kinsoku/>
              <w:wordWrap/>
              <w:topLinePunct w:val="0"/>
              <w:bidi w:val="0"/>
              <w:snapToGrid w:val="0"/>
              <w:spacing w:after="0" w:line="520" w:lineRule="exact"/>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T—预测计算的时间段，s；</w:t>
            </w:r>
          </w:p>
          <w:p>
            <w:pPr>
              <w:pStyle w:val="23"/>
              <w:keepLines w:val="0"/>
              <w:pageBreakBefore w:val="0"/>
              <w:kinsoku/>
              <w:wordWrap/>
              <w:topLinePunct w:val="0"/>
              <w:bidi w:val="0"/>
              <w:snapToGrid w:val="0"/>
              <w:spacing w:after="0" w:line="520" w:lineRule="exact"/>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 — i声源在T时段内的运行时间，s；</w:t>
            </w:r>
          </w:p>
          <w:p>
            <w:pPr>
              <w:pStyle w:val="23"/>
              <w:keepLines w:val="0"/>
              <w:pageBreakBefore w:val="0"/>
              <w:kinsoku/>
              <w:wordWrap/>
              <w:topLinePunct w:val="0"/>
              <w:bidi w:val="0"/>
              <w:snapToGrid w:val="0"/>
              <w:spacing w:after="0" w:line="520" w:lineRule="exact"/>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 i声源在预测点产生的A声级，dB(A)。</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评价对隔声、减震后的设备噪声进行叠加，合成噪声对厂界的影响以噪声源在传播过程中的距离衰减因素为主，对于传播发散、空气吸收、阻挡物的反射因素的影响未做考虑，噪声在传播过程中随距离的衰减按下公式计算：</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合</w:t>
            </w:r>
            <w:r>
              <w:rPr>
                <w:rFonts w:hint="default" w:ascii="Times New Roman" w:hAnsi="Times New Roman" w:cs="Times New Roman"/>
                <w:color w:val="auto"/>
                <w:sz w:val="24"/>
              </w:rPr>
              <w:t>-20lgr</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——预测点的噪声值，dB(A)；</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L</w:t>
            </w:r>
            <w:r>
              <w:rPr>
                <w:rFonts w:hint="default" w:ascii="Times New Roman" w:hAnsi="Times New Roman" w:cs="Times New Roman"/>
                <w:color w:val="auto"/>
                <w:sz w:val="24"/>
                <w:vertAlign w:val="subscript"/>
              </w:rPr>
              <w:t>合</w:t>
            </w:r>
            <w:r>
              <w:rPr>
                <w:rFonts w:hint="default" w:ascii="Times New Roman" w:hAnsi="Times New Roman" w:cs="Times New Roman"/>
                <w:color w:val="auto"/>
                <w:sz w:val="24"/>
              </w:rPr>
              <w:t>——点声源合成噪声值，dB(A)；</w:t>
            </w:r>
          </w:p>
          <w:p>
            <w:pPr>
              <w:keepNext w:val="0"/>
              <w:keepLines w:val="0"/>
              <w:pageBreakBefore w:val="0"/>
              <w:widowControl w:val="0"/>
              <w:tabs>
                <w:tab w:val="left" w:pos="8370"/>
                <w:tab w:val="left" w:pos="8600"/>
              </w:tabs>
              <w:kinsoku/>
              <w:wordWrap/>
              <w:overflowPunct/>
              <w:topLinePunct w:val="0"/>
              <w:autoSpaceDE w:val="0"/>
              <w:autoSpaceDN w:val="0"/>
              <w:bidi w:val="0"/>
              <w:spacing w:line="52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r——衰减距离（m）。</w:t>
            </w:r>
          </w:p>
          <w:p>
            <w:pPr>
              <w:keepNext w:val="0"/>
              <w:keepLines w:val="0"/>
              <w:pageBreakBefore w:val="0"/>
              <w:widowControl/>
              <w:kinsoku/>
              <w:wordWrap/>
              <w:overflowPunct/>
              <w:topLinePunct w:val="0"/>
              <w:autoSpaceDE w:val="0"/>
              <w:autoSpaceDN w:val="0"/>
              <w:bidi w:val="0"/>
              <w:spacing w:line="520" w:lineRule="exact"/>
              <w:ind w:firstLine="480" w:firstLineChars="200"/>
              <w:jc w:val="left"/>
              <w:textAlignment w:val="auto"/>
              <w:outlineLvl w:val="2"/>
              <w:rPr>
                <w:rFonts w:hint="eastAsia" w:ascii="Times New Roman" w:hAnsi="Times New Roman" w:cs="Times New Roman"/>
                <w:b w:val="0"/>
                <w:bCs/>
                <w:color w:val="auto"/>
                <w:kern w:val="0"/>
                <w:sz w:val="24"/>
                <w:lang w:val="en-US" w:eastAsia="zh-CN"/>
              </w:rPr>
            </w:pPr>
            <w:r>
              <w:rPr>
                <w:rFonts w:hint="eastAsia" w:ascii="Times New Roman" w:hAnsi="Times New Roman" w:cs="Times New Roman"/>
                <w:b w:val="0"/>
                <w:bCs/>
                <w:color w:val="auto"/>
                <w:kern w:val="0"/>
                <w:sz w:val="24"/>
                <w:lang w:val="en-US" w:eastAsia="zh-CN"/>
              </w:rPr>
              <w:t>噪声预测值计算公式：</w:t>
            </w:r>
          </w:p>
          <w:p>
            <w:pPr>
              <w:pStyle w:val="3"/>
              <w:keepLines w:val="0"/>
              <w:pageBreakBefore w:val="0"/>
              <w:kinsoku/>
              <w:wordWrap/>
              <w:topLinePunct w:val="0"/>
              <w:bidi w:val="0"/>
              <w:spacing w:line="520" w:lineRule="exact"/>
              <w:textAlignment w:val="auto"/>
              <w:rPr>
                <w:rFonts w:hint="eastAsia" w:cs="Times New Roman"/>
                <w:b w:val="0"/>
                <w:bCs/>
                <w:color w:val="auto"/>
                <w:kern w:val="0"/>
                <w:sz w:val="24"/>
                <w:lang w:val="en-US" w:eastAsia="zh-CN"/>
              </w:rPr>
            </w:pPr>
            <w:r>
              <w:rPr>
                <w:rFonts w:hint="eastAsia" w:cs="Times New Roman"/>
                <w:b w:val="0"/>
                <w:bCs/>
                <w:color w:val="auto"/>
                <w:kern w:val="0"/>
                <w:sz w:val="24"/>
                <w:lang w:val="en-US" w:eastAsia="zh-CN"/>
              </w:rPr>
              <w:drawing>
                <wp:anchor distT="0" distB="0" distL="114300" distR="114300" simplePos="0" relativeHeight="251664384" behindDoc="1" locked="0" layoutInCell="1" allowOverlap="1">
                  <wp:simplePos x="0" y="0"/>
                  <wp:positionH relativeFrom="column">
                    <wp:posOffset>990600</wp:posOffset>
                  </wp:positionH>
                  <wp:positionV relativeFrom="paragraph">
                    <wp:posOffset>-37465</wp:posOffset>
                  </wp:positionV>
                  <wp:extent cx="2447925" cy="476250"/>
                  <wp:effectExtent l="0" t="0" r="9525" b="0"/>
                  <wp:wrapNone/>
                  <wp:docPr id="90" name="图片 90" descr="8e1d1097630481c473c6fd3a4d4b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e1d1097630481c473c6fd3a4d4b5e9"/>
                          <pic:cNvPicPr>
                            <a:picLocks noChangeAspect="1"/>
                          </pic:cNvPicPr>
                        </pic:nvPicPr>
                        <pic:blipFill>
                          <a:blip r:embed="rId18"/>
                          <a:stretch>
                            <a:fillRect/>
                          </a:stretch>
                        </pic:blipFill>
                        <pic:spPr>
                          <a:xfrm>
                            <a:off x="0" y="0"/>
                            <a:ext cx="2447925" cy="476250"/>
                          </a:xfrm>
                          <a:prstGeom prst="rect">
                            <a:avLst/>
                          </a:prstGeom>
                        </pic:spPr>
                      </pic:pic>
                    </a:graphicData>
                  </a:graphic>
                </wp:anchor>
              </w:drawing>
            </w:r>
            <w:r>
              <w:rPr>
                <w:rFonts w:hint="eastAsia" w:cs="Times New Roman"/>
                <w:b w:val="0"/>
                <w:bCs/>
                <w:color w:val="auto"/>
                <w:kern w:val="0"/>
                <w:sz w:val="24"/>
                <w:lang w:val="en-US" w:eastAsia="zh-CN"/>
              </w:rPr>
              <w:t xml:space="preserve"> </w:t>
            </w:r>
          </w:p>
          <w:p>
            <w:pPr>
              <w:pStyle w:val="12"/>
              <w:keepNext w:val="0"/>
              <w:keepLines w:val="0"/>
              <w:pageBreakBefore w:val="0"/>
              <w:widowControl w:val="0"/>
              <w:kinsoku/>
              <w:wordWrap/>
              <w:overflowPunct/>
              <w:topLinePunct w:val="0"/>
              <w:autoSpaceDE w:val="0"/>
              <w:autoSpaceDN w:val="0"/>
              <w:bidi w:val="0"/>
              <w:adjustRightInd/>
              <w:snapToGrid/>
              <w:spacing w:line="520" w:lineRule="exact"/>
              <w:ind w:left="277" w:firstLine="180" w:firstLineChars="100"/>
              <w:textAlignment w:val="auto"/>
              <w:rPr>
                <w:rFonts w:hint="default" w:ascii="Times New Roman" w:hAnsi="Times New Roman" w:cs="Times New Roman"/>
                <w:color w:val="auto"/>
                <w:sz w:val="24"/>
                <w:szCs w:val="24"/>
              </w:rPr>
            </w:pPr>
            <w:r>
              <w:rPr>
                <w:color w:val="auto"/>
              </w:rPr>
              <w:t>式中：</w:t>
            </w:r>
            <w:r>
              <w:rPr>
                <w:rFonts w:hint="default" w:ascii="Times New Roman" w:hAnsi="Times New Roman" w:cs="Times New Roman"/>
                <w:i/>
                <w:iCs/>
                <w:color w:val="auto"/>
                <w:sz w:val="24"/>
                <w:szCs w:val="24"/>
              </w:rPr>
              <w:t xml:space="preserve"> </w:t>
            </w:r>
            <w:r>
              <w:rPr>
                <w:rFonts w:hint="default" w:ascii="Times New Roman" w:hAnsi="Times New Roman" w:eastAsia="Times New Roman" w:cs="Times New Roman"/>
                <w:i/>
                <w:iCs/>
                <w:color w:val="auto"/>
                <w:sz w:val="24"/>
                <w:szCs w:val="24"/>
              </w:rPr>
              <w:t>L</w:t>
            </w:r>
            <w:r>
              <w:rPr>
                <w:rFonts w:hint="default" w:ascii="Times New Roman" w:hAnsi="Times New Roman" w:eastAsia="Times New Roman" w:cs="Times New Roman"/>
                <w:color w:val="auto"/>
                <w:position w:val="-4"/>
                <w:sz w:val="24"/>
                <w:szCs w:val="24"/>
              </w:rPr>
              <w:t xml:space="preserve">eq </w:t>
            </w:r>
            <w:r>
              <w:rPr>
                <w:rFonts w:hint="default" w:ascii="Times New Roman" w:hAnsi="Times New Roman" w:eastAsia="Times New Roman" w:cs="Times New Roman"/>
                <w:color w:val="auto"/>
                <w:sz w:val="24"/>
                <w:szCs w:val="24"/>
              </w:rPr>
              <w:t>——</w:t>
            </w:r>
            <w:r>
              <w:rPr>
                <w:rFonts w:hint="default" w:ascii="Times New Roman" w:hAnsi="Times New Roman" w:cs="Times New Roman"/>
                <w:color w:val="auto"/>
                <w:sz w:val="24"/>
                <w:szCs w:val="24"/>
              </w:rPr>
              <w:t>预测点的噪声预测值，</w:t>
            </w:r>
            <w:r>
              <w:rPr>
                <w:rFonts w:hint="default" w:ascii="Times New Roman" w:hAnsi="Times New Roman" w:eastAsia="Times New Roman" w:cs="Times New Roman"/>
                <w:color w:val="auto"/>
                <w:sz w:val="24"/>
                <w:szCs w:val="24"/>
              </w:rPr>
              <w:t>dB</w:t>
            </w:r>
            <w:r>
              <w:rPr>
                <w:rFonts w:hint="default" w:ascii="Times New Roman" w:hAnsi="Times New Roman" w:cs="Times New Roman"/>
                <w:color w:val="auto"/>
                <w:sz w:val="24"/>
                <w:szCs w:val="24"/>
              </w:rPr>
              <w:t>；</w:t>
            </w:r>
          </w:p>
          <w:p>
            <w:pPr>
              <w:pStyle w:val="12"/>
              <w:keepNext w:val="0"/>
              <w:keepLines w:val="0"/>
              <w:pageBreakBefore w:val="0"/>
              <w:widowControl w:val="0"/>
              <w:kinsoku/>
              <w:wordWrap/>
              <w:overflowPunct/>
              <w:topLinePunct w:val="0"/>
              <w:autoSpaceDE w:val="0"/>
              <w:autoSpaceDN w:val="0"/>
              <w:bidi w:val="0"/>
              <w:adjustRightInd/>
              <w:snapToGrid/>
              <w:spacing w:line="520" w:lineRule="exact"/>
              <w:ind w:left="955" w:firstLine="240" w:firstLineChars="100"/>
              <w:textAlignment w:val="auto"/>
              <w:rPr>
                <w:rFonts w:hint="default" w:ascii="Times New Roman" w:hAnsi="Times New Roman" w:cs="Times New Roman"/>
                <w:color w:val="auto"/>
                <w:sz w:val="24"/>
                <w:szCs w:val="24"/>
              </w:rPr>
            </w:pPr>
            <w:r>
              <w:rPr>
                <w:rFonts w:hint="default" w:ascii="Times New Roman" w:hAnsi="Times New Roman" w:eastAsia="Times New Roman" w:cs="Times New Roman"/>
                <w:i/>
                <w:color w:val="auto"/>
                <w:sz w:val="24"/>
                <w:szCs w:val="24"/>
              </w:rPr>
              <w:t>L</w:t>
            </w:r>
            <w:r>
              <w:rPr>
                <w:rFonts w:hint="default" w:ascii="Times New Roman" w:hAnsi="Times New Roman" w:eastAsia="Times New Roman" w:cs="Times New Roman"/>
                <w:color w:val="auto"/>
                <w:position w:val="-4"/>
                <w:sz w:val="24"/>
                <w:szCs w:val="24"/>
              </w:rPr>
              <w:t xml:space="preserve">eqg </w:t>
            </w:r>
            <w:r>
              <w:rPr>
                <w:rFonts w:hint="default" w:ascii="Times New Roman" w:hAnsi="Times New Roman" w:eastAsia="Times New Roman" w:cs="Times New Roman"/>
                <w:color w:val="auto"/>
                <w:position w:val="1"/>
                <w:sz w:val="24"/>
                <w:szCs w:val="24"/>
              </w:rPr>
              <w:t>——</w:t>
            </w:r>
            <w:r>
              <w:rPr>
                <w:rFonts w:hint="default" w:ascii="Times New Roman" w:hAnsi="Times New Roman" w:cs="Times New Roman"/>
                <w:color w:val="auto"/>
                <w:position w:val="1"/>
                <w:sz w:val="24"/>
                <w:szCs w:val="24"/>
              </w:rPr>
              <w:t>建设项目声源在预测点产生的噪声贡献值，</w:t>
            </w:r>
            <w:r>
              <w:rPr>
                <w:rFonts w:hint="default" w:ascii="Times New Roman" w:hAnsi="Times New Roman" w:eastAsia="Times New Roman" w:cs="Times New Roman"/>
                <w:color w:val="auto"/>
                <w:position w:val="1"/>
                <w:sz w:val="24"/>
                <w:szCs w:val="24"/>
              </w:rPr>
              <w:t>dB</w:t>
            </w:r>
            <w:r>
              <w:rPr>
                <w:rFonts w:hint="default" w:ascii="Times New Roman" w:hAnsi="Times New Roman" w:cs="Times New Roman"/>
                <w:color w:val="auto"/>
                <w:position w:val="1"/>
                <w:sz w:val="24"/>
                <w:szCs w:val="24"/>
              </w:rPr>
              <w:t>；</w:t>
            </w:r>
          </w:p>
          <w:p>
            <w:pPr>
              <w:keepNext w:val="0"/>
              <w:keepLines w:val="0"/>
              <w:pageBreakBefore w:val="0"/>
              <w:widowControl w:val="0"/>
              <w:kinsoku/>
              <w:wordWrap/>
              <w:overflowPunct/>
              <w:topLinePunct w:val="0"/>
              <w:autoSpaceDE w:val="0"/>
              <w:autoSpaceDN w:val="0"/>
              <w:bidi w:val="0"/>
              <w:adjustRightInd/>
              <w:snapToGrid/>
              <w:spacing w:line="520" w:lineRule="exact"/>
              <w:ind w:left="943" w:right="0" w:firstLine="240" w:firstLineChars="100"/>
              <w:jc w:val="left"/>
              <w:textAlignment w:val="auto"/>
              <w:rPr>
                <w:rFonts w:hint="default"/>
                <w:color w:val="auto"/>
                <w:lang w:val="en-US" w:eastAsia="zh-CN"/>
              </w:rPr>
            </w:pPr>
            <w:r>
              <w:rPr>
                <w:rFonts w:hint="default" w:ascii="Times New Roman" w:hAnsi="Times New Roman" w:eastAsia="Times New Roman" w:cs="Times New Roman"/>
                <w:i/>
                <w:color w:val="auto"/>
                <w:sz w:val="24"/>
                <w:szCs w:val="24"/>
              </w:rPr>
              <w:t>L</w:t>
            </w:r>
            <w:r>
              <w:rPr>
                <w:rFonts w:hint="default" w:ascii="Times New Roman" w:hAnsi="Times New Roman" w:eastAsia="Times New Roman" w:cs="Times New Roman"/>
                <w:color w:val="auto"/>
                <w:position w:val="-4"/>
                <w:sz w:val="24"/>
                <w:szCs w:val="24"/>
              </w:rPr>
              <w:t xml:space="preserve">eqb </w:t>
            </w:r>
            <w:r>
              <w:rPr>
                <w:rFonts w:hint="default" w:ascii="Times New Roman" w:hAnsi="Times New Roman" w:eastAsia="Times New Roman" w:cs="Times New Roman"/>
                <w:color w:val="auto"/>
                <w:position w:val="1"/>
                <w:sz w:val="24"/>
                <w:szCs w:val="24"/>
              </w:rPr>
              <w:t>——</w:t>
            </w:r>
            <w:r>
              <w:rPr>
                <w:rFonts w:hint="default" w:ascii="Times New Roman" w:hAnsi="Times New Roman" w:cs="Times New Roman"/>
                <w:color w:val="auto"/>
                <w:position w:val="1"/>
                <w:sz w:val="24"/>
                <w:szCs w:val="24"/>
              </w:rPr>
              <w:t>预测点的背景噪声值，</w:t>
            </w:r>
            <w:r>
              <w:rPr>
                <w:rFonts w:hint="default" w:ascii="Times New Roman" w:hAnsi="Times New Roman" w:eastAsia="Times New Roman" w:cs="Times New Roman"/>
                <w:color w:val="auto"/>
                <w:position w:val="1"/>
                <w:sz w:val="24"/>
                <w:szCs w:val="24"/>
              </w:rPr>
              <w:t>dB</w:t>
            </w:r>
            <w:r>
              <w:rPr>
                <w:rFonts w:hint="default" w:ascii="Times New Roman" w:hAnsi="Times New Roman" w:cs="Times New Roman"/>
                <w:color w:val="auto"/>
                <w:position w:val="1"/>
                <w:sz w:val="24"/>
                <w:szCs w:val="24"/>
              </w:rPr>
              <w:t>。</w:t>
            </w:r>
          </w:p>
          <w:p>
            <w:pPr>
              <w:keepNext w:val="0"/>
              <w:keepLines w:val="0"/>
              <w:pageBreakBefore w:val="0"/>
              <w:widowControl/>
              <w:kinsoku/>
              <w:wordWrap/>
              <w:overflowPunct/>
              <w:topLinePunct w:val="0"/>
              <w:autoSpaceDE w:val="0"/>
              <w:autoSpaceDN w:val="0"/>
              <w:bidi w:val="0"/>
              <w:spacing w:line="480" w:lineRule="exact"/>
              <w:ind w:firstLine="480" w:firstLineChars="200"/>
              <w:jc w:val="left"/>
              <w:textAlignment w:val="auto"/>
              <w:outlineLvl w:val="2"/>
              <w:rPr>
                <w:rFonts w:hint="default" w:ascii="Times New Roman" w:hAnsi="Times New Roman" w:cs="Times New Roman"/>
                <w:b w:val="0"/>
                <w:bCs/>
                <w:color w:val="auto"/>
                <w:kern w:val="0"/>
                <w:sz w:val="24"/>
              </w:rPr>
            </w:pPr>
            <w:r>
              <w:rPr>
                <w:rFonts w:hint="eastAsia" w:cs="Times New Roman"/>
                <w:b w:val="0"/>
                <w:bCs/>
                <w:color w:val="auto"/>
                <w:kern w:val="0"/>
                <w:sz w:val="24"/>
                <w:lang w:val="en-US" w:eastAsia="zh-CN"/>
              </w:rPr>
              <w:t>（3）</w:t>
            </w:r>
            <w:r>
              <w:rPr>
                <w:rFonts w:hint="default" w:ascii="Times New Roman" w:hAnsi="Times New Roman" w:cs="Times New Roman"/>
                <w:b w:val="0"/>
                <w:bCs/>
                <w:color w:val="auto"/>
                <w:kern w:val="0"/>
                <w:sz w:val="24"/>
              </w:rPr>
              <w:t>预测结果</w:t>
            </w:r>
          </w:p>
          <w:p>
            <w:pPr>
              <w:keepNext w:val="0"/>
              <w:keepLines w:val="0"/>
              <w:pageBreakBefore w:val="0"/>
              <w:widowControl w:val="0"/>
              <w:tabs>
                <w:tab w:val="left" w:pos="8370"/>
                <w:tab w:val="left" w:pos="8600"/>
              </w:tabs>
              <w:kinsoku/>
              <w:wordWrap/>
              <w:overflowPunct/>
              <w:topLinePunct w:val="0"/>
              <w:autoSpaceDE w:val="0"/>
              <w:autoSpaceDN w:val="0"/>
              <w:bidi w:val="0"/>
              <w:adjustRightInd/>
              <w:snapToGrid/>
              <w:spacing w:line="52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根据本</w:t>
            </w: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噪声源的分布，对项目四周厂界</w:t>
            </w:r>
            <w:r>
              <w:rPr>
                <w:rFonts w:hint="eastAsia" w:ascii="Times New Roman" w:hAnsi="Times New Roman" w:cs="Times New Roman"/>
                <w:color w:val="auto"/>
                <w:sz w:val="24"/>
                <w:lang w:val="en-US" w:eastAsia="zh-CN"/>
              </w:rPr>
              <w:t>及敏感目标</w:t>
            </w:r>
            <w:r>
              <w:rPr>
                <w:rFonts w:hint="default" w:ascii="Times New Roman" w:hAnsi="Times New Roman" w:cs="Times New Roman"/>
                <w:color w:val="auto"/>
                <w:sz w:val="24"/>
              </w:rPr>
              <w:t>噪声贡献值进行预测计算，厂界噪声预测结果见</w:t>
            </w:r>
            <w:r>
              <w:rPr>
                <w:rFonts w:hint="eastAsia" w:cs="Times New Roman"/>
                <w:color w:val="auto"/>
                <w:sz w:val="24"/>
                <w:lang w:eastAsia="zh-CN"/>
              </w:rPr>
              <w:t>下</w:t>
            </w:r>
            <w:r>
              <w:rPr>
                <w:rFonts w:hint="default" w:ascii="Times New Roman" w:hAnsi="Times New Roman" w:cs="Times New Roman"/>
                <w:color w:val="auto"/>
                <w:sz w:val="24"/>
              </w:rPr>
              <w:t>表。</w:t>
            </w:r>
          </w:p>
          <w:p>
            <w:pPr>
              <w:pStyle w:val="9"/>
              <w:bidi w:val="0"/>
              <w:rPr>
                <w:rFonts w:hint="default"/>
                <w:lang w:val="en-US" w:eastAsia="zh-CN"/>
              </w:rPr>
            </w:pPr>
            <w:r>
              <w:rPr>
                <w:rFonts w:hint="eastAsia"/>
                <w:lang w:val="en-US" w:eastAsia="zh-CN"/>
              </w:rPr>
              <w:t>扩建后厂界</w:t>
            </w:r>
            <w:r>
              <w:rPr>
                <w:rFonts w:hint="default"/>
                <w:lang w:val="en-US" w:eastAsia="zh-CN"/>
              </w:rPr>
              <w:t>噪声预测结果一览表</w:t>
            </w:r>
            <w:r>
              <w:rPr>
                <w:rFonts w:hint="eastAsia"/>
                <w:lang w:val="en-US" w:eastAsia="zh-CN"/>
              </w:rPr>
              <w:t xml:space="preserve">     单位：</w:t>
            </w:r>
            <w:r>
              <w:rPr>
                <w:rFonts w:hint="default"/>
                <w:lang w:val="en-US" w:eastAsia="zh-CN"/>
              </w:rPr>
              <w:t>dB(A)</w:t>
            </w:r>
          </w:p>
          <w:tbl>
            <w:tblPr>
              <w:tblStyle w:val="25"/>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6"/>
              <w:gridCol w:w="884"/>
              <w:gridCol w:w="856"/>
              <w:gridCol w:w="959"/>
              <w:gridCol w:w="929"/>
              <w:gridCol w:w="906"/>
              <w:gridCol w:w="115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vMerge w:val="restart"/>
                  <w:noWrap w:val="0"/>
                  <w:vAlign w:val="center"/>
                </w:tcPr>
                <w:p>
                  <w:pPr>
                    <w:spacing w:line="24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lang w:bidi="ar"/>
                    </w:rPr>
                    <w:t>预测点位置</w:t>
                  </w:r>
                </w:p>
              </w:tc>
              <w:tc>
                <w:tcPr>
                  <w:tcW w:w="1049" w:type="pct"/>
                  <w:gridSpan w:val="2"/>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现状监测值</w:t>
                  </w:r>
                </w:p>
              </w:tc>
              <w:tc>
                <w:tcPr>
                  <w:tcW w:w="578" w:type="pct"/>
                  <w:vMerge w:val="restart"/>
                  <w:noWrap w:val="0"/>
                  <w:vAlign w:val="center"/>
                </w:tcPr>
                <w:p>
                  <w:pPr>
                    <w:spacing w:line="240" w:lineRule="auto"/>
                    <w:jc w:val="center"/>
                    <w:rPr>
                      <w:rFonts w:hint="default" w:ascii="Times New Roman" w:hAnsi="Times New Roman" w:eastAsia="宋体" w:cs="Times New Roman"/>
                      <w:b/>
                      <w:color w:val="auto"/>
                      <w:kern w:val="0"/>
                      <w:sz w:val="21"/>
                      <w:szCs w:val="21"/>
                      <w:lang w:val="zh-CN" w:eastAsia="zh-CN" w:bidi="ar"/>
                    </w:rPr>
                  </w:pPr>
                  <w:r>
                    <w:rPr>
                      <w:rFonts w:hint="default" w:ascii="Times New Roman" w:hAnsi="Times New Roman" w:cs="Times New Roman"/>
                      <w:b/>
                      <w:color w:val="auto"/>
                      <w:kern w:val="0"/>
                      <w:sz w:val="21"/>
                      <w:szCs w:val="21"/>
                      <w:lang w:bidi="ar"/>
                    </w:rPr>
                    <w:t>贡献值</w:t>
                  </w:r>
                </w:p>
              </w:tc>
              <w:tc>
                <w:tcPr>
                  <w:tcW w:w="1106" w:type="pct"/>
                  <w:gridSpan w:val="2"/>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预测值</w:t>
                  </w:r>
                </w:p>
              </w:tc>
              <w:tc>
                <w:tcPr>
                  <w:tcW w:w="694" w:type="pct"/>
                  <w:vMerge w:val="restart"/>
                  <w:noWrap w:val="0"/>
                  <w:vAlign w:val="center"/>
                </w:tcPr>
                <w:p>
                  <w:pPr>
                    <w:spacing w:line="24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sz w:val="21"/>
                      <w:szCs w:val="21"/>
                      <w:lang w:bidi="ar"/>
                    </w:rPr>
                    <w:t>标准</w:t>
                  </w:r>
                </w:p>
              </w:tc>
              <w:tc>
                <w:tcPr>
                  <w:tcW w:w="548" w:type="pct"/>
                  <w:vMerge w:val="restart"/>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达标</w:t>
                  </w:r>
                </w:p>
                <w:p>
                  <w:pPr>
                    <w:spacing w:line="24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sz w:val="21"/>
                      <w:szCs w:val="21"/>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vMerge w:val="continue"/>
                  <w:noWrap w:val="0"/>
                  <w:vAlign w:val="center"/>
                </w:tcPr>
                <w:p>
                  <w:pPr>
                    <w:spacing w:line="240" w:lineRule="auto"/>
                    <w:jc w:val="center"/>
                    <w:rPr>
                      <w:rFonts w:hint="default" w:ascii="Times New Roman" w:hAnsi="Times New Roman" w:cs="Times New Roman"/>
                      <w:b/>
                      <w:color w:val="auto"/>
                      <w:kern w:val="0"/>
                      <w:sz w:val="21"/>
                      <w:szCs w:val="21"/>
                      <w:lang w:bidi="ar"/>
                    </w:rPr>
                  </w:pPr>
                </w:p>
              </w:tc>
              <w:tc>
                <w:tcPr>
                  <w:tcW w:w="533" w:type="pct"/>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昼间</w:t>
                  </w:r>
                </w:p>
              </w:tc>
              <w:tc>
                <w:tcPr>
                  <w:tcW w:w="516" w:type="pct"/>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夜间</w:t>
                  </w:r>
                </w:p>
              </w:tc>
              <w:tc>
                <w:tcPr>
                  <w:tcW w:w="578" w:type="pct"/>
                  <w:vMerge w:val="continue"/>
                  <w:noWrap w:val="0"/>
                  <w:vAlign w:val="center"/>
                </w:tcPr>
                <w:p>
                  <w:pPr>
                    <w:spacing w:line="240" w:lineRule="auto"/>
                    <w:jc w:val="center"/>
                    <w:rPr>
                      <w:rFonts w:hint="default" w:ascii="Times New Roman" w:hAnsi="Times New Roman" w:eastAsia="宋体" w:cs="Times New Roman"/>
                      <w:b/>
                      <w:color w:val="auto"/>
                      <w:kern w:val="0"/>
                      <w:sz w:val="21"/>
                      <w:szCs w:val="21"/>
                      <w:lang w:val="zh-CN" w:eastAsia="zh-CN" w:bidi="ar"/>
                    </w:rPr>
                  </w:pPr>
                </w:p>
              </w:tc>
              <w:tc>
                <w:tcPr>
                  <w:tcW w:w="560" w:type="pct"/>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昼间</w:t>
                  </w:r>
                </w:p>
              </w:tc>
              <w:tc>
                <w:tcPr>
                  <w:tcW w:w="546" w:type="pct"/>
                  <w:noWrap w:val="0"/>
                  <w:vAlign w:val="center"/>
                </w:tcPr>
                <w:p>
                  <w:pPr>
                    <w:spacing w:line="240" w:lineRule="auto"/>
                    <w:jc w:val="center"/>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夜间</w:t>
                  </w:r>
                </w:p>
              </w:tc>
              <w:tc>
                <w:tcPr>
                  <w:tcW w:w="694" w:type="pct"/>
                  <w:vMerge w:val="continue"/>
                  <w:noWrap w:val="0"/>
                  <w:vAlign w:val="center"/>
                </w:tcPr>
                <w:p>
                  <w:pPr>
                    <w:spacing w:line="240" w:lineRule="auto"/>
                    <w:jc w:val="center"/>
                    <w:rPr>
                      <w:rFonts w:hint="default" w:ascii="Times New Roman" w:hAnsi="Times New Roman" w:cs="Times New Roman"/>
                      <w:b/>
                      <w:color w:val="auto"/>
                      <w:sz w:val="21"/>
                      <w:szCs w:val="21"/>
                      <w:lang w:bidi="ar"/>
                    </w:rPr>
                  </w:pPr>
                </w:p>
              </w:tc>
              <w:tc>
                <w:tcPr>
                  <w:tcW w:w="548" w:type="pct"/>
                  <w:vMerge w:val="continue"/>
                  <w:noWrap w:val="0"/>
                  <w:vAlign w:val="center"/>
                </w:tcPr>
                <w:p>
                  <w:pPr>
                    <w:spacing w:line="240" w:lineRule="auto"/>
                    <w:jc w:val="center"/>
                    <w:rPr>
                      <w:rFonts w:hint="default" w:ascii="Times New Roman" w:hAnsi="Times New Roman" w:cs="Times New Roman"/>
                      <w:b/>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bidi="ar"/>
                    </w:rPr>
                    <w:t>东厂界</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57.6</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45.5</w:t>
                  </w:r>
                </w:p>
              </w:tc>
              <w:tc>
                <w:tcPr>
                  <w:tcW w:w="578" w:type="pct"/>
                  <w:noWrap w:val="0"/>
                  <w:vAlign w:val="center"/>
                </w:tcPr>
                <w:p>
                  <w:pPr>
                    <w:spacing w:line="240" w:lineRule="auto"/>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bidi="zh-CN"/>
                    </w:rPr>
                    <w:t>27.3</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57.6</w:t>
                  </w:r>
                </w:p>
              </w:tc>
              <w:tc>
                <w:tcPr>
                  <w:tcW w:w="546" w:type="pct"/>
                  <w:noWrap w:val="0"/>
                  <w:vAlign w:val="center"/>
                </w:tcPr>
                <w:p>
                  <w:pPr>
                    <w:spacing w:line="240" w:lineRule="auto"/>
                    <w:jc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45.6</w:t>
                  </w:r>
                </w:p>
              </w:tc>
              <w:tc>
                <w:tcPr>
                  <w:tcW w:w="694" w:type="pct"/>
                  <w:vMerge w:val="restart"/>
                  <w:noWrap w:val="0"/>
                  <w:vAlign w:val="center"/>
                </w:tcPr>
                <w:p>
                  <w:pPr>
                    <w:adjustRightInd w:val="0"/>
                    <w:snapToGrid w:val="0"/>
                    <w:spacing w:line="240" w:lineRule="auto"/>
                    <w:jc w:val="center"/>
                    <w:rPr>
                      <w:rFonts w:hint="eastAsia"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bidi="ar"/>
                    </w:rPr>
                    <w:t>昼间</w:t>
                  </w:r>
                  <w:r>
                    <w:rPr>
                      <w:rFonts w:hint="eastAsia" w:ascii="Times New Roman" w:hAnsi="Times New Roman" w:cs="Times New Roman"/>
                      <w:bCs/>
                      <w:color w:val="auto"/>
                      <w:kern w:val="0"/>
                      <w:sz w:val="21"/>
                      <w:szCs w:val="21"/>
                      <w:lang w:val="en-US" w:eastAsia="zh-CN" w:bidi="ar"/>
                    </w:rPr>
                    <w:t>7</w:t>
                  </w:r>
                  <w:r>
                    <w:rPr>
                      <w:rFonts w:hint="default" w:ascii="Times New Roman" w:hAnsi="Times New Roman" w:cs="Times New Roman"/>
                      <w:bCs/>
                      <w:color w:val="auto"/>
                      <w:kern w:val="0"/>
                      <w:sz w:val="21"/>
                      <w:szCs w:val="21"/>
                      <w:lang w:bidi="ar"/>
                    </w:rPr>
                    <w:t>0，夜间5</w:t>
                  </w:r>
                  <w:r>
                    <w:rPr>
                      <w:rFonts w:hint="eastAsia" w:ascii="Times New Roman" w:hAnsi="Times New Roman" w:cs="Times New Roman"/>
                      <w:bCs/>
                      <w:color w:val="auto"/>
                      <w:kern w:val="0"/>
                      <w:sz w:val="21"/>
                      <w:szCs w:val="21"/>
                      <w:lang w:val="en-US" w:eastAsia="zh-CN" w:bidi="ar"/>
                    </w:rPr>
                    <w:t>5</w:t>
                  </w:r>
                </w:p>
              </w:tc>
              <w:tc>
                <w:tcPr>
                  <w:tcW w:w="548" w:type="pct"/>
                  <w:noWrap w:val="0"/>
                  <w:vAlign w:val="center"/>
                </w:tcPr>
                <w:p>
                  <w:pPr>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bidi="ar"/>
                    </w:rPr>
                    <w:t>南厂界</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57.4</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45.3</w:t>
                  </w:r>
                </w:p>
              </w:tc>
              <w:tc>
                <w:tcPr>
                  <w:tcW w:w="578" w:type="pc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bidi="zh-CN"/>
                    </w:rPr>
                    <w:t>34.5</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57.4</w:t>
                  </w:r>
                </w:p>
              </w:tc>
              <w:tc>
                <w:tcPr>
                  <w:tcW w:w="546" w:type="pct"/>
                  <w:noWrap w:val="0"/>
                  <w:vAlign w:val="center"/>
                </w:tcPr>
                <w:p>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45.7</w:t>
                  </w:r>
                </w:p>
              </w:tc>
              <w:tc>
                <w:tcPr>
                  <w:tcW w:w="694" w:type="pct"/>
                  <w:vMerge w:val="continue"/>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p>
              </w:tc>
              <w:tc>
                <w:tcPr>
                  <w:tcW w:w="548"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bidi="ar"/>
                    </w:rPr>
                    <w:t>西厂界</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58.1</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45.2</w:t>
                  </w:r>
                </w:p>
              </w:tc>
              <w:tc>
                <w:tcPr>
                  <w:tcW w:w="578" w:type="pc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bidi="zh-CN"/>
                    </w:rPr>
                    <w:t>37.1</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
                    </w:rPr>
                  </w:pPr>
                  <w:r>
                    <w:rPr>
                      <w:rFonts w:hint="eastAsia" w:cs="Times New Roman"/>
                      <w:bCs/>
                      <w:color w:val="auto"/>
                      <w:kern w:val="0"/>
                      <w:sz w:val="21"/>
                      <w:szCs w:val="21"/>
                      <w:lang w:val="en-US" w:eastAsia="zh-CN" w:bidi="ar"/>
                    </w:rPr>
                    <w:t>58.1</w:t>
                  </w:r>
                </w:p>
              </w:tc>
              <w:tc>
                <w:tcPr>
                  <w:tcW w:w="54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45.8</w:t>
                  </w:r>
                </w:p>
              </w:tc>
              <w:tc>
                <w:tcPr>
                  <w:tcW w:w="694" w:type="pct"/>
                  <w:vMerge w:val="continue"/>
                  <w:noWrap w:val="0"/>
                  <w:vAlign w:val="center"/>
                </w:tcPr>
                <w:p>
                  <w:pPr>
                    <w:spacing w:line="240" w:lineRule="auto"/>
                    <w:jc w:val="center"/>
                    <w:rPr>
                      <w:rFonts w:hint="default" w:ascii="Times New Roman" w:hAnsi="Times New Roman" w:cs="Times New Roman"/>
                      <w:color w:val="auto"/>
                      <w:sz w:val="21"/>
                      <w:szCs w:val="21"/>
                    </w:rPr>
                  </w:pPr>
                </w:p>
              </w:tc>
              <w:tc>
                <w:tcPr>
                  <w:tcW w:w="548"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bidi="ar"/>
                    </w:rPr>
                    <w:t>北厂界</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56.6</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44.7</w:t>
                  </w:r>
                </w:p>
              </w:tc>
              <w:tc>
                <w:tcPr>
                  <w:tcW w:w="578" w:type="pct"/>
                  <w:noWrap w:val="0"/>
                  <w:vAlign w:val="center"/>
                </w:tcPr>
                <w:p>
                  <w:pPr>
                    <w:adjustRightInd w:val="0"/>
                    <w:snapToGrid w:val="0"/>
                    <w:spacing w:line="240" w:lineRule="auto"/>
                    <w:jc w:val="center"/>
                    <w:rPr>
                      <w:rFonts w:hint="default" w:ascii="Times New Roman" w:hAnsi="Times New Roman" w:eastAsia="宋体" w:cs="Times New Roman"/>
                      <w:bCs/>
                      <w:color w:val="auto"/>
                      <w:sz w:val="21"/>
                      <w:szCs w:val="21"/>
                      <w:lang w:val="en-US" w:eastAsia="zh-CN" w:bidi="zh-CN"/>
                    </w:rPr>
                  </w:pPr>
                  <w:r>
                    <w:rPr>
                      <w:rFonts w:hint="eastAsia" w:cs="Times New Roman"/>
                      <w:bCs/>
                      <w:color w:val="auto"/>
                      <w:sz w:val="21"/>
                      <w:szCs w:val="21"/>
                      <w:lang w:val="en-US" w:eastAsia="zh-CN" w:bidi="zh-CN"/>
                    </w:rPr>
                    <w:t>30.2</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56.6</w:t>
                  </w:r>
                </w:p>
              </w:tc>
              <w:tc>
                <w:tcPr>
                  <w:tcW w:w="546" w:type="pct"/>
                  <w:noWrap w:val="0"/>
                  <w:vAlign w:val="center"/>
                </w:tcPr>
                <w:p>
                  <w:pPr>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44.8</w:t>
                  </w:r>
                </w:p>
              </w:tc>
              <w:tc>
                <w:tcPr>
                  <w:tcW w:w="694" w:type="pct"/>
                  <w:vMerge w:val="continue"/>
                  <w:noWrap w:val="0"/>
                  <w:vAlign w:val="center"/>
                </w:tcPr>
                <w:p>
                  <w:pPr>
                    <w:adjustRightInd w:val="0"/>
                    <w:snapToGrid w:val="0"/>
                    <w:spacing w:line="240" w:lineRule="auto"/>
                    <w:jc w:val="center"/>
                    <w:rPr>
                      <w:rFonts w:hint="default" w:ascii="Times New Roman" w:hAnsi="Times New Roman" w:cs="Times New Roman"/>
                      <w:bCs/>
                      <w:color w:val="auto"/>
                      <w:kern w:val="0"/>
                      <w:sz w:val="21"/>
                      <w:szCs w:val="21"/>
                    </w:rPr>
                  </w:pPr>
                </w:p>
              </w:tc>
              <w:tc>
                <w:tcPr>
                  <w:tcW w:w="548"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七里营供电所</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56.9</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w:t>
                  </w:r>
                </w:p>
              </w:tc>
              <w:tc>
                <w:tcPr>
                  <w:tcW w:w="57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29.8</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56.9</w:t>
                  </w:r>
                </w:p>
              </w:tc>
              <w:tc>
                <w:tcPr>
                  <w:tcW w:w="54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45.1</w:t>
                  </w:r>
                </w:p>
              </w:tc>
              <w:tc>
                <w:tcPr>
                  <w:tcW w:w="694"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lang w:bidi="ar"/>
                    </w:rPr>
                    <w:t>昼间60，夜间50</w:t>
                  </w:r>
                </w:p>
              </w:tc>
              <w:tc>
                <w:tcPr>
                  <w:tcW w:w="548"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02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智慧树幼儿园</w:t>
                  </w:r>
                </w:p>
              </w:tc>
              <w:tc>
                <w:tcPr>
                  <w:tcW w:w="53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51.4</w:t>
                  </w:r>
                </w:p>
              </w:tc>
              <w:tc>
                <w:tcPr>
                  <w:tcW w:w="51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40.8</w:t>
                  </w:r>
                </w:p>
              </w:tc>
              <w:tc>
                <w:tcPr>
                  <w:tcW w:w="57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20.3</w:t>
                  </w:r>
                </w:p>
              </w:tc>
              <w:tc>
                <w:tcPr>
                  <w:tcW w:w="56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51.4</w:t>
                  </w:r>
                </w:p>
              </w:tc>
              <w:tc>
                <w:tcPr>
                  <w:tcW w:w="54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40.8</w:t>
                  </w:r>
                </w:p>
              </w:tc>
              <w:tc>
                <w:tcPr>
                  <w:tcW w:w="69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kern w:val="0"/>
                      <w:sz w:val="21"/>
                      <w:szCs w:val="21"/>
                      <w:lang w:bidi="ar"/>
                    </w:rPr>
                    <w:t>昼间</w:t>
                  </w:r>
                  <w:r>
                    <w:rPr>
                      <w:rFonts w:hint="eastAsia" w:cs="Times New Roman"/>
                      <w:bCs/>
                      <w:color w:val="auto"/>
                      <w:kern w:val="0"/>
                      <w:sz w:val="21"/>
                      <w:szCs w:val="21"/>
                      <w:lang w:val="en-US" w:eastAsia="zh-CN" w:bidi="ar"/>
                    </w:rPr>
                    <w:t>55</w:t>
                  </w:r>
                  <w:r>
                    <w:rPr>
                      <w:rFonts w:hint="default" w:ascii="Times New Roman" w:hAnsi="Times New Roman" w:cs="Times New Roman"/>
                      <w:bCs/>
                      <w:color w:val="auto"/>
                      <w:kern w:val="0"/>
                      <w:sz w:val="21"/>
                      <w:szCs w:val="21"/>
                      <w:lang w:bidi="ar"/>
                    </w:rPr>
                    <w:t>，夜间</w:t>
                  </w:r>
                  <w:r>
                    <w:rPr>
                      <w:rFonts w:hint="eastAsia" w:cs="Times New Roman"/>
                      <w:bCs/>
                      <w:color w:val="auto"/>
                      <w:kern w:val="0"/>
                      <w:sz w:val="21"/>
                      <w:szCs w:val="21"/>
                      <w:lang w:val="en-US" w:eastAsia="zh-CN" w:bidi="ar"/>
                    </w:rPr>
                    <w:t>45</w:t>
                  </w:r>
                </w:p>
              </w:tc>
              <w:tc>
                <w:tcPr>
                  <w:tcW w:w="548" w:type="pct"/>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ar"/>
                    </w:rPr>
                    <w:t>达标</w:t>
                  </w:r>
                </w:p>
              </w:tc>
            </w:tr>
          </w:tbl>
          <w:p>
            <w:pPr>
              <w:pStyle w:val="71"/>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rPr>
              <w:t>由上表预测分析结果可知，本项目运营期间厂界噪声预测值满足</w:t>
            </w:r>
            <w:r>
              <w:rPr>
                <w:rFonts w:hint="default" w:ascii="Times New Roman" w:hAnsi="Times New Roman" w:cs="Times New Roman"/>
                <w:color w:val="auto"/>
                <w:sz w:val="24"/>
              </w:rPr>
              <w:t>《工业企业厂界环境噪声排放标准》（GB12348-2008）</w:t>
            </w:r>
            <w:r>
              <w:rPr>
                <w:rFonts w:hint="eastAsia" w:ascii="Times New Roman" w:hAnsi="Times New Roman" w:cs="Times New Roman"/>
                <w:color w:val="auto"/>
                <w:sz w:val="24"/>
                <w:lang w:eastAsia="zh-CN"/>
              </w:rPr>
              <w:t>4类</w:t>
            </w:r>
            <w:r>
              <w:rPr>
                <w:rFonts w:hint="default" w:ascii="Times New Roman" w:hAnsi="Times New Roman" w:cs="Times New Roman"/>
                <w:color w:val="auto"/>
                <w:sz w:val="24"/>
              </w:rPr>
              <w:t>标准要求（昼间≤</w:t>
            </w:r>
            <w:r>
              <w:rPr>
                <w:rFonts w:hint="eastAsia" w:ascii="Times New Roman" w:hAnsi="Times New Roman" w:cs="Times New Roman"/>
                <w:color w:val="auto"/>
                <w:sz w:val="24"/>
                <w:lang w:val="en-US" w:eastAsia="zh-CN"/>
              </w:rPr>
              <w:t>70</w:t>
            </w:r>
            <w:r>
              <w:rPr>
                <w:rFonts w:hint="default" w:ascii="Times New Roman" w:hAnsi="Times New Roman" w:cs="Times New Roman"/>
                <w:color w:val="auto"/>
                <w:sz w:val="24"/>
              </w:rPr>
              <w:t>dB(A)、夜间≤</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dB（A），</w:t>
            </w:r>
            <w:r>
              <w:rPr>
                <w:rFonts w:hint="eastAsia" w:ascii="Times New Roman" w:hAnsi="Times New Roman" w:cs="Times New Roman"/>
                <w:color w:val="auto"/>
                <w:sz w:val="24"/>
                <w:lang w:val="en-US" w:eastAsia="zh-CN"/>
              </w:rPr>
              <w:t>项目</w:t>
            </w:r>
            <w:r>
              <w:rPr>
                <w:rFonts w:hint="default" w:ascii="Times New Roman" w:hAnsi="Times New Roman" w:cs="Times New Roman"/>
                <w:color w:val="auto"/>
                <w:sz w:val="24"/>
              </w:rPr>
              <w:t>周边敏感点</w:t>
            </w:r>
            <w:r>
              <w:rPr>
                <w:rFonts w:hint="default" w:ascii="Times New Roman" w:hAnsi="Times New Roman" w:cs="Times New Roman"/>
                <w:color w:val="auto"/>
                <w:sz w:val="24"/>
                <w:lang w:val="en-US" w:eastAsia="zh-CN"/>
              </w:rPr>
              <w:t>七里营供电所</w:t>
            </w:r>
            <w:r>
              <w:rPr>
                <w:rFonts w:hint="default" w:ascii="Times New Roman" w:hAnsi="Times New Roman" w:cs="Times New Roman"/>
                <w:color w:val="auto"/>
                <w:sz w:val="24"/>
              </w:rPr>
              <w:t>噪声预测值满足《声环境质量标准》（GB3096-2008）2类标准要求（昼间≤</w:t>
            </w:r>
            <w:r>
              <w:rPr>
                <w:rFonts w:hint="eastAsia" w:ascii="Times New Roman" w:hAnsi="Times New Roman" w:cs="Times New Roman"/>
                <w:color w:val="auto"/>
                <w:sz w:val="24"/>
                <w:lang w:val="en-US" w:eastAsia="zh-CN"/>
              </w:rPr>
              <w:t>60</w:t>
            </w:r>
            <w:r>
              <w:rPr>
                <w:rFonts w:hint="default" w:ascii="Times New Roman" w:hAnsi="Times New Roman" w:cs="Times New Roman"/>
                <w:color w:val="auto"/>
                <w:sz w:val="24"/>
              </w:rPr>
              <w:t>dB(A)、夜间≤</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dB（A）），</w:t>
            </w:r>
            <w:r>
              <w:rPr>
                <w:rFonts w:hint="default" w:ascii="Times New Roman" w:hAnsi="Times New Roman" w:cs="Times New Roman"/>
                <w:color w:val="auto"/>
                <w:sz w:val="24"/>
                <w:lang w:val="en-US" w:eastAsia="zh-CN"/>
              </w:rPr>
              <w:t>智慧树幼儿园</w:t>
            </w:r>
            <w:r>
              <w:rPr>
                <w:rFonts w:hint="default" w:ascii="Times New Roman" w:hAnsi="Times New Roman" w:cs="Times New Roman"/>
                <w:color w:val="auto"/>
                <w:sz w:val="24"/>
              </w:rPr>
              <w:t>噪声预测值满足《声环境质量标准》（GB3096-2008）</w:t>
            </w:r>
            <w:r>
              <w:rPr>
                <w:rFonts w:hint="eastAsia" w:cs="Times New Roman"/>
                <w:color w:val="auto"/>
                <w:sz w:val="24"/>
                <w:lang w:val="en-US" w:eastAsia="zh-CN"/>
              </w:rPr>
              <w:t>1</w:t>
            </w:r>
            <w:r>
              <w:rPr>
                <w:rFonts w:hint="default" w:ascii="Times New Roman" w:hAnsi="Times New Roman" w:cs="Times New Roman"/>
                <w:color w:val="auto"/>
                <w:sz w:val="24"/>
              </w:rPr>
              <w:t>类标准要求（昼间≤</w:t>
            </w:r>
            <w:r>
              <w:rPr>
                <w:rFonts w:hint="eastAsia" w:cs="Times New Roman"/>
                <w:color w:val="auto"/>
                <w:sz w:val="24"/>
                <w:lang w:val="en-US" w:eastAsia="zh-CN"/>
              </w:rPr>
              <w:t>55</w:t>
            </w:r>
            <w:r>
              <w:rPr>
                <w:rFonts w:hint="default" w:ascii="Times New Roman" w:hAnsi="Times New Roman" w:cs="Times New Roman"/>
                <w:color w:val="auto"/>
                <w:sz w:val="24"/>
              </w:rPr>
              <w:t>dB(A)、夜间≤</w:t>
            </w:r>
            <w:r>
              <w:rPr>
                <w:rFonts w:hint="eastAsia" w:cs="Times New Roman"/>
                <w:color w:val="auto"/>
                <w:sz w:val="24"/>
                <w:lang w:val="en-US" w:eastAsia="zh-CN"/>
              </w:rPr>
              <w:t>45</w:t>
            </w:r>
            <w:r>
              <w:rPr>
                <w:rFonts w:hint="default" w:ascii="Times New Roman" w:hAnsi="Times New Roman" w:cs="Times New Roman"/>
                <w:color w:val="auto"/>
                <w:sz w:val="24"/>
              </w:rPr>
              <w:t>dB（A）），对周围声环境影响较小。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为进一步减轻本项目</w:t>
            </w:r>
            <w:r>
              <w:rPr>
                <w:rFonts w:hint="eastAsia" w:ascii="Times New Roman" w:hAnsi="Times New Roman" w:cs="Times New Roman"/>
                <w:color w:val="auto"/>
                <w:sz w:val="24"/>
                <w:szCs w:val="21"/>
                <w:lang w:val="en-US" w:eastAsia="zh-CN"/>
              </w:rPr>
              <w:t>运营</w:t>
            </w:r>
            <w:r>
              <w:rPr>
                <w:rFonts w:hint="default" w:ascii="Times New Roman" w:hAnsi="Times New Roman" w:cs="Times New Roman"/>
                <w:color w:val="auto"/>
                <w:sz w:val="24"/>
                <w:szCs w:val="21"/>
              </w:rPr>
              <w:t>过程中对周</w:t>
            </w:r>
            <w:r>
              <w:rPr>
                <w:rFonts w:hint="eastAsia" w:ascii="Times New Roman" w:hAnsi="Times New Roman" w:cs="Times New Roman"/>
                <w:color w:val="auto"/>
                <w:sz w:val="24"/>
                <w:szCs w:val="21"/>
                <w:lang w:val="en-US" w:eastAsia="zh-CN"/>
              </w:rPr>
              <w:t>围</w:t>
            </w:r>
            <w:r>
              <w:rPr>
                <w:rFonts w:hint="default" w:ascii="Times New Roman" w:hAnsi="Times New Roman" w:cs="Times New Roman"/>
                <w:color w:val="auto"/>
                <w:sz w:val="24"/>
                <w:szCs w:val="21"/>
              </w:rPr>
              <w:t>环境的影响，</w:t>
            </w:r>
            <w:r>
              <w:rPr>
                <w:rFonts w:hint="eastAsia" w:ascii="Times New Roman" w:hAnsi="Times New Roman" w:cs="Times New Roman"/>
                <w:color w:val="auto"/>
                <w:sz w:val="24"/>
                <w:szCs w:val="21"/>
                <w:lang w:val="en-US" w:eastAsia="zh-CN"/>
              </w:rPr>
              <w:t>建议本加油站</w:t>
            </w:r>
            <w:r>
              <w:rPr>
                <w:rFonts w:hint="default" w:ascii="Times New Roman" w:hAnsi="Times New Roman" w:cs="Times New Roman"/>
                <w:color w:val="auto"/>
                <w:sz w:val="24"/>
                <w:szCs w:val="21"/>
              </w:rPr>
              <w:t>应采取以下措施：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①在设备选型时优先选择高效、低噪声的设备，做好设备的安装调试，同时加强营运期间对各种机械的维修保养，保持其良好的运行效果</w:t>
            </w:r>
            <w:r>
              <w:rPr>
                <w:rFonts w:hint="eastAsia" w:ascii="Times New Roman" w:hAnsi="Times New Roman" w:cs="Times New Roman"/>
                <w:color w:val="auto"/>
                <w:sz w:val="24"/>
                <w:szCs w:val="21"/>
                <w:lang w:eastAsia="zh-CN"/>
              </w:rPr>
              <w:t>，</w:t>
            </w:r>
            <w:r>
              <w:rPr>
                <w:rFonts w:hint="default" w:ascii="Times New Roman" w:hAnsi="Times New Roman" w:cs="Times New Roman"/>
                <w:color w:val="auto"/>
                <w:sz w:val="24"/>
                <w:szCs w:val="21"/>
              </w:rPr>
              <w:t>避免设备不正常运转产生的高噪声。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②控制车辆车速，禁止车辆在站区内紧急刹车或高速启动驶离加油岛，车辆在加油站内出入口处设立减速慢行标识牌及禁止鸣笛标志。</w:t>
            </w:r>
          </w:p>
          <w:p>
            <w:pPr>
              <w:keepNext w:val="0"/>
              <w:keepLines w:val="0"/>
              <w:pageBreakBefore w:val="0"/>
              <w:kinsoku/>
              <w:wordWrap/>
              <w:overflowPunct/>
              <w:topLinePunct w:val="0"/>
              <w:bidi w:val="0"/>
              <w:adjustRightInd/>
              <w:snapToGrid/>
              <w:spacing w:line="480" w:lineRule="exact"/>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4、监测要求</w:t>
            </w:r>
          </w:p>
          <w:p>
            <w:pPr>
              <w:keepNext w:val="0"/>
              <w:keepLines w:val="0"/>
              <w:pageBreakBefore w:val="0"/>
              <w:kinsoku/>
              <w:wordWrap/>
              <w:overflowPunct/>
              <w:topLinePunct w:val="0"/>
              <w:bidi w:val="0"/>
              <w:adjustRightInd/>
              <w:snapToGrid/>
              <w:spacing w:line="480" w:lineRule="exact"/>
              <w:ind w:firstLine="480" w:firstLineChars="200"/>
              <w:textAlignment w:val="auto"/>
              <w:rPr>
                <w:rFonts w:hint="eastAsia" w:ascii="黑体" w:hAnsi="黑体" w:eastAsia="黑体" w:cs="黑体"/>
                <w:color w:val="auto"/>
                <w:sz w:val="24"/>
                <w:szCs w:val="22"/>
              </w:rPr>
            </w:pPr>
            <w:r>
              <w:rPr>
                <w:rFonts w:hint="default" w:ascii="Times New Roman" w:hAnsi="Times New Roman" w:cs="Times New Roman"/>
                <w:color w:val="auto"/>
                <w:sz w:val="24"/>
              </w:rPr>
              <w:t>根据《排污许可证申请与核发技术规范加油站、储油库》（HJ 1118-2020</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及</w:t>
            </w:r>
            <w:r>
              <w:rPr>
                <w:rFonts w:hint="default" w:ascii="Times New Roman" w:hAnsi="Times New Roman" w:cs="Times New Roman"/>
                <w:color w:val="auto"/>
                <w:sz w:val="24"/>
              </w:rPr>
              <w:t>《排污</w:t>
            </w:r>
            <w:r>
              <w:rPr>
                <w:rFonts w:hint="eastAsia" w:ascii="Times New Roman" w:hAnsi="Times New Roman" w:cs="Times New Roman"/>
                <w:color w:val="auto"/>
                <w:sz w:val="24"/>
                <w:lang w:val="en-US" w:eastAsia="zh-CN"/>
              </w:rPr>
              <w:t>单位自行监测技术指南  总则</w:t>
            </w:r>
            <w:r>
              <w:rPr>
                <w:rFonts w:hint="default" w:ascii="Times New Roman" w:hAnsi="Times New Roman" w:cs="Times New Roman"/>
                <w:color w:val="auto"/>
                <w:sz w:val="24"/>
              </w:rPr>
              <w:t>》（HJ</w:t>
            </w:r>
            <w:r>
              <w:rPr>
                <w:rFonts w:hint="eastAsia" w:ascii="Times New Roman" w:hAnsi="Times New Roman" w:cs="Times New Roman"/>
                <w:color w:val="auto"/>
                <w:sz w:val="24"/>
                <w:lang w:val="en-US" w:eastAsia="zh-CN"/>
              </w:rPr>
              <w:t>819</w:t>
            </w: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17</w:t>
            </w:r>
            <w:r>
              <w:rPr>
                <w:rFonts w:hint="default" w:ascii="Times New Roman" w:hAnsi="Times New Roman" w:cs="Times New Roman"/>
                <w:color w:val="auto"/>
                <w:sz w:val="24"/>
              </w:rPr>
              <w:t>）提出</w:t>
            </w: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项目在生产运行阶段的</w:t>
            </w:r>
            <w:r>
              <w:rPr>
                <w:rFonts w:hint="eastAsia" w:ascii="Times New Roman" w:hAnsi="Times New Roman" w:cs="Times New Roman"/>
                <w:color w:val="auto"/>
                <w:sz w:val="24"/>
                <w:lang w:val="en-US" w:eastAsia="zh-CN"/>
              </w:rPr>
              <w:t>噪声</w:t>
            </w:r>
            <w:r>
              <w:rPr>
                <w:rFonts w:hint="default" w:ascii="Times New Roman" w:hAnsi="Times New Roman" w:cs="Times New Roman"/>
                <w:color w:val="auto"/>
                <w:sz w:val="24"/>
              </w:rPr>
              <w:t>污染源监测计划，具体监测</w:t>
            </w:r>
            <w:r>
              <w:rPr>
                <w:rFonts w:hint="eastAsia" w:ascii="Times New Roman" w:hAnsi="Times New Roman" w:cs="Times New Roman"/>
                <w:color w:val="auto"/>
                <w:sz w:val="24"/>
                <w:lang w:val="en-US" w:eastAsia="zh-CN"/>
              </w:rPr>
              <w:t>内容</w:t>
            </w:r>
            <w:r>
              <w:rPr>
                <w:rFonts w:hint="default" w:ascii="Times New Roman" w:hAnsi="Times New Roman" w:cs="Times New Roman"/>
                <w:color w:val="auto"/>
                <w:sz w:val="24"/>
              </w:rPr>
              <w:t>见</w:t>
            </w:r>
            <w:r>
              <w:rPr>
                <w:rFonts w:hint="eastAsia" w:ascii="Times New Roman" w:hAnsi="Times New Roman" w:cs="Times New Roman"/>
                <w:color w:val="auto"/>
                <w:sz w:val="24"/>
                <w:lang w:val="en-US" w:eastAsia="zh-CN"/>
              </w:rPr>
              <w:t>下表</w:t>
            </w:r>
            <w:r>
              <w:rPr>
                <w:rFonts w:hint="default" w:ascii="Times New Roman" w:hAnsi="Times New Roman" w:cs="Times New Roman"/>
                <w:color w:val="auto"/>
                <w:sz w:val="24"/>
              </w:rPr>
              <w:t>。</w:t>
            </w:r>
          </w:p>
          <w:p>
            <w:pPr>
              <w:pStyle w:val="9"/>
              <w:bidi w:val="0"/>
              <w:rPr>
                <w:rFonts w:hint="default"/>
                <w:lang w:val="en-US"/>
              </w:rPr>
            </w:pPr>
            <w:r>
              <w:rPr>
                <w:rFonts w:hint="eastAsia"/>
                <w:lang w:val="en-US" w:eastAsia="zh-CN"/>
              </w:rPr>
              <w:t>噪声污染源监测内容一览表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09"/>
              <w:gridCol w:w="1619"/>
              <w:gridCol w:w="1383"/>
              <w:gridCol w:w="1026"/>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16"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污染物产生环节</w:t>
                  </w:r>
                </w:p>
              </w:tc>
              <w:tc>
                <w:tcPr>
                  <w:tcW w:w="1633"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39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03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3311"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16"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633"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厂界四周</w:t>
                  </w:r>
                </w:p>
              </w:tc>
              <w:tc>
                <w:tcPr>
                  <w:tcW w:w="139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035"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次/</w:t>
                  </w:r>
                  <w:r>
                    <w:rPr>
                      <w:rFonts w:hint="eastAsia" w:ascii="Times New Roman" w:hAnsi="Times New Roman" w:cs="Times New Roman" w:eastAsiaTheme="minorEastAsia"/>
                      <w:color w:val="auto"/>
                      <w:sz w:val="21"/>
                      <w:szCs w:val="21"/>
                      <w:lang w:val="en-US" w:eastAsia="zh-CN"/>
                    </w:rPr>
                    <w:t>季度</w:t>
                  </w:r>
                </w:p>
              </w:tc>
              <w:tc>
                <w:tcPr>
                  <w:tcW w:w="3311" w:type="dxa"/>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《工业企业厂界环境噪声排放标准》（GB 12348-2008）</w:t>
                  </w:r>
                  <w:r>
                    <w:rPr>
                      <w:rFonts w:hint="eastAsia" w:ascii="Times New Roman" w:hAnsi="Times New Roman" w:cs="Times New Roman"/>
                      <w:color w:val="auto"/>
                      <w:sz w:val="21"/>
                      <w:szCs w:val="21"/>
                      <w:lang w:val="en-US" w:eastAsia="zh-CN"/>
                    </w:rPr>
                    <w:t>4类标准</w:t>
                  </w:r>
                </w:p>
              </w:tc>
            </w:tr>
          </w:tbl>
          <w:p>
            <w:pPr>
              <w:keepNext w:val="0"/>
              <w:keepLines w:val="0"/>
              <w:pageBreakBefore w:val="0"/>
              <w:widowControl w:val="0"/>
              <w:kinsoku/>
              <w:wordWrap/>
              <w:overflowPunct/>
              <w:topLinePunct w:val="0"/>
              <w:bidi w:val="0"/>
              <w:adjustRightInd w:val="0"/>
              <w:snapToGrid w:val="0"/>
              <w:spacing w:line="520" w:lineRule="exact"/>
              <w:ind w:firstLine="482" w:firstLineChars="200"/>
              <w:textAlignment w:val="auto"/>
              <w:rPr>
                <w:bCs/>
                <w:color w:val="auto"/>
                <w:spacing w:val="-10"/>
                <w:sz w:val="24"/>
              </w:rPr>
            </w:pPr>
            <w:r>
              <w:rPr>
                <w:b/>
                <w:color w:val="auto"/>
                <w:sz w:val="24"/>
              </w:rPr>
              <w:t>四、固废</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固体废物产生环节</w:t>
            </w:r>
          </w:p>
          <w:p>
            <w:pPr>
              <w:keepNext w:val="0"/>
              <w:keepLines w:val="0"/>
              <w:pageBreakBefore w:val="0"/>
              <w:widowControl w:val="0"/>
              <w:kinsoku/>
              <w:wordWrap/>
              <w:overflowPunct/>
              <w:topLinePunct w:val="0"/>
              <w:autoSpaceDE w:val="0"/>
              <w:autoSpaceDN w:val="0"/>
              <w:bidi w:val="0"/>
              <w:adjustRightInd/>
              <w:snapToGrid/>
              <w:spacing w:line="520" w:lineRule="exact"/>
              <w:ind w:leftChars="0" w:right="0" w:firstLine="480" w:firstLineChars="200"/>
              <w:jc w:val="left"/>
              <w:textAlignment w:val="auto"/>
              <w:rPr>
                <w:rFonts w:hint="default" w:ascii="Times New Roman" w:hAnsi="Times New Roman" w:cs="Times New Roman"/>
                <w:color w:val="auto"/>
                <w:kern w:val="0"/>
                <w:sz w:val="24"/>
                <w:szCs w:val="24"/>
                <w:highlight w:val="none"/>
                <w:lang w:bidi="ar"/>
              </w:rPr>
            </w:pPr>
            <w:r>
              <w:rPr>
                <w:rFonts w:hint="eastAsia" w:cs="Times New Roman"/>
                <w:color w:val="auto"/>
                <w:kern w:val="0"/>
                <w:sz w:val="24"/>
                <w:szCs w:val="24"/>
                <w:highlight w:val="none"/>
                <w:lang w:eastAsia="zh-CN" w:bidi="ar"/>
              </w:rPr>
              <w:t>扩建新增</w:t>
            </w:r>
            <w:r>
              <w:rPr>
                <w:rFonts w:hint="default" w:ascii="Times New Roman" w:hAnsi="Times New Roman" w:eastAsia="宋体" w:cs="Times New Roman"/>
                <w:color w:val="auto"/>
                <w:kern w:val="0"/>
                <w:sz w:val="24"/>
                <w:szCs w:val="24"/>
                <w:highlight w:val="none"/>
                <w:lang w:bidi="ar"/>
              </w:rPr>
              <w:t>固体废物主要为危险废物，主要来源于油罐清洗时产生的油泥</w:t>
            </w:r>
            <w:r>
              <w:rPr>
                <w:rFonts w:hint="eastAsia" w:cs="Times New Roman"/>
                <w:color w:val="auto"/>
                <w:kern w:val="0"/>
                <w:sz w:val="24"/>
                <w:szCs w:val="24"/>
                <w:highlight w:val="none"/>
                <w:lang w:val="en-US" w:eastAsia="zh-CN" w:bidi="ar"/>
              </w:rPr>
              <w:t>和油罐清洗废水</w:t>
            </w:r>
            <w:r>
              <w:rPr>
                <w:rFonts w:hint="default" w:ascii="Times New Roman" w:hAnsi="Times New Roman" w:eastAsia="宋体" w:cs="Times New Roman"/>
                <w:color w:val="auto"/>
                <w:kern w:val="0"/>
                <w:sz w:val="24"/>
                <w:szCs w:val="24"/>
                <w:highlight w:val="none"/>
                <w:lang w:bidi="ar"/>
              </w:rPr>
              <w:t>。</w:t>
            </w:r>
          </w:p>
          <w:p>
            <w:pPr>
              <w:keepNext w:val="0"/>
              <w:keepLines w:val="0"/>
              <w:pageBreakBefore w:val="0"/>
              <w:widowControl w:val="0"/>
              <w:kinsoku/>
              <w:wordWrap/>
              <w:overflowPunct/>
              <w:topLinePunct w:val="0"/>
              <w:autoSpaceDE w:val="0"/>
              <w:autoSpaceDN w:val="0"/>
              <w:bidi w:val="0"/>
              <w:adjustRightInd/>
              <w:snapToGrid/>
              <w:spacing w:line="520" w:lineRule="exact"/>
              <w:ind w:leftChars="0" w:right="0" w:firstLine="496" w:firstLineChars="200"/>
              <w:textAlignment w:val="auto"/>
              <w:rPr>
                <w:rFonts w:hint="eastAsia" w:ascii="Times New Roman" w:hAnsi="Times New Roman" w:cs="Times New Roman"/>
                <w:color w:val="auto"/>
                <w:spacing w:val="4"/>
                <w:sz w:val="24"/>
                <w:szCs w:val="24"/>
                <w:highlight w:val="none"/>
                <w:lang w:val="en-US" w:eastAsia="zh-CN"/>
              </w:rPr>
            </w:pPr>
            <w:r>
              <w:rPr>
                <w:rFonts w:hint="eastAsia" w:ascii="Times New Roman" w:hAnsi="Times New Roman" w:cs="Times New Roman"/>
                <w:color w:val="auto"/>
                <w:spacing w:val="4"/>
                <w:sz w:val="24"/>
                <w:szCs w:val="24"/>
                <w:highlight w:val="none"/>
                <w:lang w:val="en-US" w:eastAsia="zh-CN"/>
              </w:rPr>
              <w:t>项目油罐在使用一段时间后，原油中的杂质就会沉积在罐底和罐壁上，使油罐有效容量减少，影响油罐的使用效率，因此油罐需要定期检查维修和清洗清除罐内油泥。本项目油罐每两年清理一次，清理油泥约0.</w:t>
            </w:r>
            <w:r>
              <w:rPr>
                <w:rFonts w:hint="eastAsia" w:cs="Times New Roman"/>
                <w:color w:val="auto"/>
                <w:spacing w:val="4"/>
                <w:sz w:val="24"/>
                <w:szCs w:val="24"/>
                <w:highlight w:val="none"/>
                <w:lang w:val="en-US" w:eastAsia="zh-CN"/>
              </w:rPr>
              <w:t>11</w:t>
            </w:r>
            <w:r>
              <w:rPr>
                <w:rFonts w:hint="eastAsia" w:ascii="Times New Roman" w:hAnsi="Times New Roman" w:cs="Times New Roman"/>
                <w:color w:val="auto"/>
                <w:spacing w:val="4"/>
                <w:sz w:val="24"/>
                <w:szCs w:val="24"/>
                <w:highlight w:val="none"/>
                <w:lang w:val="en-US" w:eastAsia="zh-CN"/>
              </w:rPr>
              <w:t>t/次，清洗废水约</w:t>
            </w:r>
            <w:r>
              <w:rPr>
                <w:rFonts w:hint="eastAsia" w:cs="Times New Roman"/>
                <w:color w:val="auto"/>
                <w:spacing w:val="4"/>
                <w:sz w:val="24"/>
                <w:szCs w:val="24"/>
                <w:highlight w:val="none"/>
                <w:lang w:val="en-US" w:eastAsia="zh-CN"/>
              </w:rPr>
              <w:t>1.68</w:t>
            </w:r>
            <w:r>
              <w:rPr>
                <w:rFonts w:hint="eastAsia" w:ascii="Times New Roman" w:hAnsi="Times New Roman" w:cs="Times New Roman"/>
                <w:color w:val="auto"/>
                <w:spacing w:val="4"/>
                <w:sz w:val="24"/>
                <w:szCs w:val="24"/>
                <w:highlight w:val="none"/>
                <w:lang w:val="en-US" w:eastAsia="zh-CN"/>
              </w:rPr>
              <w:t>t/次，则油泥产生量为0.</w:t>
            </w:r>
            <w:r>
              <w:rPr>
                <w:rFonts w:hint="eastAsia" w:cs="Times New Roman"/>
                <w:color w:val="auto"/>
                <w:spacing w:val="4"/>
                <w:sz w:val="24"/>
                <w:szCs w:val="24"/>
                <w:highlight w:val="none"/>
                <w:lang w:val="en-US" w:eastAsia="zh-CN"/>
              </w:rPr>
              <w:t>055</w:t>
            </w:r>
            <w:r>
              <w:rPr>
                <w:rFonts w:hint="eastAsia" w:ascii="Times New Roman" w:hAnsi="Times New Roman" w:cs="Times New Roman"/>
                <w:color w:val="auto"/>
                <w:spacing w:val="4"/>
                <w:sz w:val="24"/>
                <w:szCs w:val="24"/>
                <w:highlight w:val="none"/>
                <w:lang w:val="en-US" w:eastAsia="zh-CN"/>
              </w:rPr>
              <w:t>t/a、油水烃混合物为</w:t>
            </w:r>
            <w:r>
              <w:rPr>
                <w:rFonts w:hint="eastAsia" w:cs="Times New Roman"/>
                <w:color w:val="auto"/>
                <w:spacing w:val="4"/>
                <w:sz w:val="24"/>
                <w:szCs w:val="24"/>
                <w:highlight w:val="none"/>
                <w:lang w:val="en-US" w:eastAsia="zh-CN"/>
              </w:rPr>
              <w:t>0.84</w:t>
            </w:r>
            <w:r>
              <w:rPr>
                <w:rFonts w:hint="eastAsia" w:ascii="Times New Roman" w:hAnsi="Times New Roman" w:cs="Times New Roman"/>
                <w:color w:val="auto"/>
                <w:spacing w:val="4"/>
                <w:sz w:val="24"/>
                <w:szCs w:val="24"/>
                <w:highlight w:val="none"/>
                <w:lang w:val="en-US" w:eastAsia="zh-CN"/>
              </w:rPr>
              <w:t>t/a。经查《国家危险废物名录》（2021 版），油泥危废代码为“HW08/非特定行业900-221-08废燃料油及燃料油储存过程中产生的油泥”；油水烃混合物危废代码为“HW09/非特定行业900-007-09其他工艺过程中产生的油/水、烃/水混合物或乳化液”。</w:t>
            </w:r>
          </w:p>
          <w:p>
            <w:pPr>
              <w:pStyle w:val="35"/>
              <w:keepNext w:val="0"/>
              <w:keepLines w:val="0"/>
              <w:pageBreakBefore w:val="0"/>
              <w:widowControl w:val="0"/>
              <w:kinsoku/>
              <w:wordWrap w:val="0"/>
              <w:overflowPunct/>
              <w:topLinePunct w:val="0"/>
              <w:autoSpaceDE w:val="0"/>
              <w:autoSpaceDN w:val="0"/>
              <w:bidi w:val="0"/>
              <w:adjustRightInd/>
              <w:snapToGrid/>
              <w:spacing w:line="490" w:lineRule="exact"/>
              <w:ind w:leftChars="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项目固废产生及处理情况见表</w:t>
            </w:r>
            <w:r>
              <w:rPr>
                <w:rFonts w:hint="eastAsia" w:ascii="Times New Roman" w:cs="Times New Roman"/>
                <w:color w:val="auto"/>
                <w:kern w:val="0"/>
                <w:sz w:val="24"/>
                <w:szCs w:val="24"/>
                <w:lang w:val="en-US" w:eastAsia="zh-CN" w:bidi="ar-SA"/>
              </w:rPr>
              <w:t>34</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危险废物汇总一览表见表</w:t>
            </w:r>
            <w:r>
              <w:rPr>
                <w:rFonts w:hint="eastAsia" w:ascii="Times New Roman" w:cs="Times New Roman"/>
                <w:color w:val="auto"/>
                <w:kern w:val="0"/>
                <w:sz w:val="24"/>
                <w:szCs w:val="24"/>
                <w:lang w:val="en-US" w:eastAsia="zh-CN" w:bidi="ar-SA"/>
              </w:rPr>
              <w:t>35</w:t>
            </w:r>
            <w:r>
              <w:rPr>
                <w:rFonts w:hint="default" w:ascii="Times New Roman" w:hAnsi="Times New Roman" w:eastAsia="宋体" w:cs="Times New Roman"/>
                <w:color w:val="auto"/>
                <w:kern w:val="0"/>
                <w:sz w:val="24"/>
                <w:szCs w:val="24"/>
                <w:lang w:val="en-US" w:eastAsia="zh-CN" w:bidi="ar-SA"/>
              </w:rPr>
              <w:t>。</w:t>
            </w:r>
          </w:p>
          <w:p>
            <w:pPr>
              <w:pStyle w:val="9"/>
              <w:bidi w:val="0"/>
              <w:rPr>
                <w:rFonts w:hint="eastAsia"/>
                <w:lang w:val="en-US" w:eastAsia="zh-CN"/>
              </w:rPr>
            </w:pPr>
            <w:r>
              <w:rPr>
                <w:rFonts w:hint="eastAsia"/>
                <w:lang w:val="en-US" w:eastAsia="zh-CN"/>
              </w:rPr>
              <w:t>项目扩建后固体废物产生及处置措施一览表</w:t>
            </w:r>
          </w:p>
          <w:tbl>
            <w:tblPr>
              <w:tblStyle w:val="25"/>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357"/>
              <w:gridCol w:w="1799"/>
              <w:gridCol w:w="1510"/>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3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110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b/>
                      <w:bCs/>
                      <w:color w:val="auto"/>
                      <w:sz w:val="21"/>
                      <w:szCs w:val="21"/>
                      <w:vertAlign w:val="subscript"/>
                    </w:rPr>
                  </w:pPr>
                  <w:r>
                    <w:rPr>
                      <w:rFonts w:hint="default" w:ascii="Times New Roman" w:hAnsi="Times New Roman" w:cs="Times New Roman"/>
                      <w:b/>
                      <w:bCs/>
                      <w:color w:val="auto"/>
                      <w:sz w:val="21"/>
                      <w:szCs w:val="21"/>
                    </w:rPr>
                    <w:t>类别及代码</w:t>
                  </w:r>
                </w:p>
              </w:tc>
              <w:tc>
                <w:tcPr>
                  <w:tcW w:w="925"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扩建后全站产生量</w:t>
                  </w:r>
                </w:p>
              </w:tc>
              <w:tc>
                <w:tcPr>
                  <w:tcW w:w="1658"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81" w:type="pc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8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储油罐</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油泥</w:t>
                  </w:r>
                </w:p>
              </w:tc>
              <w:tc>
                <w:tcPr>
                  <w:tcW w:w="11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900-221-08</w:t>
                  </w:r>
                </w:p>
              </w:tc>
              <w:tc>
                <w:tcPr>
                  <w:tcW w:w="9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0.055t/a</w:t>
                  </w:r>
                </w:p>
              </w:tc>
              <w:tc>
                <w:tcPr>
                  <w:tcW w:w="1658" w:type="pct"/>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存放在密闭容器中，暂存</w:t>
                  </w:r>
                  <w:r>
                    <w:rPr>
                      <w:rFonts w:hint="default" w:ascii="Times New Roman" w:hAnsi="Times New Roman" w:cs="Times New Roman"/>
                      <w:color w:val="auto"/>
                      <w:sz w:val="21"/>
                      <w:szCs w:val="21"/>
                      <w:lang w:val="en-US" w:eastAsia="zh-CN"/>
                    </w:rPr>
                    <w:t>在危废间，交由有资质的单位进行处置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81" w:type="pc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83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000000"/>
                      <w:sz w:val="21"/>
                      <w:szCs w:val="21"/>
                      <w:lang w:val="en-US" w:eastAsia="zh-CN"/>
                    </w:rPr>
                    <w:t>油水烃混合物</w:t>
                  </w:r>
                </w:p>
              </w:tc>
              <w:tc>
                <w:tcPr>
                  <w:tcW w:w="110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09</w:t>
                  </w:r>
                  <w:r>
                    <w:rPr>
                      <w:rFonts w:hint="default" w:ascii="Times New Roman" w:hAnsi="Times New Roman" w:cs="Times New Roman"/>
                      <w:color w:val="auto"/>
                      <w:sz w:val="21"/>
                      <w:szCs w:val="21"/>
                    </w:rPr>
                    <w:t xml:space="preserve"> </w:t>
                  </w:r>
                  <w:r>
                    <w:rPr>
                      <w:color w:val="000000"/>
                      <w:kern w:val="0"/>
                      <w:sz w:val="21"/>
                      <w:szCs w:val="21"/>
                      <w:lang w:bidi="ar"/>
                    </w:rPr>
                    <w:t>900-</w:t>
                  </w:r>
                  <w:r>
                    <w:rPr>
                      <w:rFonts w:hint="eastAsia"/>
                      <w:color w:val="000000"/>
                      <w:kern w:val="0"/>
                      <w:sz w:val="21"/>
                      <w:szCs w:val="21"/>
                      <w:lang w:val="en-US" w:eastAsia="zh-CN" w:bidi="ar"/>
                    </w:rPr>
                    <w:t>007</w:t>
                  </w:r>
                  <w:r>
                    <w:rPr>
                      <w:color w:val="000000"/>
                      <w:kern w:val="0"/>
                      <w:sz w:val="21"/>
                      <w:szCs w:val="21"/>
                      <w:lang w:bidi="ar"/>
                    </w:rPr>
                    <w:t>-0</w:t>
                  </w:r>
                  <w:r>
                    <w:rPr>
                      <w:rFonts w:hint="eastAsia"/>
                      <w:color w:val="000000"/>
                      <w:kern w:val="0"/>
                      <w:sz w:val="21"/>
                      <w:szCs w:val="21"/>
                      <w:lang w:val="en-US" w:eastAsia="zh-CN" w:bidi="ar"/>
                    </w:rPr>
                    <w:t>9</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pacing w:val="4"/>
                      <w:sz w:val="21"/>
                      <w:szCs w:val="21"/>
                      <w:highlight w:val="none"/>
                      <w:lang w:val="en-US" w:eastAsia="zh-CN"/>
                    </w:rPr>
                    <w:t>0.84</w:t>
                  </w:r>
                  <w:r>
                    <w:rPr>
                      <w:rFonts w:hint="eastAsia" w:ascii="Times New Roman" w:hAnsi="Times New Roman" w:cs="Times New Roman"/>
                      <w:color w:val="auto"/>
                      <w:spacing w:val="4"/>
                      <w:sz w:val="21"/>
                      <w:szCs w:val="21"/>
                      <w:highlight w:val="none"/>
                      <w:lang w:val="en-US" w:eastAsia="zh-CN"/>
                    </w:rPr>
                    <w:t>t/a</w:t>
                  </w:r>
                </w:p>
              </w:tc>
              <w:tc>
                <w:tcPr>
                  <w:tcW w:w="1658"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p>
              </w:tc>
            </w:tr>
          </w:tbl>
          <w:p>
            <w:pPr>
              <w:pStyle w:val="9"/>
              <w:bidi w:val="0"/>
              <w:rPr>
                <w:rFonts w:hint="default"/>
                <w:lang w:val="en-US" w:eastAsia="zh-CN"/>
              </w:rPr>
            </w:pPr>
            <w:r>
              <w:rPr>
                <w:rFonts w:hint="eastAsia"/>
                <w:lang w:val="en-US" w:eastAsia="zh-CN"/>
              </w:rPr>
              <w:t>扩建后全站</w:t>
            </w:r>
            <w:r>
              <w:rPr>
                <w:rFonts w:hint="default"/>
                <w:lang w:val="en-US" w:eastAsia="zh-CN"/>
              </w:rPr>
              <w:t>危险废物</w:t>
            </w:r>
            <w:r>
              <w:rPr>
                <w:rFonts w:hint="eastAsia"/>
                <w:lang w:val="en-US" w:eastAsia="zh-CN"/>
              </w:rPr>
              <w:t>分类及危害</w:t>
            </w:r>
            <w:r>
              <w:rPr>
                <w:rFonts w:hint="default"/>
                <w:lang w:val="en-US" w:eastAsia="zh-CN"/>
              </w:rPr>
              <w:t>汇总</w:t>
            </w:r>
            <w:r>
              <w:rPr>
                <w:rFonts w:hint="eastAsia"/>
                <w:lang w:val="en-US" w:eastAsia="zh-CN"/>
              </w:rPr>
              <w:t>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078"/>
              <w:gridCol w:w="1465"/>
              <w:gridCol w:w="877"/>
              <w:gridCol w:w="999"/>
              <w:gridCol w:w="773"/>
              <w:gridCol w:w="660"/>
              <w:gridCol w:w="68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22"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危险废物名称</w:t>
                  </w:r>
                </w:p>
              </w:tc>
              <w:tc>
                <w:tcPr>
                  <w:tcW w:w="655"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危险废物类别</w:t>
                  </w:r>
                </w:p>
              </w:tc>
              <w:tc>
                <w:tcPr>
                  <w:tcW w:w="891"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w:t>
                  </w:r>
                </w:p>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代码</w:t>
                  </w:r>
                </w:p>
              </w:tc>
              <w:tc>
                <w:tcPr>
                  <w:tcW w:w="533"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pacing w:val="-10"/>
                      <w:sz w:val="21"/>
                      <w:szCs w:val="21"/>
                      <w:highlight w:val="none"/>
                    </w:rPr>
                  </w:pPr>
                  <w:r>
                    <w:rPr>
                      <w:rFonts w:ascii="Times New Roman" w:hAnsi="Times New Roman"/>
                      <w:b/>
                      <w:bCs/>
                      <w:color w:val="auto"/>
                      <w:sz w:val="21"/>
                      <w:szCs w:val="21"/>
                      <w:highlight w:val="none"/>
                    </w:rPr>
                    <w:t>产生量</w:t>
                  </w:r>
                </w:p>
              </w:tc>
              <w:tc>
                <w:tcPr>
                  <w:tcW w:w="607"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产生工序及装置</w:t>
                  </w:r>
                </w:p>
              </w:tc>
              <w:tc>
                <w:tcPr>
                  <w:tcW w:w="470"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形态</w:t>
                  </w:r>
                </w:p>
              </w:tc>
              <w:tc>
                <w:tcPr>
                  <w:tcW w:w="401"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有害</w:t>
                  </w:r>
                </w:p>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成分</w:t>
                  </w:r>
                </w:p>
              </w:tc>
              <w:tc>
                <w:tcPr>
                  <w:tcW w:w="415"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产废</w:t>
                  </w:r>
                </w:p>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周期</w:t>
                  </w:r>
                </w:p>
              </w:tc>
              <w:tc>
                <w:tcPr>
                  <w:tcW w:w="402"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危险</w:t>
                  </w:r>
                </w:p>
                <w:p>
                  <w:pPr>
                    <w:keepNext w:val="0"/>
                    <w:keepLines w:val="0"/>
                    <w:pageBreakBefore w:val="0"/>
                    <w:widowControl w:val="0"/>
                    <w:kinsoku/>
                    <w:wordWrap/>
                    <w:overflowPunct/>
                    <w:topLinePunct w:val="0"/>
                    <w:autoSpaceDE w:val="0"/>
                    <w:autoSpaceDN w:val="0"/>
                    <w:bidi w:val="0"/>
                    <w:spacing w:line="280" w:lineRule="exact"/>
                    <w:ind w:left="5" w:hanging="6" w:hangingChars="3"/>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22"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储油罐</w:t>
                  </w:r>
                </w:p>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油泥</w:t>
                  </w:r>
                </w:p>
              </w:tc>
              <w:tc>
                <w:tcPr>
                  <w:tcW w:w="655"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 xml:space="preserve">HW08 </w:t>
                  </w:r>
                </w:p>
              </w:tc>
              <w:tc>
                <w:tcPr>
                  <w:tcW w:w="891"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900-221-08</w:t>
                  </w:r>
                </w:p>
              </w:tc>
              <w:tc>
                <w:tcPr>
                  <w:tcW w:w="533"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eastAsia="宋体"/>
                      <w:color w:val="auto"/>
                      <w:sz w:val="21"/>
                      <w:szCs w:val="21"/>
                      <w:lang w:eastAsia="zh-CN"/>
                    </w:rPr>
                  </w:pPr>
                  <w:r>
                    <w:rPr>
                      <w:rFonts w:hint="eastAsia" w:cs="Times New Roman"/>
                      <w:color w:val="auto"/>
                      <w:sz w:val="21"/>
                      <w:szCs w:val="21"/>
                      <w:lang w:val="en-US" w:eastAsia="zh-CN"/>
                    </w:rPr>
                    <w:t>0.055t/a</w:t>
                  </w:r>
                </w:p>
              </w:tc>
              <w:tc>
                <w:tcPr>
                  <w:tcW w:w="607" w:type="pct"/>
                  <w:vMerge w:val="restar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rPr>
                    <w:t>油罐清洗</w:t>
                  </w:r>
                </w:p>
              </w:tc>
              <w:tc>
                <w:tcPr>
                  <w:tcW w:w="470"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液态</w:t>
                  </w:r>
                </w:p>
              </w:tc>
              <w:tc>
                <w:tcPr>
                  <w:tcW w:w="401"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有机</w:t>
                  </w:r>
                </w:p>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废物</w:t>
                  </w:r>
                </w:p>
              </w:tc>
              <w:tc>
                <w:tcPr>
                  <w:tcW w:w="415"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2年</w:t>
                  </w:r>
                </w:p>
              </w:tc>
              <w:tc>
                <w:tcPr>
                  <w:tcW w:w="402"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noWrap w:val="0"/>
                  <w:tcMar>
                    <w:top w:w="0" w:type="dxa"/>
                    <w:left w:w="28" w:type="dxa"/>
                    <w:bottom w:w="0" w:type="dxa"/>
                    <w:right w:w="28" w:type="dxa"/>
                  </w:tcMar>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000000"/>
                      <w:sz w:val="21"/>
                      <w:szCs w:val="21"/>
                      <w:lang w:val="en-US" w:eastAsia="zh-CN"/>
                    </w:rPr>
                    <w:t>油水烃混合物</w:t>
                  </w:r>
                </w:p>
              </w:tc>
              <w:tc>
                <w:tcPr>
                  <w:tcW w:w="655" w:type="pct"/>
                  <w:noWrap w:val="0"/>
                  <w:tcMar>
                    <w:top w:w="0" w:type="dxa"/>
                    <w:left w:w="28" w:type="dxa"/>
                    <w:bottom w:w="0" w:type="dxa"/>
                    <w:right w:w="28" w:type="dxa"/>
                  </w:tcMar>
                  <w:vAlign w:val="center"/>
                </w:tcPr>
                <w:p>
                  <w:pPr>
                    <w:adjustRightInd w:val="0"/>
                    <w:snapToGrid w:val="0"/>
                    <w:jc w:val="center"/>
                    <w:rPr>
                      <w:rFonts w:ascii="Times New Roman" w:hAnsi="Times New Roman"/>
                      <w:color w:val="auto"/>
                      <w:sz w:val="21"/>
                      <w:szCs w:val="21"/>
                    </w:rPr>
                  </w:pPr>
                  <w:r>
                    <w:rPr>
                      <w:rFonts w:hint="eastAsia" w:ascii="Times New Roman" w:hAnsi="Times New Roman" w:cs="Times New Roman"/>
                      <w:color w:val="000000"/>
                      <w:sz w:val="21"/>
                      <w:szCs w:val="21"/>
                      <w:lang w:val="en-US" w:eastAsia="zh-CN"/>
                    </w:rPr>
                    <w:t>HW09</w:t>
                  </w:r>
                </w:p>
              </w:tc>
              <w:tc>
                <w:tcPr>
                  <w:tcW w:w="891" w:type="pct"/>
                  <w:noWrap w:val="0"/>
                  <w:tcMar>
                    <w:top w:w="0" w:type="dxa"/>
                    <w:left w:w="28" w:type="dxa"/>
                    <w:bottom w:w="0" w:type="dxa"/>
                    <w:right w:w="28" w:type="dxa"/>
                  </w:tcMar>
                  <w:vAlign w:val="center"/>
                </w:tcPr>
                <w:p>
                  <w:pPr>
                    <w:adjustRightInd w:val="0"/>
                    <w:snapToGrid w:val="0"/>
                    <w:jc w:val="center"/>
                    <w:rPr>
                      <w:rFonts w:ascii="Times New Roman" w:hAnsi="Times New Roman"/>
                      <w:color w:val="auto"/>
                      <w:sz w:val="21"/>
                      <w:szCs w:val="21"/>
                    </w:rPr>
                  </w:pPr>
                  <w:r>
                    <w:rPr>
                      <w:color w:val="000000"/>
                      <w:kern w:val="0"/>
                      <w:sz w:val="21"/>
                      <w:szCs w:val="21"/>
                      <w:lang w:bidi="ar"/>
                    </w:rPr>
                    <w:t>900-</w:t>
                  </w:r>
                  <w:r>
                    <w:rPr>
                      <w:rFonts w:hint="eastAsia"/>
                      <w:color w:val="000000"/>
                      <w:kern w:val="0"/>
                      <w:sz w:val="21"/>
                      <w:szCs w:val="21"/>
                      <w:lang w:val="en-US" w:eastAsia="zh-CN" w:bidi="ar"/>
                    </w:rPr>
                    <w:t>007</w:t>
                  </w:r>
                  <w:r>
                    <w:rPr>
                      <w:color w:val="000000"/>
                      <w:kern w:val="0"/>
                      <w:sz w:val="21"/>
                      <w:szCs w:val="21"/>
                      <w:lang w:bidi="ar"/>
                    </w:rPr>
                    <w:t>-0</w:t>
                  </w:r>
                  <w:r>
                    <w:rPr>
                      <w:rFonts w:hint="eastAsia"/>
                      <w:color w:val="000000"/>
                      <w:kern w:val="0"/>
                      <w:sz w:val="21"/>
                      <w:szCs w:val="21"/>
                      <w:lang w:val="en-US" w:eastAsia="zh-CN" w:bidi="ar"/>
                    </w:rPr>
                    <w:t>9</w:t>
                  </w:r>
                </w:p>
              </w:tc>
              <w:tc>
                <w:tcPr>
                  <w:tcW w:w="533"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ascii="Times New Roman" w:hAnsi="Times New Roman"/>
                      <w:color w:val="auto"/>
                      <w:sz w:val="21"/>
                      <w:szCs w:val="21"/>
                    </w:rPr>
                  </w:pPr>
                  <w:r>
                    <w:rPr>
                      <w:rFonts w:hint="eastAsia" w:cs="Times New Roman"/>
                      <w:color w:val="auto"/>
                      <w:spacing w:val="4"/>
                      <w:sz w:val="21"/>
                      <w:szCs w:val="21"/>
                      <w:highlight w:val="none"/>
                      <w:lang w:val="en-US" w:eastAsia="zh-CN"/>
                    </w:rPr>
                    <w:t>0.84</w:t>
                  </w:r>
                  <w:r>
                    <w:rPr>
                      <w:rFonts w:hint="eastAsia" w:ascii="Times New Roman" w:hAnsi="Times New Roman" w:cs="Times New Roman"/>
                      <w:color w:val="auto"/>
                      <w:spacing w:val="4"/>
                      <w:sz w:val="21"/>
                      <w:szCs w:val="21"/>
                      <w:highlight w:val="none"/>
                      <w:lang w:val="en-US" w:eastAsia="zh-CN"/>
                    </w:rPr>
                    <w:t>t/a</w:t>
                  </w:r>
                </w:p>
              </w:tc>
              <w:tc>
                <w:tcPr>
                  <w:tcW w:w="607" w:type="pct"/>
                  <w:vMerge w:val="continue"/>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p>
              </w:tc>
              <w:tc>
                <w:tcPr>
                  <w:tcW w:w="470"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eastAsia" w:ascii="Times New Roman" w:hAnsi="Times New Roman" w:eastAsia="宋体"/>
                      <w:color w:val="auto"/>
                      <w:sz w:val="21"/>
                      <w:szCs w:val="21"/>
                      <w:lang w:val="en-US" w:eastAsia="zh-CN"/>
                    </w:rPr>
                  </w:pPr>
                  <w:r>
                    <w:rPr>
                      <w:rFonts w:ascii="Times New Roman" w:hAnsi="Times New Roman"/>
                      <w:color w:val="auto"/>
                      <w:sz w:val="21"/>
                      <w:szCs w:val="21"/>
                    </w:rPr>
                    <w:t>液态</w:t>
                  </w:r>
                </w:p>
              </w:tc>
              <w:tc>
                <w:tcPr>
                  <w:tcW w:w="401"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有机</w:t>
                  </w:r>
                </w:p>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废物</w:t>
                  </w:r>
                </w:p>
              </w:tc>
              <w:tc>
                <w:tcPr>
                  <w:tcW w:w="415"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2年</w:t>
                  </w:r>
                </w:p>
              </w:tc>
              <w:tc>
                <w:tcPr>
                  <w:tcW w:w="402" w:type="pct"/>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spacing w:line="280" w:lineRule="exact"/>
                    <w:jc w:val="center"/>
                    <w:textAlignment w:val="auto"/>
                    <w:rPr>
                      <w:rFonts w:ascii="Times New Roman" w:hAnsi="Times New Roman"/>
                      <w:color w:val="auto"/>
                      <w:sz w:val="21"/>
                      <w:szCs w:val="21"/>
                    </w:rPr>
                  </w:pPr>
                  <w:r>
                    <w:rPr>
                      <w:rFonts w:ascii="Times New Roman" w:hAnsi="Times New Roman"/>
                      <w:color w:val="auto"/>
                      <w:sz w:val="21"/>
                      <w:szCs w:val="21"/>
                    </w:rPr>
                    <w:t>T</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lang w:val="en-US" w:eastAsia="zh-CN"/>
              </w:rPr>
              <w:t>污染防治措施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Arial" w:hAnsi="Arial" w:cs="Arial"/>
                <w:color w:val="000000"/>
                <w:sz w:val="24"/>
                <w:szCs w:val="24"/>
              </w:rPr>
            </w:pPr>
            <w:r>
              <w:rPr>
                <w:rFonts w:hint="eastAsia" w:cs="Times New Roman"/>
                <w:color w:val="000000"/>
                <w:sz w:val="24"/>
                <w:szCs w:val="24"/>
                <w:lang w:val="en-US" w:eastAsia="zh-CN"/>
              </w:rPr>
              <w:t>厂区已建成6</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的危废暂存间1座</w:t>
            </w:r>
            <w:r>
              <w:rPr>
                <w:rFonts w:hint="default" w:ascii="Times New Roman" w:hAnsi="Times New Roman" w:cs="Times New Roman"/>
                <w:bCs/>
                <w:color w:val="000000"/>
                <w:sz w:val="24"/>
                <w:szCs w:val="24"/>
              </w:rPr>
              <w:t>。评价要求</w:t>
            </w:r>
            <w:r>
              <w:rPr>
                <w:rFonts w:hint="default" w:ascii="Times New Roman" w:hAnsi="Times New Roman" w:cs="Times New Roman"/>
                <w:color w:val="000000"/>
                <w:sz w:val="24"/>
                <w:szCs w:val="24"/>
              </w:rPr>
              <w:t>设置</w:t>
            </w:r>
            <w:r>
              <w:rPr>
                <w:rFonts w:hint="default" w:ascii="Times New Roman" w:hAnsi="Times New Roman" w:cs="Times New Roman"/>
                <w:color w:val="000000"/>
                <w:sz w:val="24"/>
                <w:szCs w:val="24"/>
                <w:lang w:eastAsia="zh-CN"/>
              </w:rPr>
              <w:t>密闭容器</w:t>
            </w:r>
            <w:r>
              <w:rPr>
                <w:rFonts w:hint="default" w:ascii="Times New Roman" w:hAnsi="Times New Roman" w:cs="Times New Roman"/>
                <w:color w:val="000000"/>
                <w:sz w:val="24"/>
                <w:szCs w:val="24"/>
              </w:rPr>
              <w:t>分别用于收集暂存</w:t>
            </w:r>
            <w:r>
              <w:rPr>
                <w:rFonts w:hint="eastAsia" w:ascii="Times New Roman" w:hAnsi="Times New Roman" w:cs="Times New Roman"/>
                <w:color w:val="000000"/>
                <w:sz w:val="24"/>
                <w:szCs w:val="24"/>
                <w:lang w:eastAsia="zh-CN"/>
              </w:rPr>
              <w:t>油罐油泥、油水烃混合物，且</w:t>
            </w:r>
            <w:r>
              <w:rPr>
                <w:rFonts w:hint="default" w:ascii="Times New Roman" w:hAnsi="Times New Roman" w:cs="Times New Roman"/>
                <w:color w:val="000000"/>
                <w:sz w:val="24"/>
                <w:szCs w:val="24"/>
              </w:rPr>
              <w:t>均置于危废暂存间内，定期由有资质的单位转移处置。本项目贮存场所情况见</w:t>
            </w:r>
            <w:r>
              <w:rPr>
                <w:rFonts w:hint="eastAsia" w:ascii="Times New Roman" w:hAnsi="Times New Roman" w:cs="Times New Roman"/>
                <w:color w:val="000000"/>
                <w:sz w:val="24"/>
                <w:szCs w:val="24"/>
                <w:lang w:val="en-US" w:eastAsia="zh-CN"/>
              </w:rPr>
              <w:t>下</w:t>
            </w:r>
            <w:r>
              <w:rPr>
                <w:rFonts w:hint="eastAsia" w:ascii="Times New Roman" w:hAnsi="Times New Roman" w:cs="Times New Roman"/>
                <w:color w:val="000000"/>
                <w:sz w:val="24"/>
                <w:szCs w:val="24"/>
                <w:lang w:eastAsia="zh-CN"/>
              </w:rPr>
              <w:t>表</w:t>
            </w:r>
            <w:r>
              <w:rPr>
                <w:rFonts w:hint="default" w:ascii="Times New Roman" w:hAnsi="Times New Roman" w:cs="Times New Roman"/>
                <w:color w:val="000000"/>
                <w:sz w:val="24"/>
                <w:szCs w:val="24"/>
              </w:rPr>
              <w:t>。</w:t>
            </w:r>
            <w:bookmarkStart w:id="1" w:name="_Ref13287"/>
          </w:p>
          <w:bookmarkEnd w:id="1"/>
          <w:p>
            <w:pPr>
              <w:pStyle w:val="9"/>
              <w:bidi w:val="0"/>
              <w:rPr>
                <w:rFonts w:hint="eastAsia"/>
                <w:lang w:eastAsia="zh-CN"/>
              </w:rPr>
            </w:pPr>
            <w:r>
              <w:rPr>
                <w:rFonts w:hint="eastAsia"/>
                <w:lang w:eastAsia="zh-CN"/>
              </w:rPr>
              <w:t>本项目危险废物贮存场所基本情况表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078"/>
              <w:gridCol w:w="1213"/>
              <w:gridCol w:w="897"/>
              <w:gridCol w:w="1229"/>
              <w:gridCol w:w="486"/>
              <w:gridCol w:w="680"/>
              <w:gridCol w:w="803"/>
              <w:gridCol w:w="65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序号</w:t>
                  </w:r>
                </w:p>
              </w:tc>
              <w:tc>
                <w:tcPr>
                  <w:tcW w:w="656"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贮存场所（设施）</w:t>
                  </w:r>
                </w:p>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名称</w:t>
                  </w:r>
                </w:p>
              </w:tc>
              <w:tc>
                <w:tcPr>
                  <w:tcW w:w="738"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危险废物名称</w:t>
                  </w:r>
                </w:p>
              </w:tc>
              <w:tc>
                <w:tcPr>
                  <w:tcW w:w="546"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危险废物类别</w:t>
                  </w:r>
                </w:p>
              </w:tc>
              <w:tc>
                <w:tcPr>
                  <w:tcW w:w="748"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危险废物代码</w:t>
                  </w:r>
                </w:p>
              </w:tc>
              <w:tc>
                <w:tcPr>
                  <w:tcW w:w="296"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位置</w:t>
                  </w:r>
                </w:p>
              </w:tc>
              <w:tc>
                <w:tcPr>
                  <w:tcW w:w="414"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占地面积</w:t>
                  </w:r>
                </w:p>
              </w:tc>
              <w:tc>
                <w:tcPr>
                  <w:tcW w:w="489"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w:t>
                  </w:r>
                </w:p>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方式</w:t>
                  </w:r>
                </w:p>
              </w:tc>
              <w:tc>
                <w:tcPr>
                  <w:tcW w:w="397"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w:t>
                  </w:r>
                </w:p>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能力</w:t>
                  </w:r>
                </w:p>
              </w:tc>
              <w:tc>
                <w:tcPr>
                  <w:tcW w:w="446" w:type="pct"/>
                  <w:noWrap w:val="0"/>
                  <w:vAlign w:val="center"/>
                </w:tcPr>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w:t>
                  </w:r>
                </w:p>
                <w:p>
                  <w:pPr>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1</w:t>
                  </w:r>
                </w:p>
              </w:tc>
              <w:tc>
                <w:tcPr>
                  <w:tcW w:w="656" w:type="pct"/>
                  <w:vMerge w:val="restart"/>
                  <w:noWrap w:val="0"/>
                  <w:vAlign w:val="center"/>
                </w:tcPr>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危废暂存间</w:t>
                  </w:r>
                </w:p>
              </w:tc>
              <w:tc>
                <w:tcPr>
                  <w:tcW w:w="738" w:type="pct"/>
                  <w:noWrap w:val="0"/>
                  <w:vAlign w:val="center"/>
                </w:tcPr>
                <w:p>
                  <w:pPr>
                    <w:adjustRightInd w:val="0"/>
                    <w:snapToGrid w:val="0"/>
                    <w:jc w:val="center"/>
                    <w:rPr>
                      <w:rFonts w:hint="default" w:ascii="Times New Roman" w:hAnsi="Times New Roman" w:cs="Times New Roman"/>
                      <w:bCs/>
                      <w:color w:val="000000"/>
                      <w:sz w:val="21"/>
                      <w:szCs w:val="21"/>
                      <w:lang w:eastAsia="zh-CN"/>
                    </w:rPr>
                  </w:pPr>
                  <w:r>
                    <w:rPr>
                      <w:rFonts w:hint="eastAsia" w:ascii="Times New Roman" w:hAnsi="Times New Roman" w:cs="Times New Roman"/>
                      <w:color w:val="000000"/>
                      <w:sz w:val="21"/>
                      <w:szCs w:val="21"/>
                      <w:lang w:val="en-US" w:eastAsia="zh-CN"/>
                    </w:rPr>
                    <w:t>油罐油泥</w:t>
                  </w:r>
                </w:p>
              </w:tc>
              <w:tc>
                <w:tcPr>
                  <w:tcW w:w="546" w:type="pct"/>
                  <w:noWrap w:val="0"/>
                  <w:vAlign w:val="center"/>
                </w:tcPr>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HW</w:t>
                  </w:r>
                  <w:r>
                    <w:rPr>
                      <w:rFonts w:hint="eastAsia" w:ascii="Times New Roman" w:hAnsi="Times New Roman" w:cs="Times New Roman"/>
                      <w:color w:val="000000"/>
                      <w:sz w:val="21"/>
                      <w:szCs w:val="21"/>
                      <w:lang w:val="en-US" w:eastAsia="zh-CN"/>
                    </w:rPr>
                    <w:t>08</w:t>
                  </w:r>
                </w:p>
              </w:tc>
              <w:tc>
                <w:tcPr>
                  <w:tcW w:w="748" w:type="pct"/>
                  <w:noWrap w:val="0"/>
                  <w:vAlign w:val="center"/>
                </w:tcPr>
                <w:p>
                  <w:pPr>
                    <w:adjustRightInd w:val="0"/>
                    <w:snapToGrid w:val="0"/>
                    <w:jc w:val="center"/>
                    <w:rPr>
                      <w:rFonts w:hint="default" w:ascii="Times New Roman" w:hAnsi="Times New Roman" w:cs="Times New Roman"/>
                      <w:bCs/>
                      <w:color w:val="000000"/>
                      <w:sz w:val="21"/>
                      <w:szCs w:val="21"/>
                    </w:rPr>
                  </w:pPr>
                  <w:r>
                    <w:rPr>
                      <w:color w:val="000000"/>
                      <w:kern w:val="0"/>
                      <w:sz w:val="21"/>
                      <w:szCs w:val="21"/>
                      <w:lang w:bidi="ar"/>
                    </w:rPr>
                    <w:t>900-2</w:t>
                  </w:r>
                  <w:r>
                    <w:rPr>
                      <w:rFonts w:hint="eastAsia"/>
                      <w:color w:val="000000"/>
                      <w:kern w:val="0"/>
                      <w:sz w:val="21"/>
                      <w:szCs w:val="21"/>
                      <w:lang w:val="en-US" w:eastAsia="zh-CN" w:bidi="ar"/>
                    </w:rPr>
                    <w:t>21</w:t>
                  </w:r>
                  <w:r>
                    <w:rPr>
                      <w:color w:val="000000"/>
                      <w:kern w:val="0"/>
                      <w:sz w:val="21"/>
                      <w:szCs w:val="21"/>
                      <w:lang w:bidi="ar"/>
                    </w:rPr>
                    <w:t>-08</w:t>
                  </w:r>
                </w:p>
              </w:tc>
              <w:tc>
                <w:tcPr>
                  <w:tcW w:w="296" w:type="pct"/>
                  <w:vMerge w:val="restart"/>
                  <w:noWrap w:val="0"/>
                  <w:vAlign w:val="center"/>
                </w:tcPr>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eastAsia="zh-CN"/>
                    </w:rPr>
                    <w:t>厂区</w:t>
                  </w:r>
                </w:p>
              </w:tc>
              <w:tc>
                <w:tcPr>
                  <w:tcW w:w="414" w:type="pct"/>
                  <w:vMerge w:val="restart"/>
                  <w:noWrap w:val="0"/>
                  <w:vAlign w:val="center"/>
                </w:tcPr>
                <w:p>
                  <w:pPr>
                    <w:adjustRightInd w:val="0"/>
                    <w:snapToGrid w:val="0"/>
                    <w:jc w:val="center"/>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6</w:t>
                  </w:r>
                  <w:r>
                    <w:rPr>
                      <w:rFonts w:hint="default" w:ascii="Times New Roman" w:hAnsi="Times New Roman" w:cs="Times New Roman"/>
                      <w:bCs/>
                      <w:color w:val="000000"/>
                      <w:sz w:val="21"/>
                      <w:szCs w:val="21"/>
                    </w:rPr>
                    <w:t>m</w:t>
                  </w:r>
                  <w:r>
                    <w:rPr>
                      <w:rFonts w:hint="default" w:ascii="Times New Roman" w:hAnsi="Times New Roman" w:cs="Times New Roman"/>
                      <w:bCs/>
                      <w:color w:val="000000"/>
                      <w:sz w:val="21"/>
                      <w:szCs w:val="21"/>
                      <w:vertAlign w:val="superscript"/>
                    </w:rPr>
                    <w:t>2</w:t>
                  </w:r>
                </w:p>
              </w:tc>
              <w:tc>
                <w:tcPr>
                  <w:tcW w:w="489" w:type="pct"/>
                  <w:noWrap w:val="0"/>
                  <w:vAlign w:val="center"/>
                </w:tcPr>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专用</w:t>
                  </w:r>
                </w:p>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容器</w:t>
                  </w:r>
                </w:p>
              </w:tc>
              <w:tc>
                <w:tcPr>
                  <w:tcW w:w="397"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0.5</w:t>
                  </w:r>
                  <w:r>
                    <w:rPr>
                      <w:rFonts w:hint="default" w:ascii="Times New Roman" w:hAnsi="Times New Roman" w:cs="Times New Roman"/>
                      <w:bCs/>
                      <w:color w:val="000000"/>
                      <w:sz w:val="21"/>
                      <w:szCs w:val="21"/>
                    </w:rPr>
                    <w:t>t</w:t>
                  </w:r>
                </w:p>
              </w:tc>
              <w:tc>
                <w:tcPr>
                  <w:tcW w:w="446"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eastAsia" w:cs="Times New Roman"/>
                      <w:bCs/>
                      <w:color w:val="000000"/>
                      <w:sz w:val="21"/>
                      <w:szCs w:val="21"/>
                      <w:lang w:val="en-US" w:eastAsia="zh-CN"/>
                    </w:rPr>
                    <w:t>300</w:t>
                  </w:r>
                  <w:r>
                    <w:rPr>
                      <w:rFonts w:hint="default" w:ascii="Times New Roman" w:hAnsi="Times New Roman" w:cs="Times New Roman"/>
                      <w:bCs/>
                      <w:color w:val="00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2</w:t>
                  </w:r>
                </w:p>
              </w:tc>
              <w:tc>
                <w:tcPr>
                  <w:tcW w:w="656" w:type="pct"/>
                  <w:vMerge w:val="continue"/>
                  <w:noWrap w:val="0"/>
                  <w:vAlign w:val="center"/>
                </w:tcPr>
                <w:p>
                  <w:pPr>
                    <w:adjustRightInd w:val="0"/>
                    <w:snapToGrid w:val="0"/>
                    <w:jc w:val="center"/>
                    <w:rPr>
                      <w:rFonts w:hint="default" w:ascii="Times New Roman" w:hAnsi="Times New Roman" w:cs="Times New Roman"/>
                      <w:bCs/>
                      <w:color w:val="000000"/>
                      <w:sz w:val="21"/>
                      <w:szCs w:val="21"/>
                    </w:rPr>
                  </w:pPr>
                </w:p>
              </w:tc>
              <w:tc>
                <w:tcPr>
                  <w:tcW w:w="738" w:type="pct"/>
                  <w:noWrap w:val="0"/>
                  <w:vAlign w:val="center"/>
                </w:tcPr>
                <w:p>
                  <w:pPr>
                    <w:adjustRightInd w:val="0"/>
                    <w:snapToGrid w:val="0"/>
                    <w:jc w:val="center"/>
                    <w:rPr>
                      <w:rFonts w:hint="default" w:ascii="Times New Roman" w:hAnsi="Times New Roman" w:cs="Times New Roman"/>
                      <w:bCs/>
                      <w:color w:val="000000"/>
                      <w:sz w:val="21"/>
                      <w:szCs w:val="21"/>
                      <w:lang w:eastAsia="zh-CN"/>
                    </w:rPr>
                  </w:pPr>
                  <w:r>
                    <w:rPr>
                      <w:rFonts w:hint="eastAsia" w:ascii="Times New Roman" w:hAnsi="Times New Roman" w:cs="Times New Roman"/>
                      <w:color w:val="000000"/>
                      <w:sz w:val="21"/>
                      <w:szCs w:val="21"/>
                      <w:lang w:val="en-US" w:eastAsia="zh-CN"/>
                    </w:rPr>
                    <w:t>油水烃混合物</w:t>
                  </w:r>
                </w:p>
              </w:tc>
              <w:tc>
                <w:tcPr>
                  <w:tcW w:w="546" w:type="pct"/>
                  <w:noWrap w:val="0"/>
                  <w:vAlign w:val="center"/>
                </w:tcPr>
                <w:p>
                  <w:pPr>
                    <w:adjustRightInd w:val="0"/>
                    <w:snapToGrid w:val="0"/>
                    <w:jc w:val="center"/>
                    <w:rPr>
                      <w:rFonts w:hint="default" w:ascii="Times New Roman" w:hAnsi="Times New Roman" w:cs="Times New Roman"/>
                      <w:bCs/>
                      <w:color w:val="000000"/>
                      <w:sz w:val="21"/>
                      <w:szCs w:val="21"/>
                    </w:rPr>
                  </w:pPr>
                  <w:r>
                    <w:rPr>
                      <w:rFonts w:hint="eastAsia" w:ascii="Times New Roman" w:hAnsi="Times New Roman" w:cs="Times New Roman"/>
                      <w:color w:val="000000"/>
                      <w:sz w:val="21"/>
                      <w:szCs w:val="21"/>
                      <w:lang w:val="en-US" w:eastAsia="zh-CN"/>
                    </w:rPr>
                    <w:t>HW09</w:t>
                  </w:r>
                </w:p>
              </w:tc>
              <w:tc>
                <w:tcPr>
                  <w:tcW w:w="748" w:type="pct"/>
                  <w:noWrap w:val="0"/>
                  <w:vAlign w:val="center"/>
                </w:tcPr>
                <w:p>
                  <w:pPr>
                    <w:adjustRightInd w:val="0"/>
                    <w:snapToGrid w:val="0"/>
                    <w:jc w:val="center"/>
                    <w:rPr>
                      <w:rFonts w:hint="default" w:ascii="Times New Roman" w:hAnsi="Times New Roman" w:cs="Times New Roman"/>
                      <w:bCs/>
                      <w:color w:val="000000"/>
                      <w:sz w:val="21"/>
                      <w:szCs w:val="21"/>
                    </w:rPr>
                  </w:pPr>
                  <w:r>
                    <w:rPr>
                      <w:color w:val="000000"/>
                      <w:kern w:val="0"/>
                      <w:sz w:val="21"/>
                      <w:szCs w:val="21"/>
                      <w:lang w:bidi="ar"/>
                    </w:rPr>
                    <w:t>900-</w:t>
                  </w:r>
                  <w:r>
                    <w:rPr>
                      <w:rFonts w:hint="eastAsia"/>
                      <w:color w:val="000000"/>
                      <w:kern w:val="0"/>
                      <w:sz w:val="21"/>
                      <w:szCs w:val="21"/>
                      <w:lang w:val="en-US" w:eastAsia="zh-CN" w:bidi="ar"/>
                    </w:rPr>
                    <w:t>007</w:t>
                  </w:r>
                  <w:r>
                    <w:rPr>
                      <w:color w:val="000000"/>
                      <w:kern w:val="0"/>
                      <w:sz w:val="21"/>
                      <w:szCs w:val="21"/>
                      <w:lang w:bidi="ar"/>
                    </w:rPr>
                    <w:t>-0</w:t>
                  </w:r>
                  <w:r>
                    <w:rPr>
                      <w:rFonts w:hint="eastAsia"/>
                      <w:color w:val="000000"/>
                      <w:kern w:val="0"/>
                      <w:sz w:val="21"/>
                      <w:szCs w:val="21"/>
                      <w:lang w:val="en-US" w:eastAsia="zh-CN" w:bidi="ar"/>
                    </w:rPr>
                    <w:t>9</w:t>
                  </w:r>
                </w:p>
              </w:tc>
              <w:tc>
                <w:tcPr>
                  <w:tcW w:w="296" w:type="pct"/>
                  <w:vMerge w:val="continue"/>
                  <w:noWrap w:val="0"/>
                  <w:vAlign w:val="center"/>
                </w:tcPr>
                <w:p>
                  <w:pPr>
                    <w:adjustRightInd w:val="0"/>
                    <w:snapToGrid w:val="0"/>
                    <w:jc w:val="center"/>
                    <w:rPr>
                      <w:rFonts w:hint="default" w:ascii="Times New Roman" w:hAnsi="Times New Roman" w:cs="Times New Roman"/>
                      <w:bCs/>
                      <w:color w:val="000000"/>
                      <w:sz w:val="21"/>
                      <w:szCs w:val="21"/>
                    </w:rPr>
                  </w:pPr>
                </w:p>
              </w:tc>
              <w:tc>
                <w:tcPr>
                  <w:tcW w:w="414" w:type="pct"/>
                  <w:vMerge w:val="continue"/>
                  <w:noWrap w:val="0"/>
                  <w:vAlign w:val="center"/>
                </w:tcPr>
                <w:p>
                  <w:pPr>
                    <w:adjustRightInd w:val="0"/>
                    <w:snapToGrid w:val="0"/>
                    <w:jc w:val="center"/>
                    <w:rPr>
                      <w:rFonts w:hint="default" w:ascii="Times New Roman" w:hAnsi="Times New Roman" w:cs="Times New Roman"/>
                      <w:bCs/>
                      <w:color w:val="000000"/>
                      <w:sz w:val="21"/>
                      <w:szCs w:val="21"/>
                    </w:rPr>
                  </w:pPr>
                </w:p>
              </w:tc>
              <w:tc>
                <w:tcPr>
                  <w:tcW w:w="489" w:type="pct"/>
                  <w:noWrap w:val="0"/>
                  <w:vAlign w:val="center"/>
                </w:tcPr>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专用</w:t>
                  </w:r>
                </w:p>
                <w:p>
                  <w:pPr>
                    <w:adjustRightInd w:val="0"/>
                    <w:snapToGrid w:val="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容器</w:t>
                  </w:r>
                </w:p>
              </w:tc>
              <w:tc>
                <w:tcPr>
                  <w:tcW w:w="397"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eastAsia" w:cs="Times New Roman"/>
                      <w:bCs/>
                      <w:color w:val="000000"/>
                      <w:sz w:val="21"/>
                      <w:szCs w:val="21"/>
                      <w:lang w:val="en-US" w:eastAsia="zh-CN"/>
                    </w:rPr>
                    <w:t>2</w:t>
                  </w:r>
                  <w:r>
                    <w:rPr>
                      <w:rFonts w:hint="default" w:ascii="Times New Roman" w:hAnsi="Times New Roman" w:cs="Times New Roman"/>
                      <w:bCs/>
                      <w:color w:val="000000"/>
                      <w:sz w:val="21"/>
                      <w:szCs w:val="21"/>
                    </w:rPr>
                    <w:t>t</w:t>
                  </w:r>
                </w:p>
              </w:tc>
              <w:tc>
                <w:tcPr>
                  <w:tcW w:w="446" w:type="pct"/>
                  <w:noWrap w:val="0"/>
                  <w:vAlign w:val="center"/>
                </w:tcPr>
                <w:p>
                  <w:pPr>
                    <w:adjustRightInd w:val="0"/>
                    <w:snapToGrid w:val="0"/>
                    <w:jc w:val="center"/>
                    <w:rPr>
                      <w:rFonts w:hint="default" w:ascii="Times New Roman" w:hAnsi="Times New Roman" w:cs="Times New Roman"/>
                      <w:bCs/>
                      <w:color w:val="000000"/>
                      <w:sz w:val="21"/>
                      <w:szCs w:val="21"/>
                      <w:lang w:val="en-US" w:eastAsia="zh-CN"/>
                    </w:rPr>
                  </w:pPr>
                  <w:r>
                    <w:rPr>
                      <w:rFonts w:hint="eastAsia" w:cs="Times New Roman"/>
                      <w:bCs/>
                      <w:color w:val="000000"/>
                      <w:sz w:val="21"/>
                      <w:szCs w:val="21"/>
                      <w:lang w:val="en-US" w:eastAsia="zh-CN"/>
                    </w:rPr>
                    <w:t>300</w:t>
                  </w:r>
                  <w:r>
                    <w:rPr>
                      <w:rFonts w:hint="default" w:ascii="Times New Roman" w:hAnsi="Times New Roman" w:cs="Times New Roman"/>
                      <w:bCs/>
                      <w:color w:val="000000"/>
                      <w:sz w:val="21"/>
                      <w:szCs w:val="21"/>
                    </w:rPr>
                    <w:t>d</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eastAsia"/>
                <w:b/>
                <w:bCs/>
                <w:color w:val="000000"/>
                <w:sz w:val="24"/>
                <w:szCs w:val="24"/>
                <w:lang w:val="en-US" w:eastAsia="zh-CN"/>
              </w:rPr>
            </w:pPr>
            <w:r>
              <w:rPr>
                <w:rFonts w:hint="eastAsia"/>
                <w:b/>
                <w:bCs/>
                <w:color w:val="000000"/>
                <w:sz w:val="24"/>
                <w:szCs w:val="24"/>
                <w:lang w:val="en-US" w:eastAsia="zh-CN"/>
              </w:rPr>
              <w:t>3、管理要求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b/>
                <w:bCs/>
                <w:color w:val="000000"/>
                <w:sz w:val="24"/>
                <w:szCs w:val="24"/>
              </w:rPr>
            </w:pPr>
            <w:r>
              <w:rPr>
                <w:rFonts w:hint="eastAsia"/>
                <w:b/>
                <w:bCs/>
                <w:color w:val="000000"/>
                <w:sz w:val="24"/>
                <w:szCs w:val="24"/>
                <w:lang w:val="en-US" w:eastAsia="zh-CN"/>
              </w:rPr>
              <w:t>3.1 一般固废</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eastAsia="宋体"/>
                <w:color w:val="000000"/>
                <w:sz w:val="24"/>
                <w:szCs w:val="24"/>
                <w:lang w:eastAsia="zh-CN"/>
              </w:rPr>
            </w:pPr>
            <w:r>
              <w:rPr>
                <w:rFonts w:hint="default"/>
                <w:color w:val="000000"/>
                <w:sz w:val="24"/>
                <w:szCs w:val="24"/>
              </w:rPr>
              <w:t>本项目</w:t>
            </w:r>
            <w:r>
              <w:rPr>
                <w:rFonts w:hint="eastAsia"/>
                <w:color w:val="000000"/>
                <w:sz w:val="24"/>
                <w:szCs w:val="24"/>
                <w:lang w:eastAsia="zh-CN"/>
              </w:rPr>
              <w:t>无新增</w:t>
            </w:r>
            <w:r>
              <w:rPr>
                <w:rFonts w:hint="default"/>
                <w:color w:val="000000"/>
                <w:sz w:val="24"/>
                <w:szCs w:val="24"/>
              </w:rPr>
              <w:t>一般固废</w:t>
            </w:r>
            <w:r>
              <w:rPr>
                <w:rFonts w:hint="eastAsia"/>
                <w:color w:val="000000"/>
                <w:sz w:val="24"/>
                <w:szCs w:val="24"/>
                <w:lang w:eastAsia="zh-CN"/>
              </w:rPr>
              <w:t>。</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rFonts w:hint="default" w:eastAsia="宋体"/>
                <w:b/>
                <w:bCs w:val="0"/>
                <w:color w:val="000000"/>
                <w:lang w:val="en-US" w:eastAsia="zh-CN"/>
              </w:rPr>
            </w:pPr>
            <w:r>
              <w:rPr>
                <w:rFonts w:hint="eastAsia" w:ascii="Times New Roman" w:hAnsi="Times New Roman" w:eastAsia="宋体" w:cs="Times New Roman"/>
                <w:b/>
                <w:bCs w:val="0"/>
                <w:color w:val="000000"/>
                <w:sz w:val="24"/>
                <w:szCs w:val="24"/>
                <w:lang w:val="en-US" w:eastAsia="zh-CN"/>
              </w:rPr>
              <w:t>3.2危险废物</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color w:val="000000"/>
                <w:sz w:val="24"/>
                <w:szCs w:val="24"/>
              </w:rPr>
            </w:pPr>
            <w:r>
              <w:rPr>
                <w:rFonts w:hint="eastAsia" w:ascii="Times New Roman" w:hAnsi="Times New Roman" w:eastAsia="宋体" w:cs="Times New Roman"/>
                <w:b w:val="0"/>
                <w:bCs/>
                <w:color w:val="000000"/>
                <w:sz w:val="24"/>
                <w:szCs w:val="24"/>
                <w:lang w:val="en-US" w:eastAsia="zh-CN"/>
              </w:rPr>
              <w:t>3.2.1</w:t>
            </w:r>
            <w:r>
              <w:rPr>
                <w:rFonts w:hint="default" w:ascii="Times New Roman" w:hAnsi="Times New Roman" w:eastAsia="宋体" w:cs="Times New Roman"/>
                <w:b w:val="0"/>
                <w:bCs/>
                <w:color w:val="000000"/>
                <w:sz w:val="24"/>
                <w:szCs w:val="24"/>
              </w:rPr>
              <w:t>危险废物的收集</w:t>
            </w:r>
          </w:p>
          <w:p>
            <w:pPr>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项目</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的收集包括两个方面：一是在</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产生节点将其集中到适当的包装容器中或车辆上的活动；二是将已包装或装到运输车辆上的</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集中到危险废物暂存仓库的内部转运。</w:t>
            </w:r>
          </w:p>
          <w:p>
            <w:pPr>
              <w:keepNext w:val="0"/>
              <w:keepLines w:val="0"/>
              <w:pageBreakBefore w:val="0"/>
              <w:widowControl w:val="0"/>
              <w:kinsoku/>
              <w:wordWrap/>
              <w:overflowPunct/>
              <w:topLinePunct w:val="0"/>
              <w:autoSpaceDE/>
              <w:autoSpaceDN/>
              <w:bidi w:val="0"/>
              <w:adjustRightInd w:val="0"/>
              <w:snapToGrid w:val="0"/>
              <w:spacing w:line="520" w:lineRule="exact"/>
              <w:ind w:firstLine="482"/>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项目</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color w:val="000000"/>
                <w:sz w:val="24"/>
                <w:szCs w:val="24"/>
              </w:rPr>
              <w:t>的</w:t>
            </w:r>
            <w:r>
              <w:rPr>
                <w:rFonts w:hint="default" w:ascii="Times New Roman" w:hAnsi="Times New Roman" w:eastAsia="宋体" w:cs="Times New Roman"/>
                <w:bCs/>
                <w:color w:val="000000"/>
                <w:kern w:val="0"/>
                <w:sz w:val="24"/>
                <w:szCs w:val="24"/>
              </w:rPr>
              <w:t>收集须严格按照《危险废物收集贮存运输技术规范》（HJ2025-2012）的要求：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①根据</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收集操作规程，内容包括适用范围、操作程序和方法、专用设备和工具、转移和交接、安全保障和应急防护等。③</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作业人员根据工作需要配备必要的个人防护装备，如手套或口罩等。④在</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收集转运过程中，采取防火、防泄漏、防雨等防治污染环境的措施。⑤</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收集时应根据种类、数量、危险特性、物理形态、运输要求等因素选择合适的包装形式。</w:t>
            </w:r>
          </w:p>
          <w:p>
            <w:pPr>
              <w:keepNext w:val="0"/>
              <w:keepLines w:val="0"/>
              <w:pageBreakBefore w:val="0"/>
              <w:widowControl w:val="0"/>
              <w:kinsoku/>
              <w:wordWrap/>
              <w:overflowPunct/>
              <w:topLinePunct w:val="0"/>
              <w:autoSpaceDE/>
              <w:autoSpaceDN/>
              <w:bidi w:val="0"/>
              <w:spacing w:line="520" w:lineRule="exact"/>
              <w:ind w:firstLine="482"/>
              <w:textAlignment w:val="auto"/>
              <w:rPr>
                <w:rFonts w:hint="default" w:ascii="Times New Roman" w:hAnsi="Times New Roman" w:eastAsia="宋体" w:cs="Times New Roman"/>
                <w:b w:val="0"/>
                <w:bCs/>
                <w:color w:val="000000"/>
                <w:kern w:val="0"/>
                <w:sz w:val="24"/>
                <w:szCs w:val="24"/>
              </w:rPr>
            </w:pPr>
            <w:r>
              <w:rPr>
                <w:rFonts w:hint="eastAsia" w:ascii="Times New Roman" w:hAnsi="Times New Roman" w:eastAsia="宋体" w:cs="Times New Roman"/>
                <w:b w:val="0"/>
                <w:bCs/>
                <w:color w:val="000000"/>
                <w:kern w:val="0"/>
                <w:sz w:val="24"/>
                <w:szCs w:val="24"/>
                <w:lang w:val="en-US" w:eastAsia="zh-CN"/>
              </w:rPr>
              <w:t>3</w:t>
            </w:r>
            <w:r>
              <w:rPr>
                <w:rFonts w:hint="default" w:ascii="Times New Roman" w:hAnsi="Times New Roman" w:eastAsia="宋体" w:cs="Times New Roman"/>
                <w:b w:val="0"/>
                <w:bCs/>
                <w:color w:val="000000"/>
                <w:kern w:val="0"/>
                <w:sz w:val="24"/>
                <w:szCs w:val="24"/>
              </w:rPr>
              <w:t>.</w:t>
            </w:r>
            <w:r>
              <w:rPr>
                <w:rFonts w:hint="eastAsia" w:ascii="Times New Roman" w:hAnsi="Times New Roman" w:cs="Times New Roman"/>
                <w:b w:val="0"/>
                <w:bCs/>
                <w:color w:val="000000"/>
                <w:kern w:val="0"/>
                <w:sz w:val="24"/>
                <w:szCs w:val="24"/>
                <w:lang w:val="en-US" w:eastAsia="zh-CN"/>
              </w:rPr>
              <w:t>2</w:t>
            </w:r>
            <w:r>
              <w:rPr>
                <w:rFonts w:hint="default" w:ascii="Times New Roman" w:hAnsi="Times New Roman" w:eastAsia="宋体" w:cs="Times New Roman"/>
                <w:b w:val="0"/>
                <w:bCs/>
                <w:color w:val="000000"/>
                <w:kern w:val="0"/>
                <w:sz w:val="24"/>
                <w:szCs w:val="24"/>
              </w:rPr>
              <w:t>.2</w:t>
            </w:r>
            <w:r>
              <w:rPr>
                <w:rFonts w:hint="default" w:ascii="Times New Roman" w:hAnsi="Times New Roman" w:eastAsia="宋体" w:cs="Times New Roman"/>
                <w:b w:val="0"/>
                <w:bCs/>
                <w:color w:val="000000"/>
                <w:sz w:val="24"/>
                <w:szCs w:val="24"/>
              </w:rPr>
              <w:t>危险废物的</w:t>
            </w:r>
            <w:r>
              <w:rPr>
                <w:rFonts w:hint="default" w:ascii="Times New Roman" w:hAnsi="Times New Roman" w:eastAsia="宋体" w:cs="Times New Roman"/>
                <w:b w:val="0"/>
                <w:bCs/>
                <w:color w:val="000000"/>
                <w:kern w:val="0"/>
                <w:sz w:val="24"/>
                <w:szCs w:val="24"/>
              </w:rPr>
              <w:t>暂存要求</w:t>
            </w:r>
          </w:p>
          <w:p>
            <w:pPr>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（1）危险废物储存间按照《危险废物贮存污染控制标准》(GB18597-2001)及其修改单和《危险废物收集贮存运输技术规范》(HJ2025-2012)的相关要求，采取地面防渗、设置围堰、不同危险废物进行隔离存放的措施。</w:t>
            </w:r>
          </w:p>
          <w:p>
            <w:pPr>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（2）企业须健全危险废物相关管理制度，并严格落实。①企业须配备专业技术人员和管理人员专门负责企业</w:t>
            </w:r>
            <w:r>
              <w:rPr>
                <w:rFonts w:hint="eastAsia" w:ascii="Times New Roman" w:hAnsi="Times New Roman" w:cs="Times New Roman"/>
                <w:color w:val="000000"/>
                <w:sz w:val="24"/>
                <w:szCs w:val="24"/>
                <w:lang w:eastAsia="zh-CN"/>
              </w:rPr>
              <w:t>油罐油泥、油水烃混合物</w:t>
            </w:r>
            <w:r>
              <w:rPr>
                <w:rFonts w:hint="eastAsia" w:ascii="Times New Roman" w:hAnsi="Times New Roman" w:eastAsia="宋体" w:cs="Times New Roman"/>
                <w:color w:val="000000"/>
                <w:sz w:val="24"/>
                <w:szCs w:val="24"/>
                <w:lang w:eastAsia="zh-CN"/>
              </w:rPr>
              <w:t>的</w:t>
            </w:r>
            <w:r>
              <w:rPr>
                <w:rFonts w:hint="default" w:ascii="Times New Roman" w:hAnsi="Times New Roman" w:eastAsia="宋体" w:cs="Times New Roman"/>
                <w:color w:val="000000"/>
                <w:sz w:val="24"/>
                <w:szCs w:val="24"/>
              </w:rPr>
              <w:t>统</w:t>
            </w:r>
            <w:r>
              <w:rPr>
                <w:rFonts w:hint="default" w:ascii="Times New Roman" w:hAnsi="Times New Roman" w:eastAsia="宋体" w:cs="Times New Roman"/>
                <w:bCs/>
                <w:color w:val="000000"/>
                <w:kern w:val="0"/>
                <w:sz w:val="24"/>
                <w:szCs w:val="24"/>
              </w:rPr>
              <w:t>计、收集、暂存、转运和管理工作，并对有关危废产生部门员工进行定期教育和培训，强化危险废物管理；②企业须建立</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收集操作规程、转运操作规程、暂存管理规程等相关制度，并认真落实；③规范</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统计、建立</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收集及储运有关档案，认真填写《危险废物项目区内转运记录表》，</w:t>
            </w:r>
            <w:r>
              <w:rPr>
                <w:rFonts w:hint="default" w:ascii="Times New Roman" w:hAnsi="Times New Roman" w:eastAsia="宋体" w:cs="Times New Roman"/>
                <w:bCs/>
                <w:color w:val="000000"/>
                <w:kern w:val="0"/>
                <w:sz w:val="24"/>
                <w:szCs w:val="24"/>
                <w:lang w:eastAsia="zh-CN"/>
              </w:rPr>
              <w:t>做</w:t>
            </w:r>
            <w:r>
              <w:rPr>
                <w:rFonts w:hint="default" w:ascii="Times New Roman" w:hAnsi="Times New Roman" w:eastAsia="宋体" w:cs="Times New Roman"/>
                <w:bCs/>
                <w:color w:val="000000"/>
                <w:kern w:val="0"/>
                <w:sz w:val="24"/>
                <w:szCs w:val="24"/>
              </w:rPr>
              <w:t>好</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情况的记录，并即时存档以备查阅。</w:t>
            </w:r>
          </w:p>
          <w:p>
            <w:pPr>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（3）危险废物在危废库房内暂存期间应严格按照《危险废物贮存污染控制标准》（GB18596-2001）和《危险废物收集贮存运输技术规范》（HJ2025-2012）的相关要求进行存储和管理。①必须将</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装入容器内进行密封装运，禁止将不相容（相互反应）的危险废物在同一容器内混装；②盛装</w:t>
            </w:r>
            <w:r>
              <w:rPr>
                <w:rFonts w:hint="eastAsia" w:ascii="Times New Roman" w:hAnsi="Times New Roman" w:cs="Times New Roman"/>
                <w:color w:val="000000"/>
                <w:sz w:val="24"/>
                <w:szCs w:val="24"/>
                <w:lang w:eastAsia="zh-CN"/>
              </w:rPr>
              <w:t>油罐油泥、油水烃混合物</w:t>
            </w:r>
            <w:r>
              <w:rPr>
                <w:rFonts w:hint="default" w:ascii="Times New Roman" w:hAnsi="Times New Roman" w:eastAsia="宋体" w:cs="Times New Roman"/>
                <w:bCs/>
                <w:color w:val="000000"/>
                <w:kern w:val="0"/>
                <w:sz w:val="24"/>
                <w:szCs w:val="24"/>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keepNext w:val="0"/>
              <w:keepLines w:val="0"/>
              <w:pageBreakBefore w:val="0"/>
              <w:widowControl w:val="0"/>
              <w:kinsoku/>
              <w:wordWrap/>
              <w:overflowPunct/>
              <w:topLinePunct w:val="0"/>
              <w:autoSpaceDE/>
              <w:autoSpaceDN/>
              <w:bidi w:val="0"/>
              <w:adjustRightInd/>
              <w:snapToGrid/>
              <w:spacing w:line="520" w:lineRule="exact"/>
              <w:ind w:firstLine="482"/>
              <w:textAlignment w:val="auto"/>
              <w:rPr>
                <w:rFonts w:hint="default" w:ascii="Times New Roman" w:hAnsi="Times New Roman" w:eastAsia="宋体" w:cs="Times New Roman"/>
                <w:b w:val="0"/>
                <w:bCs/>
                <w:color w:val="000000"/>
                <w:kern w:val="0"/>
                <w:sz w:val="24"/>
                <w:szCs w:val="24"/>
              </w:rPr>
            </w:pPr>
            <w:r>
              <w:rPr>
                <w:rFonts w:hint="eastAsia" w:ascii="Times New Roman" w:hAnsi="Times New Roman" w:eastAsia="宋体" w:cs="Times New Roman"/>
                <w:b w:val="0"/>
                <w:bCs/>
                <w:color w:val="000000"/>
                <w:kern w:val="0"/>
                <w:sz w:val="24"/>
                <w:szCs w:val="24"/>
                <w:lang w:val="en-US" w:eastAsia="zh-CN"/>
              </w:rPr>
              <w:t>3</w:t>
            </w:r>
            <w:r>
              <w:rPr>
                <w:rFonts w:hint="default" w:ascii="Times New Roman" w:hAnsi="Times New Roman" w:eastAsia="宋体" w:cs="Times New Roman"/>
                <w:b w:val="0"/>
                <w:bCs/>
                <w:color w:val="000000"/>
                <w:kern w:val="0"/>
                <w:sz w:val="24"/>
                <w:szCs w:val="24"/>
              </w:rPr>
              <w:t>.</w:t>
            </w:r>
            <w:r>
              <w:rPr>
                <w:rFonts w:hint="eastAsia" w:ascii="Times New Roman" w:hAnsi="Times New Roman" w:cs="Times New Roman"/>
                <w:b w:val="0"/>
                <w:bCs/>
                <w:color w:val="000000"/>
                <w:kern w:val="0"/>
                <w:sz w:val="24"/>
                <w:szCs w:val="24"/>
                <w:lang w:val="en-US" w:eastAsia="zh-CN"/>
              </w:rPr>
              <w:t>2</w:t>
            </w:r>
            <w:r>
              <w:rPr>
                <w:rFonts w:hint="default" w:ascii="Times New Roman" w:hAnsi="Times New Roman" w:eastAsia="宋体" w:cs="Times New Roman"/>
                <w:b w:val="0"/>
                <w:bCs/>
                <w:color w:val="000000"/>
                <w:kern w:val="0"/>
                <w:sz w:val="24"/>
                <w:szCs w:val="24"/>
              </w:rPr>
              <w:t>.3危险废物的转运</w:t>
            </w:r>
          </w:p>
          <w:p>
            <w:pPr>
              <w:keepNext w:val="0"/>
              <w:keepLines w:val="0"/>
              <w:pageBreakBefore w:val="0"/>
              <w:widowControl w:val="0"/>
              <w:kinsoku/>
              <w:wordWrap/>
              <w:overflowPunct/>
              <w:topLinePunct w:val="0"/>
              <w:autoSpaceDE/>
              <w:autoSpaceDN/>
              <w:bidi w:val="0"/>
              <w:adjustRightInd w:val="0"/>
              <w:snapToGrid w:val="0"/>
              <w:spacing w:line="520" w:lineRule="exact"/>
              <w:ind w:firstLine="480"/>
              <w:textAlignment w:val="auto"/>
              <w:rPr>
                <w:rFonts w:hint="default" w:ascii="Times New Roman" w:hAnsi="Times New Roman" w:eastAsia="宋体" w:cs="Times New Roman"/>
                <w:bCs/>
                <w:color w:val="000000"/>
                <w:kern w:val="0"/>
                <w:sz w:val="24"/>
                <w:szCs w:val="24"/>
              </w:rPr>
            </w:pPr>
            <w:r>
              <w:rPr>
                <w:rFonts w:hint="default" w:ascii="Times New Roman" w:hAnsi="Times New Roman" w:eastAsia="宋体" w:cs="Times New Roman"/>
                <w:bCs/>
                <w:color w:val="000000"/>
                <w:kern w:val="0"/>
                <w:sz w:val="24"/>
                <w:szCs w:val="24"/>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w:t>
            </w:r>
            <w:r>
              <w:rPr>
                <w:rFonts w:hint="eastAsia" w:ascii="宋体" w:hAnsi="宋体" w:eastAsia="宋体" w:cs="宋体"/>
                <w:b w:val="0"/>
                <w:bCs/>
                <w:color w:val="000000"/>
                <w:kern w:val="0"/>
                <w:sz w:val="24"/>
                <w:szCs w:val="24"/>
                <w:lang w:val="en-US" w:eastAsia="zh-CN"/>
              </w:rPr>
              <w:t>危险废物转移时应按</w:t>
            </w:r>
            <w:r>
              <w:rPr>
                <w:rFonts w:hint="default" w:ascii="Times New Roman" w:hAnsi="Times New Roman" w:eastAsia="宋体" w:cs="Times New Roman"/>
                <w:b w:val="0"/>
                <w:bCs/>
                <w:color w:val="000000"/>
                <w:kern w:val="0"/>
                <w:sz w:val="24"/>
                <w:szCs w:val="24"/>
                <w:lang w:val="en-US" w:eastAsia="zh-CN"/>
              </w:rPr>
              <w:t>照《</w:t>
            </w:r>
            <w:r>
              <w:rPr>
                <w:rStyle w:val="28"/>
                <w:rFonts w:hint="default" w:ascii="Times New Roman" w:hAnsi="Times New Roman" w:eastAsia="宋体" w:cs="Times New Roman"/>
                <w:b w:val="0"/>
                <w:bCs/>
                <w:i w:val="0"/>
                <w:caps w:val="0"/>
                <w:color w:val="000000"/>
                <w:spacing w:val="0"/>
                <w:sz w:val="24"/>
                <w:szCs w:val="24"/>
                <w:shd w:val="clear" w:color="auto" w:fill="FFFFFF"/>
              </w:rPr>
              <w:t>中华人民共和国固体废物污染环境防治法</w:t>
            </w:r>
            <w:r>
              <w:rPr>
                <w:rFonts w:hint="default" w:ascii="Times New Roman" w:hAnsi="Times New Roman" w:eastAsia="宋体" w:cs="Times New Roman"/>
                <w:b w:val="0"/>
                <w:bCs/>
                <w:color w:val="000000"/>
                <w:kern w:val="0"/>
                <w:sz w:val="24"/>
                <w:szCs w:val="24"/>
                <w:lang w:val="en-US" w:eastAsia="zh-CN"/>
              </w:rPr>
              <w:t>》（2020年修订）中第八十二条要求进</w:t>
            </w:r>
            <w:r>
              <w:rPr>
                <w:rFonts w:hint="eastAsia" w:ascii="宋体" w:hAnsi="宋体" w:eastAsia="宋体" w:cs="宋体"/>
                <w:b w:val="0"/>
                <w:bCs/>
                <w:color w:val="000000"/>
                <w:kern w:val="0"/>
                <w:sz w:val="24"/>
                <w:szCs w:val="24"/>
                <w:lang w:val="en-US" w:eastAsia="zh-CN"/>
              </w:rPr>
              <w:t>行转移：</w:t>
            </w:r>
            <w:r>
              <w:rPr>
                <w:rFonts w:hint="eastAsia" w:ascii="宋体" w:hAnsi="宋体" w:eastAsia="宋体" w:cs="宋体"/>
                <w:b w:val="0"/>
                <w:bCs/>
                <w:i w:val="0"/>
                <w:caps w:val="0"/>
                <w:color w:val="000000"/>
                <w:spacing w:val="0"/>
                <w:sz w:val="24"/>
                <w:szCs w:val="24"/>
                <w:shd w:val="clear" w:color="auto" w:fill="FFFFFF"/>
              </w:rPr>
              <w:t>转</w:t>
            </w:r>
            <w:r>
              <w:rPr>
                <w:rFonts w:hint="eastAsia" w:ascii="宋体" w:hAnsi="宋体" w:eastAsia="宋体" w:cs="宋体"/>
                <w:i w:val="0"/>
                <w:caps w:val="0"/>
                <w:color w:val="000000"/>
                <w:spacing w:val="0"/>
                <w:sz w:val="24"/>
                <w:szCs w:val="24"/>
                <w:shd w:val="clear" w:color="auto" w:fill="FFFFFF"/>
              </w:rPr>
              <w:t>移危险废物的，应当按照国家有关规定填写、运行危险废物电子或者纸质转移联单。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危险废物转移管理应当全程管控、提高效率，具体办法</w:t>
            </w:r>
            <w:r>
              <w:rPr>
                <w:rFonts w:hint="eastAsia" w:ascii="宋体" w:hAnsi="宋体" w:eastAsia="宋体" w:cs="宋体"/>
                <w:i w:val="0"/>
                <w:caps w:val="0"/>
                <w:color w:val="000000"/>
                <w:spacing w:val="0"/>
                <w:sz w:val="24"/>
                <w:szCs w:val="24"/>
                <w:shd w:val="clear" w:color="auto" w:fill="FFFFFF"/>
                <w:lang w:eastAsia="zh-CN"/>
              </w:rPr>
              <w:t>参照《危险废物转移管理办法》</w:t>
            </w:r>
            <w:r>
              <w:rPr>
                <w:rFonts w:hint="default" w:ascii="Times New Roman" w:hAnsi="Times New Roman" w:eastAsia="宋体" w:cs="Times New Roman"/>
                <w:i w:val="0"/>
                <w:caps w:val="0"/>
                <w:color w:val="000000"/>
                <w:spacing w:val="0"/>
                <w:sz w:val="24"/>
                <w:szCs w:val="24"/>
                <w:shd w:val="clear" w:color="auto" w:fill="FFFFFF"/>
                <w:lang w:eastAsia="zh-CN"/>
              </w:rPr>
              <w:t>（</w:t>
            </w:r>
            <w:r>
              <w:rPr>
                <w:rFonts w:hint="default" w:ascii="Times New Roman" w:hAnsi="Times New Roman" w:eastAsia="宋体" w:cs="Times New Roman"/>
                <w:i w:val="0"/>
                <w:caps w:val="0"/>
                <w:color w:val="000000"/>
                <w:spacing w:val="0"/>
                <w:sz w:val="24"/>
                <w:szCs w:val="24"/>
                <w:shd w:val="clear" w:color="auto" w:fill="FFFFFF"/>
                <w:lang w:val="en-US" w:eastAsia="zh-CN"/>
              </w:rPr>
              <w:t>2021年11月30日</w:t>
            </w:r>
            <w:r>
              <w:rPr>
                <w:rFonts w:hint="default" w:ascii="Times New Roman" w:hAnsi="Times New Roman" w:eastAsia="宋体" w:cs="Times New Roman"/>
                <w:i w:val="0"/>
                <w:caps w:val="0"/>
                <w:color w:val="000000"/>
                <w:spacing w:val="0"/>
                <w:sz w:val="24"/>
                <w:szCs w:val="24"/>
                <w:shd w:val="clear" w:color="auto" w:fill="FFFFFF"/>
                <w:lang w:eastAsia="zh-CN"/>
              </w:rPr>
              <w:t>）</w:t>
            </w:r>
            <w:r>
              <w:rPr>
                <w:rFonts w:hint="eastAsia" w:ascii="宋体" w:hAnsi="宋体" w:eastAsia="宋体" w:cs="宋体"/>
                <w:i w:val="0"/>
                <w:caps w:val="0"/>
                <w:color w:val="000000"/>
                <w:spacing w:val="0"/>
                <w:sz w:val="24"/>
                <w:szCs w:val="24"/>
                <w:shd w:val="clear" w:color="auto" w:fill="FFFFFF"/>
                <w:lang w:eastAsia="zh-CN"/>
              </w:rPr>
              <w:t>。</w:t>
            </w:r>
            <w:r>
              <w:rPr>
                <w:rFonts w:hint="default" w:ascii="Times New Roman" w:hAnsi="Times New Roman" w:eastAsia="宋体" w:cs="Times New Roman"/>
                <w:bCs/>
                <w:color w:val="000000"/>
                <w:kern w:val="0"/>
                <w:sz w:val="24"/>
                <w:szCs w:val="24"/>
              </w:rPr>
              <w:t>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kinsoku/>
              <w:wordWrap/>
              <w:overflowPunct/>
              <w:topLinePunct w:val="0"/>
              <w:bidi w:val="0"/>
              <w:adjustRightInd w:val="0"/>
              <w:snapToGrid w:val="0"/>
              <w:spacing w:line="520" w:lineRule="exact"/>
              <w:ind w:firstLine="482" w:firstLineChars="200"/>
              <w:rPr>
                <w:b/>
                <w:color w:val="auto"/>
                <w:sz w:val="24"/>
              </w:rPr>
            </w:pPr>
            <w:r>
              <w:rPr>
                <w:b/>
                <w:color w:val="auto"/>
                <w:sz w:val="24"/>
              </w:rPr>
              <w:t>五、地下水</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u w:val="none"/>
                <w:lang w:eastAsia="zh-CN"/>
              </w:rPr>
            </w:pPr>
            <w:r>
              <w:rPr>
                <w:rFonts w:hint="default" w:ascii="Times New Roman" w:hAnsi="Times New Roman" w:cs="Times New Roman"/>
                <w:b w:val="0"/>
                <w:bCs w:val="0"/>
                <w:color w:val="auto"/>
                <w:sz w:val="24"/>
                <w:szCs w:val="24"/>
                <w:u w:val="none"/>
                <w:lang w:eastAsia="zh-CN"/>
              </w:rPr>
              <w:t>根据《建设项目环境影响报告表编制技术指南（污染影响类）（试行）》，原则上不开展地下水环境质量现状调查。</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Cs/>
                <w:color w:val="auto"/>
                <w:kern w:val="0"/>
                <w:sz w:val="24"/>
                <w:szCs w:val="24"/>
              </w:rPr>
            </w:pPr>
            <w:r>
              <w:rPr>
                <w:rFonts w:hint="default" w:ascii="Times New Roman" w:hAnsi="Times New Roman" w:eastAsia="宋体" w:cs="Times New Roman"/>
                <w:b w:val="0"/>
                <w:bCs w:val="0"/>
                <w:color w:val="auto"/>
                <w:kern w:val="0"/>
                <w:sz w:val="24"/>
                <w:szCs w:val="24"/>
              </w:rPr>
              <w:t>（1）地下水污染源及途径</w:t>
            </w:r>
          </w:p>
          <w:p>
            <w:pPr>
              <w:keepNext w:val="0"/>
              <w:keepLines w:val="0"/>
              <w:pageBreakBefore w:val="0"/>
              <w:widowControl w:val="0"/>
              <w:tabs>
                <w:tab w:val="left" w:pos="568"/>
              </w:tabs>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本项目</w:t>
            </w:r>
            <w:r>
              <w:rPr>
                <w:rFonts w:hint="default" w:ascii="Times New Roman" w:hAnsi="Times New Roman" w:cs="Times New Roman"/>
                <w:bCs/>
                <w:color w:val="auto"/>
                <w:kern w:val="0"/>
                <w:sz w:val="24"/>
                <w:szCs w:val="24"/>
                <w:lang w:eastAsia="zh-CN"/>
              </w:rPr>
              <w:t>为加油站项目，站区设置</w:t>
            </w:r>
            <w:r>
              <w:rPr>
                <w:rFonts w:hint="default" w:ascii="Times New Roman" w:hAnsi="Times New Roman" w:cs="Times New Roman"/>
                <w:bCs/>
                <w:color w:val="auto"/>
                <w:kern w:val="0"/>
                <w:sz w:val="24"/>
                <w:szCs w:val="24"/>
                <w:lang w:val="en-US" w:eastAsia="zh-CN"/>
              </w:rPr>
              <w:t>3</w:t>
            </w:r>
            <w:r>
              <w:rPr>
                <w:rFonts w:hint="default" w:ascii="Times New Roman" w:hAnsi="Times New Roman" w:cs="Times New Roman"/>
                <w:bCs/>
                <w:color w:val="auto"/>
                <w:kern w:val="0"/>
                <w:sz w:val="24"/>
                <w:szCs w:val="24"/>
              </w:rPr>
              <w:t>个储油罐</w:t>
            </w:r>
            <w:r>
              <w:rPr>
                <w:rFonts w:hint="default" w:ascii="Times New Roman" w:hAnsi="Times New Roman" w:cs="Times New Roman"/>
                <w:bCs/>
                <w:color w:val="auto"/>
                <w:kern w:val="0"/>
                <w:sz w:val="24"/>
                <w:szCs w:val="24"/>
                <w:vertAlign w:val="baseline"/>
                <w:lang w:eastAsia="zh-CN"/>
              </w:rPr>
              <w:t>。</w:t>
            </w:r>
            <w:r>
              <w:rPr>
                <w:rFonts w:hint="default" w:ascii="Times New Roman" w:hAnsi="Times New Roman" w:cs="Times New Roman"/>
                <w:bCs/>
                <w:color w:val="auto"/>
                <w:kern w:val="0"/>
                <w:sz w:val="24"/>
                <w:szCs w:val="24"/>
              </w:rPr>
              <w:t>项目在正常工况下，不会污染地下水，但是一旦发生油品泄漏，或其他原因导致油品进入土壤，便会造成地下水污染。因此，本项目对地下水环境可能造成影响的污染源主要是储罐和输油管道的渗漏，主要污染物为石油类。</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（2）地下水污染防治措施</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bCs/>
                <w:color w:val="auto"/>
                <w:kern w:val="0"/>
                <w:sz w:val="24"/>
                <w:szCs w:val="24"/>
              </w:rPr>
              <w:t>根据建设单位提供资料，本项目油罐区采取</w:t>
            </w:r>
            <w:r>
              <w:rPr>
                <w:rFonts w:hint="default" w:ascii="Times New Roman" w:hAnsi="Times New Roman" w:cs="Times New Roman"/>
                <w:b w:val="0"/>
                <w:bCs/>
                <w:color w:val="auto"/>
                <w:kern w:val="0"/>
                <w:sz w:val="24"/>
                <w:szCs w:val="24"/>
                <w:u w:val="none"/>
              </w:rPr>
              <w:t>双层</w:t>
            </w:r>
            <w:r>
              <w:rPr>
                <w:rFonts w:hint="default" w:ascii="Times New Roman" w:hAnsi="Times New Roman" w:cs="Times New Roman"/>
                <w:b w:val="0"/>
                <w:bCs/>
                <w:color w:val="auto"/>
                <w:kern w:val="0"/>
                <w:sz w:val="24"/>
                <w:szCs w:val="24"/>
                <w:u w:val="none"/>
                <w:lang w:val="en-US" w:eastAsia="zh-CN"/>
              </w:rPr>
              <w:t>埋地</w:t>
            </w:r>
            <w:r>
              <w:rPr>
                <w:rFonts w:hint="default" w:ascii="Times New Roman" w:hAnsi="Times New Roman" w:cs="Times New Roman"/>
                <w:b w:val="0"/>
                <w:bCs/>
                <w:color w:val="auto"/>
                <w:kern w:val="0"/>
                <w:sz w:val="24"/>
                <w:szCs w:val="24"/>
                <w:u w:val="none"/>
              </w:rPr>
              <w:t>卧式</w:t>
            </w:r>
            <w:r>
              <w:rPr>
                <w:rFonts w:hint="default" w:ascii="Times New Roman" w:hAnsi="Times New Roman" w:cs="Times New Roman"/>
                <w:b w:val="0"/>
                <w:bCs/>
                <w:color w:val="auto"/>
                <w:kern w:val="0"/>
                <w:sz w:val="24"/>
                <w:szCs w:val="24"/>
                <w:u w:val="none"/>
                <w:lang w:val="en-US" w:eastAsia="zh-CN"/>
              </w:rPr>
              <w:t>储</w:t>
            </w:r>
            <w:r>
              <w:rPr>
                <w:rFonts w:hint="default" w:ascii="Times New Roman" w:hAnsi="Times New Roman" w:cs="Times New Roman"/>
                <w:b w:val="0"/>
                <w:bCs/>
                <w:color w:val="auto"/>
                <w:kern w:val="0"/>
                <w:sz w:val="24"/>
                <w:szCs w:val="24"/>
                <w:u w:val="none"/>
              </w:rPr>
              <w:t>罐</w:t>
            </w:r>
            <w:r>
              <w:rPr>
                <w:rFonts w:hint="default" w:ascii="Times New Roman" w:hAnsi="Times New Roman" w:cs="Times New Roman"/>
                <w:bCs/>
                <w:color w:val="auto"/>
                <w:kern w:val="0"/>
                <w:sz w:val="24"/>
                <w:szCs w:val="24"/>
              </w:rPr>
              <w:t>防渗，为</w:t>
            </w:r>
            <w:r>
              <w:rPr>
                <w:rFonts w:hint="eastAsia" w:ascii="Times New Roman" w:hAnsi="Times New Roman" w:cs="Times New Roman"/>
                <w:bCs/>
                <w:color w:val="auto"/>
                <w:kern w:val="0"/>
                <w:sz w:val="24"/>
                <w:szCs w:val="24"/>
                <w:lang w:val="en-US" w:eastAsia="zh-CN"/>
              </w:rPr>
              <w:t>防止</w:t>
            </w:r>
            <w:r>
              <w:rPr>
                <w:rFonts w:hint="default" w:ascii="Times New Roman" w:hAnsi="Times New Roman" w:cs="Times New Roman"/>
                <w:bCs/>
                <w:color w:val="auto"/>
                <w:kern w:val="0"/>
                <w:sz w:val="24"/>
                <w:szCs w:val="24"/>
              </w:rPr>
              <w:t>油品泄漏对地下水的影响，油罐区在建设过程中采取了以下措施：油罐采用双层储油罐，油罐配置防溢流阀、液位计和高低液位报警器，输油管道采用复合材料管道。卸油管道</w:t>
            </w:r>
            <w:r>
              <w:rPr>
                <w:rFonts w:hint="default" w:ascii="Times New Roman" w:hAnsi="Times New Roman" w:cs="Times New Roman"/>
                <w:bCs/>
                <w:color w:val="auto"/>
                <w:kern w:val="0"/>
                <w:sz w:val="24"/>
                <w:szCs w:val="24"/>
                <w:lang w:val="en-US" w:eastAsia="zh-CN"/>
              </w:rPr>
              <w:t>和油气回收管道</w:t>
            </w:r>
            <w:r>
              <w:rPr>
                <w:rFonts w:hint="default" w:ascii="Times New Roman" w:hAnsi="Times New Roman" w:cs="Times New Roman"/>
                <w:bCs/>
                <w:color w:val="auto"/>
                <w:kern w:val="0"/>
                <w:sz w:val="24"/>
                <w:szCs w:val="24"/>
              </w:rPr>
              <w:t>采用无缝钢管，</w:t>
            </w:r>
            <w:r>
              <w:rPr>
                <w:rFonts w:hint="default" w:ascii="Times New Roman" w:hAnsi="Times New Roman" w:cs="Times New Roman"/>
                <w:bCs/>
                <w:color w:val="auto"/>
                <w:kern w:val="0"/>
                <w:sz w:val="24"/>
                <w:szCs w:val="24"/>
                <w:lang w:val="en-US" w:eastAsia="zh-CN"/>
              </w:rPr>
              <w:t>加油</w:t>
            </w:r>
            <w:r>
              <w:rPr>
                <w:rFonts w:hint="default" w:ascii="Times New Roman" w:hAnsi="Times New Roman" w:cs="Times New Roman"/>
                <w:bCs/>
                <w:color w:val="auto"/>
                <w:kern w:val="0"/>
                <w:sz w:val="24"/>
                <w:szCs w:val="24"/>
              </w:rPr>
              <w:t>管道采用</w:t>
            </w:r>
            <w:r>
              <w:rPr>
                <w:rFonts w:hint="default" w:ascii="Times New Roman" w:hAnsi="Times New Roman" w:cs="Times New Roman"/>
                <w:bCs/>
                <w:color w:val="auto"/>
                <w:kern w:val="0"/>
                <w:sz w:val="24"/>
                <w:szCs w:val="24"/>
                <w:lang w:val="en-US" w:eastAsia="zh-CN"/>
              </w:rPr>
              <w:t>双层复合管道，通气管为镀锌</w:t>
            </w:r>
            <w:r>
              <w:rPr>
                <w:rFonts w:hint="default" w:ascii="Times New Roman" w:hAnsi="Times New Roman" w:cs="Times New Roman"/>
                <w:bCs/>
                <w:color w:val="auto"/>
                <w:kern w:val="0"/>
                <w:sz w:val="24"/>
                <w:szCs w:val="24"/>
              </w:rPr>
              <w:t>钢管。输油管线采用</w:t>
            </w:r>
            <w:r>
              <w:rPr>
                <w:rFonts w:hint="eastAsia" w:cs="Times New Roman"/>
                <w:bCs/>
                <w:color w:val="auto"/>
                <w:kern w:val="0"/>
                <w:sz w:val="24"/>
                <w:szCs w:val="24"/>
                <w:lang w:eastAsia="zh-CN"/>
              </w:rPr>
              <w:t>三</w:t>
            </w:r>
            <w:r>
              <w:rPr>
                <w:rFonts w:hint="default" w:ascii="Times New Roman" w:hAnsi="Times New Roman" w:cs="Times New Roman"/>
                <w:bCs/>
                <w:color w:val="auto"/>
                <w:kern w:val="0"/>
                <w:sz w:val="24"/>
                <w:szCs w:val="24"/>
                <w:lang w:val="en-US" w:eastAsia="zh-CN"/>
              </w:rPr>
              <w:t>油</w:t>
            </w:r>
            <w:r>
              <w:rPr>
                <w:rFonts w:hint="eastAsia" w:cs="Times New Roman"/>
                <w:bCs/>
                <w:color w:val="auto"/>
                <w:kern w:val="0"/>
                <w:sz w:val="24"/>
                <w:szCs w:val="24"/>
                <w:lang w:val="en-US" w:eastAsia="zh-CN"/>
              </w:rPr>
              <w:t>两</w:t>
            </w:r>
            <w:r>
              <w:rPr>
                <w:rFonts w:hint="default" w:ascii="Times New Roman" w:hAnsi="Times New Roman" w:cs="Times New Roman"/>
                <w:bCs/>
                <w:color w:val="auto"/>
                <w:kern w:val="0"/>
                <w:sz w:val="24"/>
                <w:szCs w:val="24"/>
                <w:lang w:val="en-US" w:eastAsia="zh-CN"/>
              </w:rPr>
              <w:t>布</w:t>
            </w:r>
            <w:r>
              <w:rPr>
                <w:rFonts w:hint="default" w:ascii="Times New Roman" w:hAnsi="Times New Roman" w:cs="Times New Roman"/>
                <w:bCs/>
                <w:color w:val="auto"/>
                <w:kern w:val="0"/>
                <w:sz w:val="24"/>
                <w:szCs w:val="24"/>
              </w:rPr>
              <w:t>防腐</w:t>
            </w:r>
            <w:r>
              <w:rPr>
                <w:rFonts w:hint="default" w:ascii="Times New Roman" w:hAnsi="Times New Roman" w:cs="Times New Roman"/>
                <w:bCs/>
                <w:color w:val="auto"/>
                <w:kern w:val="0"/>
                <w:sz w:val="24"/>
                <w:szCs w:val="24"/>
                <w:lang w:eastAsia="zh-CN"/>
              </w:rPr>
              <w:t>，</w:t>
            </w:r>
            <w:r>
              <w:rPr>
                <w:rFonts w:hint="eastAsia" w:cs="Times New Roman"/>
                <w:bCs/>
                <w:color w:val="auto"/>
                <w:kern w:val="0"/>
                <w:sz w:val="24"/>
                <w:szCs w:val="24"/>
                <w:lang w:eastAsia="zh-CN"/>
              </w:rPr>
              <w:t>符</w:t>
            </w:r>
            <w:r>
              <w:rPr>
                <w:rFonts w:hint="default" w:ascii="Times New Roman" w:hAnsi="Times New Roman" w:cs="Times New Roman"/>
                <w:bCs/>
                <w:color w:val="auto"/>
                <w:kern w:val="0"/>
                <w:sz w:val="24"/>
                <w:szCs w:val="24"/>
                <w:lang w:val="en-US" w:eastAsia="zh-CN"/>
              </w:rPr>
              <w:t>合</w:t>
            </w:r>
            <w:r>
              <w:rPr>
                <w:rFonts w:hint="default" w:ascii="Times New Roman" w:hAnsi="Times New Roman" w:cs="Times New Roman"/>
                <w:bCs/>
                <w:color w:val="auto"/>
                <w:kern w:val="0"/>
                <w:sz w:val="24"/>
                <w:szCs w:val="24"/>
              </w:rPr>
              <w:t>《钢制管道及储油罐腐蚀控制工程设计规范》设</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lang w:val="en-US" w:eastAsia="zh-CN"/>
              </w:rPr>
              <w:t>GB/T21447</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lang w:val="en-US" w:eastAsia="zh-CN"/>
              </w:rPr>
              <w:t>的有关规定</w:t>
            </w:r>
            <w:r>
              <w:rPr>
                <w:rFonts w:hint="default" w:ascii="Times New Roman" w:hAnsi="Times New Roman" w:cs="Times New Roman"/>
                <w:bCs/>
                <w:color w:val="auto"/>
                <w:kern w:val="0"/>
                <w:sz w:val="24"/>
                <w:szCs w:val="24"/>
              </w:rPr>
              <w:t>。</w:t>
            </w:r>
            <w:r>
              <w:rPr>
                <w:rFonts w:hint="default" w:ascii="Times New Roman" w:hAnsi="Times New Roman" w:cs="Times New Roman"/>
                <w:bCs/>
                <w:color w:val="auto"/>
                <w:kern w:val="0"/>
                <w:sz w:val="24"/>
                <w:szCs w:val="24"/>
                <w:lang w:val="en-US" w:eastAsia="zh-CN"/>
              </w:rPr>
              <w:t>加油站其他区域</w:t>
            </w:r>
            <w:r>
              <w:rPr>
                <w:rFonts w:hint="default" w:ascii="Times New Roman" w:hAnsi="Times New Roman" w:cs="Times New Roman"/>
                <w:bCs/>
                <w:color w:val="auto"/>
                <w:kern w:val="0"/>
                <w:sz w:val="24"/>
                <w:szCs w:val="24"/>
              </w:rPr>
              <w:t>采用混凝土浇筑硬化。</w:t>
            </w:r>
          </w:p>
          <w:p>
            <w:pPr>
              <w:keepNext w:val="0"/>
              <w:keepLines w:val="0"/>
              <w:pageBreakBefore w:val="0"/>
              <w:widowControl w:val="0"/>
              <w:kinsoku/>
              <w:wordWrap/>
              <w:overflowPunct/>
              <w:topLinePunct w:val="0"/>
              <w:autoSpaceDE w:val="0"/>
              <w:autoSpaceDN w:val="0"/>
              <w:bidi w:val="0"/>
              <w:adjustRightInd/>
              <w:snapToGrid/>
              <w:spacing w:line="520" w:lineRule="exact"/>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为确保本区域地下水不受到本项目污染，将</w:t>
            </w:r>
            <w:r>
              <w:rPr>
                <w:rFonts w:hint="eastAsia" w:ascii="Times New Roman" w:hAnsi="Times New Roman" w:cs="Times New Roman"/>
                <w:color w:val="auto"/>
                <w:sz w:val="24"/>
                <w:szCs w:val="24"/>
                <w:lang w:val="en-US" w:eastAsia="zh-CN"/>
              </w:rPr>
              <w:t>加油站内</w:t>
            </w:r>
            <w:r>
              <w:rPr>
                <w:rFonts w:hint="default" w:ascii="Times New Roman" w:hAnsi="Times New Roman" w:cs="Times New Roman"/>
                <w:color w:val="auto"/>
                <w:sz w:val="24"/>
                <w:szCs w:val="24"/>
                <w:lang w:eastAsia="zh-CN"/>
              </w:rPr>
              <w:t>发生物料泄漏是否容易和能否及时得到处理作为污染防治分区的划分原则，据此</w:t>
            </w:r>
            <w:r>
              <w:rPr>
                <w:rFonts w:hint="eastAsia" w:ascii="Times New Roman" w:hAnsi="Times New Roman" w:cs="Times New Roman"/>
                <w:color w:val="auto"/>
                <w:sz w:val="24"/>
                <w:szCs w:val="24"/>
                <w:lang w:val="en-US" w:eastAsia="zh-CN"/>
              </w:rPr>
              <w:t>加油站内</w:t>
            </w:r>
            <w:r>
              <w:rPr>
                <w:rFonts w:hint="default" w:ascii="Times New Roman" w:hAnsi="Times New Roman" w:cs="Times New Roman"/>
                <w:color w:val="auto"/>
                <w:sz w:val="24"/>
                <w:szCs w:val="24"/>
                <w:lang w:eastAsia="zh-CN"/>
              </w:rPr>
              <w:t>划分</w:t>
            </w:r>
            <w:r>
              <w:rPr>
                <w:rFonts w:hint="eastAsia" w:ascii="Times New Roman" w:hAnsi="Times New Roman" w:cs="Times New Roman"/>
                <w:color w:val="auto"/>
                <w:sz w:val="24"/>
                <w:szCs w:val="24"/>
                <w:lang w:val="en-US" w:eastAsia="zh-CN"/>
              </w:rPr>
              <w:t>为</w:t>
            </w:r>
            <w:r>
              <w:rPr>
                <w:rFonts w:hint="default" w:ascii="Times New Roman" w:hAnsi="Times New Roman" w:cs="Times New Roman"/>
                <w:color w:val="auto"/>
                <w:sz w:val="24"/>
                <w:szCs w:val="24"/>
                <w:lang w:eastAsia="zh-CN"/>
              </w:rPr>
              <w:t>重点防渗区、一般防渗区。</w:t>
            </w:r>
          </w:p>
          <w:p>
            <w:pPr>
              <w:keepNext w:val="0"/>
              <w:keepLines w:val="0"/>
              <w:pageBreakBefore w:val="0"/>
              <w:widowControl w:val="0"/>
              <w:kinsoku/>
              <w:wordWrap/>
              <w:overflowPunct/>
              <w:topLinePunct w:val="0"/>
              <w:autoSpaceDE w:val="0"/>
              <w:autoSpaceDN w:val="0"/>
              <w:bidi w:val="0"/>
              <w:adjustRightInd/>
              <w:snapToGrid/>
              <w:spacing w:line="520" w:lineRule="exact"/>
              <w:ind w:firstLine="480"/>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szCs w:val="24"/>
                <w:lang w:eastAsia="zh-CN"/>
              </w:rPr>
              <w:t>重点防渗区：本项目埋地油库、加油作业区、</w:t>
            </w:r>
            <w:r>
              <w:rPr>
                <w:rFonts w:hint="default" w:ascii="Times New Roman" w:hAnsi="Times New Roman" w:cs="Times New Roman"/>
                <w:color w:val="auto"/>
                <w:sz w:val="24"/>
                <w:szCs w:val="24"/>
              </w:rPr>
              <w:t>厂区内的输油管线</w:t>
            </w:r>
            <w:r>
              <w:rPr>
                <w:rFonts w:hint="default" w:ascii="Times New Roman" w:hAnsi="Times New Roman" w:cs="Times New Roman"/>
                <w:color w:val="auto"/>
                <w:sz w:val="24"/>
                <w:szCs w:val="24"/>
                <w:lang w:eastAsia="zh-CN"/>
              </w:rPr>
              <w:t>、化粪池</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lang w:val="en-US" w:eastAsia="zh-CN"/>
              </w:rPr>
              <w:t>危废间、监测井</w:t>
            </w:r>
            <w:r>
              <w:rPr>
                <w:rFonts w:hint="default" w:ascii="Times New Roman" w:hAnsi="Times New Roman" w:cs="Times New Roman"/>
                <w:color w:val="auto"/>
                <w:sz w:val="24"/>
                <w:lang w:eastAsia="zh-CN"/>
              </w:rPr>
              <w:t>按重点防渗区要求进行防腐防渗。重点防渗区指对地下水环境有污染的物料或污染物泄漏后，不能发现和处理的区域或部位，主要包括埋地油库、加油区、</w:t>
            </w:r>
            <w:r>
              <w:rPr>
                <w:rFonts w:hint="default" w:ascii="Times New Roman" w:hAnsi="Times New Roman" w:cs="Times New Roman"/>
                <w:color w:val="auto"/>
                <w:sz w:val="24"/>
              </w:rPr>
              <w:t>厂区内的输油管线</w:t>
            </w:r>
            <w:r>
              <w:rPr>
                <w:rFonts w:hint="default" w:ascii="Times New Roman" w:hAnsi="Times New Roman" w:cs="Times New Roman"/>
                <w:color w:val="auto"/>
                <w:sz w:val="24"/>
                <w:lang w:eastAsia="zh-CN"/>
              </w:rPr>
              <w:t>、化粪池等，加油作业区</w:t>
            </w:r>
            <w:r>
              <w:rPr>
                <w:rFonts w:hint="default" w:ascii="Times New Roman" w:hAnsi="Times New Roman" w:cs="Times New Roman"/>
                <w:color w:val="auto"/>
                <w:sz w:val="24"/>
              </w:rPr>
              <w:t>地面硬化</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项目采用双层卧式油罐</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地埋式储油罐材料为钢，可有效防止储油罐油气下渗。卸油、通气、油气回收工艺管道采用无缝钢管，管道组成件与无缝钢管材质相同，埋地管道外面涂有防腐绝缘保护层。</w:t>
            </w:r>
          </w:p>
          <w:p>
            <w:pPr>
              <w:keepNext w:val="0"/>
              <w:keepLines w:val="0"/>
              <w:pageBreakBefore w:val="0"/>
              <w:widowControl w:val="0"/>
              <w:kinsoku/>
              <w:wordWrap/>
              <w:overflowPunct/>
              <w:topLinePunct w:val="0"/>
              <w:autoSpaceDE w:val="0"/>
              <w:autoSpaceDN w:val="0"/>
              <w:bidi w:val="0"/>
              <w:adjustRightInd/>
              <w:snapToGrid/>
              <w:spacing w:line="520" w:lineRule="exact"/>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一般防渗区：</w:t>
            </w:r>
            <w:r>
              <w:rPr>
                <w:rFonts w:hint="default" w:ascii="Times New Roman" w:hAnsi="Times New Roman" w:cs="Times New Roman"/>
                <w:color w:val="auto"/>
                <w:sz w:val="24"/>
                <w:szCs w:val="24"/>
                <w:lang w:val="en-US" w:eastAsia="zh-CN"/>
              </w:rPr>
              <w:t>除油罐区和加油岛之外的所有区域地面采取粘土铺底，再在上层铺10</w:t>
            </w:r>
            <w:r>
              <w:rPr>
                <w:rFonts w:hint="default" w:ascii="Times New Roman" w:hAnsi="Times New Roman" w:eastAsia="微软雅黑" w:cs="Times New Roman"/>
                <w:color w:val="auto"/>
                <w:sz w:val="24"/>
                <w:szCs w:val="24"/>
                <w:lang w:val="en-US" w:eastAsia="zh-CN"/>
              </w:rPr>
              <w:t>~</w:t>
            </w:r>
            <w:r>
              <w:rPr>
                <w:rFonts w:hint="default" w:ascii="Times New Roman" w:hAnsi="Times New Roman" w:cs="Times New Roman"/>
                <w:color w:val="auto"/>
                <w:sz w:val="24"/>
                <w:szCs w:val="24"/>
                <w:lang w:val="en-US" w:eastAsia="zh-CN"/>
              </w:rPr>
              <w:t>15cm的水泥进行硬化。</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lang w:eastAsia="zh-CN"/>
              </w:rPr>
              <w:t>根据《加油站地下水污染防治技术指南》（试行）</w:t>
            </w:r>
            <w:r>
              <w:rPr>
                <w:rFonts w:hint="default" w:ascii="Times New Roman" w:hAnsi="Times New Roman" w:cs="Times New Roman"/>
                <w:b w:val="0"/>
                <w:bCs/>
                <w:color w:val="auto"/>
                <w:kern w:val="0"/>
                <w:sz w:val="24"/>
                <w:szCs w:val="24"/>
                <w:highlight w:val="none"/>
                <w:u w:val="none"/>
                <w:lang w:eastAsia="zh-CN"/>
              </w:rPr>
              <w:t>，</w:t>
            </w:r>
            <w:r>
              <w:rPr>
                <w:rFonts w:hint="default" w:ascii="Times New Roman" w:hAnsi="Times New Roman" w:cs="Times New Roman"/>
                <w:b w:val="0"/>
                <w:bCs/>
                <w:color w:val="auto"/>
                <w:kern w:val="0"/>
                <w:sz w:val="24"/>
                <w:szCs w:val="24"/>
                <w:highlight w:val="none"/>
                <w:u w:val="none"/>
              </w:rPr>
              <w:t>本项目</w:t>
            </w:r>
            <w:r>
              <w:rPr>
                <w:rFonts w:hint="eastAsia" w:cs="Times New Roman"/>
                <w:b w:val="0"/>
                <w:bCs/>
                <w:color w:val="auto"/>
                <w:kern w:val="0"/>
                <w:sz w:val="24"/>
                <w:szCs w:val="24"/>
                <w:highlight w:val="none"/>
                <w:u w:val="none"/>
                <w:lang w:val="en-US" w:eastAsia="zh-CN"/>
              </w:rPr>
              <w:t>拟</w:t>
            </w:r>
            <w:r>
              <w:rPr>
                <w:rFonts w:hint="default" w:ascii="Times New Roman" w:hAnsi="Times New Roman" w:cs="Times New Roman"/>
                <w:b w:val="0"/>
                <w:bCs/>
                <w:color w:val="auto"/>
                <w:kern w:val="0"/>
                <w:sz w:val="24"/>
                <w:szCs w:val="24"/>
                <w:highlight w:val="none"/>
                <w:u w:val="none"/>
              </w:rPr>
              <w:t>设置1个监测井</w:t>
            </w:r>
            <w:r>
              <w:rPr>
                <w:rFonts w:hint="default" w:ascii="Times New Roman" w:hAnsi="Times New Roman" w:cs="Times New Roman"/>
                <w:b w:val="0"/>
                <w:bCs/>
                <w:color w:val="auto"/>
                <w:kern w:val="0"/>
                <w:sz w:val="24"/>
                <w:szCs w:val="24"/>
                <w:highlight w:val="none"/>
                <w:u w:val="none"/>
                <w:lang w:eastAsia="zh-CN"/>
              </w:rPr>
              <w:t>，</w:t>
            </w:r>
            <w:r>
              <w:rPr>
                <w:rFonts w:hint="default" w:ascii="Times New Roman" w:hAnsi="Times New Roman" w:cs="Times New Roman"/>
                <w:b w:val="0"/>
                <w:bCs/>
                <w:color w:val="auto"/>
                <w:kern w:val="0"/>
                <w:sz w:val="24"/>
                <w:szCs w:val="24"/>
                <w:highlight w:val="none"/>
                <w:u w:val="none"/>
              </w:rPr>
              <w:t>地下水监测井设在</w:t>
            </w:r>
            <w:r>
              <w:rPr>
                <w:rFonts w:hint="default" w:ascii="Times New Roman" w:hAnsi="Times New Roman" w:cs="Times New Roman"/>
                <w:b w:val="0"/>
                <w:bCs/>
                <w:color w:val="auto"/>
                <w:kern w:val="0"/>
                <w:sz w:val="24"/>
                <w:szCs w:val="24"/>
                <w:highlight w:val="none"/>
                <w:u w:val="none"/>
                <w:lang w:val="en-US" w:eastAsia="zh-CN"/>
              </w:rPr>
              <w:t>站房北侧墙边，</w:t>
            </w:r>
            <w:r>
              <w:rPr>
                <w:rFonts w:hint="default" w:ascii="Times New Roman" w:hAnsi="Times New Roman" w:cs="Times New Roman"/>
                <w:b w:val="0"/>
                <w:bCs/>
                <w:color w:val="auto"/>
                <w:kern w:val="0"/>
                <w:sz w:val="24"/>
                <w:szCs w:val="24"/>
                <w:highlight w:val="none"/>
                <w:u w:val="none"/>
              </w:rPr>
              <w:t>可及时发现地</w:t>
            </w:r>
            <w:r>
              <w:rPr>
                <w:rFonts w:hint="default" w:ascii="Times New Roman" w:hAnsi="Times New Roman" w:cs="Times New Roman"/>
                <w:b w:val="0"/>
                <w:bCs/>
                <w:color w:val="auto"/>
                <w:kern w:val="0"/>
                <w:sz w:val="24"/>
                <w:szCs w:val="24"/>
                <w:u w:val="none"/>
              </w:rPr>
              <w:t>下油罐渗漏与否，防止成品油泄漏造成大面积的地下水污染。地下水监测井结构采用一孔成井工艺。</w:t>
            </w:r>
            <w:r>
              <w:rPr>
                <w:rFonts w:hint="default" w:ascii="Times New Roman" w:hAnsi="Times New Roman" w:cs="Times New Roman"/>
                <w:b w:val="0"/>
                <w:bCs/>
                <w:color w:val="auto"/>
                <w:kern w:val="0"/>
                <w:sz w:val="24"/>
                <w:szCs w:val="24"/>
                <w:u w:val="none"/>
                <w:lang w:val="en-US" w:eastAsia="zh-CN"/>
              </w:rPr>
              <w:t>地下水监测</w:t>
            </w:r>
            <w:r>
              <w:rPr>
                <w:rFonts w:hint="default" w:ascii="Times New Roman" w:hAnsi="Times New Roman" w:cs="Times New Roman"/>
                <w:b w:val="0"/>
                <w:bCs/>
                <w:color w:val="auto"/>
                <w:kern w:val="0"/>
                <w:sz w:val="24"/>
                <w:szCs w:val="24"/>
                <w:u w:val="none"/>
              </w:rPr>
              <w:t>指标及频率：</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a、定性监测。</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可通过肉眼观察、使用测油膏、便携式气体监测仪等其他快速方法判定地下水监测井中是否存在油品污染，定性监测每周一次。</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b、定量监测。</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textAlignment w:val="auto"/>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若定性监测发现地下水存在油品污染，立即启动定量监测；若定性监测未发现问题，则每季度监测1次，具体监测指标见下表。</w:t>
            </w:r>
          </w:p>
          <w:p>
            <w:pPr>
              <w:pStyle w:val="9"/>
              <w:bidi w:val="0"/>
              <w:rPr>
                <w:rFonts w:hint="default"/>
                <w:lang w:val="en-US"/>
              </w:rPr>
            </w:pPr>
            <w:r>
              <w:rPr>
                <w:rFonts w:hint="default"/>
                <w:lang w:val="en-US" w:eastAsia="zh-CN"/>
              </w:rPr>
              <w:t>地下水污染源监测内容一览表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09"/>
              <w:gridCol w:w="1515"/>
              <w:gridCol w:w="2870"/>
              <w:gridCol w:w="1056"/>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16"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污染物产生环节</w:t>
                  </w:r>
                </w:p>
              </w:tc>
              <w:tc>
                <w:tcPr>
                  <w:tcW w:w="152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监测点位</w:t>
                  </w:r>
                </w:p>
              </w:tc>
              <w:tc>
                <w:tcPr>
                  <w:tcW w:w="289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监测项目</w:t>
                  </w:r>
                </w:p>
              </w:tc>
              <w:tc>
                <w:tcPr>
                  <w:tcW w:w="106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监测频次</w:t>
                  </w:r>
                </w:p>
              </w:tc>
              <w:tc>
                <w:tcPr>
                  <w:tcW w:w="1886"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eastAsiaTheme="minorEastAsia"/>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69" w:hRule="atLeast"/>
                <w:jc w:val="center"/>
              </w:trPr>
              <w:tc>
                <w:tcPr>
                  <w:tcW w:w="916"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地下水</w:t>
                  </w:r>
                </w:p>
              </w:tc>
              <w:tc>
                <w:tcPr>
                  <w:tcW w:w="1528"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站内监测井</w:t>
                  </w:r>
                </w:p>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113°</w:t>
                  </w:r>
                  <w:r>
                    <w:rPr>
                      <w:rFonts w:hint="eastAsia" w:cs="Times New Roman"/>
                      <w:b w:val="0"/>
                      <w:bCs w:val="0"/>
                      <w:color w:val="auto"/>
                      <w:sz w:val="21"/>
                      <w:szCs w:val="21"/>
                      <w:u w:val="none"/>
                      <w:lang w:val="en-US" w:eastAsia="zh-CN"/>
                    </w:rPr>
                    <w:t>47</w:t>
                  </w:r>
                  <w:r>
                    <w:rPr>
                      <w:rFonts w:hint="default" w:ascii="Times New Roman" w:hAnsi="Times New Roman" w:cs="Times New Roman"/>
                      <w:b w:val="0"/>
                      <w:bCs w:val="0"/>
                      <w:color w:val="auto"/>
                      <w:sz w:val="21"/>
                      <w:szCs w:val="21"/>
                      <w:u w:val="none"/>
                      <w:lang w:val="en-US" w:eastAsia="zh-CN"/>
                    </w:rPr>
                    <w:t>′39.688″</w:t>
                  </w:r>
                </w:p>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3</w:t>
                  </w:r>
                  <w:r>
                    <w:rPr>
                      <w:rFonts w:hint="default" w:ascii="Times New Roman" w:hAnsi="Times New Roman" w:eastAsia="宋体" w:cs="Times New Roman"/>
                      <w:b w:val="0"/>
                      <w:bCs w:val="0"/>
                      <w:color w:val="auto"/>
                      <w:sz w:val="21"/>
                      <w:szCs w:val="21"/>
                      <w:u w:val="none"/>
                      <w:lang w:val="en-US" w:eastAsia="zh-CN"/>
                    </w:rPr>
                    <w:t>5°</w:t>
                  </w:r>
                  <w:r>
                    <w:rPr>
                      <w:rFonts w:hint="eastAsia" w:cs="Times New Roman"/>
                      <w:b w:val="0"/>
                      <w:bCs w:val="0"/>
                      <w:color w:val="auto"/>
                      <w:sz w:val="21"/>
                      <w:szCs w:val="21"/>
                      <w:u w:val="none"/>
                      <w:lang w:val="en-US" w:eastAsia="zh-CN"/>
                    </w:rPr>
                    <w:t>10</w:t>
                  </w:r>
                  <w:r>
                    <w:rPr>
                      <w:rFonts w:hint="default" w:ascii="Times New Roman" w:hAnsi="Times New Roman" w:eastAsia="宋体" w:cs="Times New Roman"/>
                      <w:b w:val="0"/>
                      <w:bCs w:val="0"/>
                      <w:color w:val="auto"/>
                      <w:sz w:val="21"/>
                      <w:szCs w:val="21"/>
                      <w:u w:val="none"/>
                      <w:lang w:val="en-US" w:eastAsia="zh-CN"/>
                    </w:rPr>
                    <w:t>′8.712″</w:t>
                  </w:r>
                </w:p>
              </w:tc>
              <w:tc>
                <w:tcPr>
                  <w:tcW w:w="2895" w:type="dxa"/>
                  <w:vAlign w:val="center"/>
                </w:tcPr>
                <w:p>
                  <w:pPr>
                    <w:pStyle w:val="8"/>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ascii="Times New Roman" w:hAnsi="Times New Roman"/>
                      <w:b w:val="0"/>
                      <w:bCs w:val="0"/>
                      <w:color w:val="auto"/>
                      <w:kern w:val="0"/>
                      <w:sz w:val="21"/>
                      <w:szCs w:val="21"/>
                      <w:u w:val="none"/>
                      <w:lang w:eastAsia="en-US"/>
                    </w:rPr>
                    <w:t>萘</w:t>
                  </w:r>
                  <w:r>
                    <w:rPr>
                      <w:rFonts w:hint="eastAsia" w:ascii="Times New Roman" w:hAnsi="Times New Roman"/>
                      <w:b w:val="0"/>
                      <w:bCs w:val="0"/>
                      <w:color w:val="auto"/>
                      <w:kern w:val="0"/>
                      <w:sz w:val="21"/>
                      <w:szCs w:val="21"/>
                      <w:u w:val="none"/>
                      <w:lang w:eastAsia="zh-CN"/>
                    </w:rPr>
                    <w:t>、</w:t>
                  </w:r>
                  <w:r>
                    <w:rPr>
                      <w:rFonts w:ascii="Times New Roman" w:hAnsi="Times New Roman"/>
                      <w:b w:val="0"/>
                      <w:bCs w:val="0"/>
                      <w:color w:val="auto"/>
                      <w:kern w:val="0"/>
                      <w:sz w:val="21"/>
                      <w:szCs w:val="21"/>
                      <w:u w:val="none"/>
                    </w:rPr>
                    <w:t>苯、甲苯、乙苯、邻二甲苯、间（对）二甲苯</w:t>
                  </w:r>
                  <w:r>
                    <w:rPr>
                      <w:rFonts w:hint="eastAsia" w:ascii="Times New Roman" w:hAnsi="Times New Roman"/>
                      <w:b w:val="0"/>
                      <w:bCs w:val="0"/>
                      <w:color w:val="auto"/>
                      <w:kern w:val="0"/>
                      <w:sz w:val="21"/>
                      <w:szCs w:val="21"/>
                      <w:u w:val="none"/>
                      <w:lang w:eastAsia="zh-CN"/>
                    </w:rPr>
                    <w:t>、</w:t>
                  </w:r>
                  <w:r>
                    <w:rPr>
                      <w:rFonts w:ascii="Times New Roman" w:hAnsi="Times New Roman"/>
                      <w:b w:val="0"/>
                      <w:bCs w:val="0"/>
                      <w:color w:val="auto"/>
                      <w:kern w:val="0"/>
                      <w:sz w:val="21"/>
                      <w:szCs w:val="21"/>
                      <w:u w:val="none"/>
                    </w:rPr>
                    <w:t>甲基叔丁基醚</w:t>
                  </w:r>
                  <w:r>
                    <w:rPr>
                      <w:rFonts w:hint="eastAsia" w:ascii="Times New Roman" w:hAnsi="Times New Roman"/>
                      <w:b w:val="0"/>
                      <w:bCs w:val="0"/>
                      <w:color w:val="auto"/>
                      <w:kern w:val="0"/>
                      <w:sz w:val="21"/>
                      <w:szCs w:val="21"/>
                      <w:u w:val="none"/>
                      <w:lang w:eastAsia="zh-CN"/>
                    </w:rPr>
                    <w:t>、</w:t>
                  </w:r>
                  <w:r>
                    <w:rPr>
                      <w:rFonts w:hint="eastAsia" w:ascii="Times New Roman" w:hAnsi="Times New Roman"/>
                      <w:b w:val="0"/>
                      <w:bCs w:val="0"/>
                      <w:color w:val="auto"/>
                      <w:kern w:val="0"/>
                      <w:sz w:val="21"/>
                      <w:szCs w:val="21"/>
                      <w:u w:val="none"/>
                      <w:lang w:val="en-US" w:eastAsia="zh-CN"/>
                    </w:rPr>
                    <w:t>总石油烃等</w:t>
                  </w:r>
                </w:p>
              </w:tc>
              <w:tc>
                <w:tcPr>
                  <w:tcW w:w="1065" w:type="dxa"/>
                  <w:vAlign w:val="center"/>
                </w:tcPr>
                <w:p>
                  <w:pPr>
                    <w:keepNext w:val="0"/>
                    <w:keepLines w:val="0"/>
                    <w:pageBreakBefore w:val="0"/>
                    <w:widowControl w:val="0"/>
                    <w:kinsoku/>
                    <w:wordWrap/>
                    <w:overflowPunct/>
                    <w:topLinePunct w:val="0"/>
                    <w:autoSpaceDE w:val="0"/>
                    <w:autoSpaceDN w:val="0"/>
                    <w:bidi w:val="0"/>
                    <w:spacing w:line="260" w:lineRule="exact"/>
                    <w:jc w:val="center"/>
                    <w:textAlignment w:val="auto"/>
                    <w:rPr>
                      <w:rFonts w:hint="eastAsia" w:ascii="Times New Roman" w:hAnsi="Times New Roman" w:cs="Times New Roman" w:eastAsiaTheme="minorEastAsia"/>
                      <w:b w:val="0"/>
                      <w:bCs w:val="0"/>
                      <w:color w:val="auto"/>
                      <w:sz w:val="21"/>
                      <w:szCs w:val="21"/>
                      <w:u w:val="none"/>
                      <w:lang w:val="en-US" w:eastAsia="zh-CN"/>
                    </w:rPr>
                  </w:pPr>
                  <w:r>
                    <w:rPr>
                      <w:rFonts w:hint="default" w:ascii="Times New Roman" w:hAnsi="Times New Roman" w:eastAsia="宋体" w:cs="Times New Roman"/>
                      <w:b w:val="0"/>
                      <w:bCs w:val="0"/>
                      <w:color w:val="auto"/>
                      <w:kern w:val="0"/>
                      <w:sz w:val="21"/>
                      <w:szCs w:val="21"/>
                      <w:u w:val="none"/>
                      <w:lang w:val="en-US" w:eastAsia="zh-CN" w:bidi="ar-SA"/>
                    </w:rPr>
                    <w:t>1次/</w:t>
                  </w:r>
                  <w:r>
                    <w:rPr>
                      <w:rFonts w:hint="eastAsia" w:ascii="Times New Roman" w:hAnsi="Times New Roman" w:eastAsia="宋体" w:cs="Times New Roman"/>
                      <w:b w:val="0"/>
                      <w:bCs w:val="0"/>
                      <w:color w:val="auto"/>
                      <w:kern w:val="0"/>
                      <w:sz w:val="21"/>
                      <w:szCs w:val="21"/>
                      <w:u w:val="none"/>
                      <w:lang w:val="en-US" w:eastAsia="zh-CN" w:bidi="ar-SA"/>
                    </w:rPr>
                    <w:t>季度</w:t>
                  </w:r>
                </w:p>
              </w:tc>
              <w:tc>
                <w:tcPr>
                  <w:tcW w:w="1886" w:type="dxa"/>
                  <w:vAlign w:val="center"/>
                </w:tcPr>
                <w:p>
                  <w:pPr>
                    <w:keepNext w:val="0"/>
                    <w:keepLines w:val="0"/>
                    <w:pageBreakBefore w:val="0"/>
                    <w:widowControl w:val="0"/>
                    <w:kinsoku/>
                    <w:wordWrap/>
                    <w:overflowPunct/>
                    <w:topLinePunct w:val="0"/>
                    <w:autoSpaceDE w:val="0"/>
                    <w:autoSpaceDN w:val="0"/>
                    <w:bidi w:val="0"/>
                    <w:adjustRightInd w:val="0"/>
                    <w:snapToGrid w:val="0"/>
                    <w:spacing w:line="260" w:lineRule="exact"/>
                    <w:jc w:val="center"/>
                    <w:textAlignment w:val="auto"/>
                    <w:rPr>
                      <w:rFonts w:hint="default" w:ascii="Times New Roman" w:hAnsi="Times New Roman" w:cs="Times New Roman"/>
                      <w:b w:val="0"/>
                      <w:bCs w:val="0"/>
                      <w:color w:val="auto"/>
                      <w:sz w:val="21"/>
                      <w:szCs w:val="21"/>
                      <w:u w:val="none"/>
                    </w:rPr>
                  </w:pPr>
                  <w:r>
                    <w:rPr>
                      <w:rFonts w:hint="eastAsia" w:cs="宋体"/>
                      <w:b w:val="0"/>
                      <w:bCs w:val="0"/>
                      <w:color w:val="auto"/>
                      <w:kern w:val="0"/>
                      <w:sz w:val="21"/>
                      <w:szCs w:val="21"/>
                      <w:u w:val="none"/>
                      <w:lang w:eastAsia="zh-CN"/>
                    </w:rPr>
                    <w:t>《加油站地下水污染防治技术指南》（试行）</w:t>
                  </w:r>
                </w:p>
              </w:tc>
            </w:tr>
          </w:tbl>
          <w:p>
            <w:pPr>
              <w:pStyle w:val="35"/>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b w:val="0"/>
                <w:bCs w:val="0"/>
                <w:color w:val="auto"/>
                <w:sz w:val="24"/>
                <w:lang w:val="en-US" w:eastAsia="zh-CN"/>
              </w:rPr>
              <w:t xml:space="preserve"> </w:t>
            </w:r>
            <w:r>
              <w:rPr>
                <w:rFonts w:hint="default" w:ascii="Times New Roman" w:hAnsi="Times New Roman" w:cs="Times New Roman"/>
                <w:b w:val="0"/>
                <w:bCs w:val="0"/>
                <w:color w:val="auto"/>
                <w:sz w:val="24"/>
                <w:szCs w:val="24"/>
                <w:lang w:val="en-US" w:eastAsia="zh-CN"/>
              </w:rPr>
              <w:t>（3）地下水环境影响结论</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color w:val="auto"/>
                <w:sz w:val="24"/>
                <w:szCs w:val="24"/>
              </w:rPr>
            </w:pPr>
            <w:r>
              <w:rPr>
                <w:rFonts w:hint="default" w:ascii="Times New Roman" w:hAnsi="Times New Roman" w:cs="Times New Roman"/>
                <w:color w:val="auto"/>
                <w:sz w:val="24"/>
                <w:szCs w:val="24"/>
              </w:rPr>
              <w:t>项目储油罐采用双层卧式成品油储罐，具有良好的防腐性能，储罐区设置防渗罐池，防渗罐池采用防渗钢筋混凝土整体浇筑而成，防渗厚度为30cm，防渗罐池内均由</w:t>
            </w:r>
            <w:r>
              <w:rPr>
                <w:rFonts w:hint="eastAsia" w:ascii="Times New Roman" w:hAnsi="Times New Roman" w:cs="Times New Roman"/>
                <w:color w:val="auto"/>
                <w:sz w:val="24"/>
                <w:szCs w:val="24"/>
                <w:lang w:val="en-US" w:eastAsia="zh-CN"/>
              </w:rPr>
              <w:t>沙石</w:t>
            </w:r>
            <w:r>
              <w:rPr>
                <w:rFonts w:hint="default" w:ascii="Times New Roman" w:hAnsi="Times New Roman" w:cs="Times New Roman"/>
                <w:color w:val="auto"/>
                <w:sz w:val="24"/>
                <w:szCs w:val="24"/>
              </w:rPr>
              <w:t>填实，加油站一旦发生溢出与渗漏事故，油品将由于防渗层的保护作用，积聚在储油区的防渗罐池内，对地下水不会造成影响。</w:t>
            </w:r>
            <w:r>
              <w:rPr>
                <w:color w:val="auto"/>
                <w:sz w:val="24"/>
                <w:szCs w:val="24"/>
              </w:rPr>
              <w:t>针对突发事故，在做好场地防渗的同时，需加强对监测点日常特征因子（石油类）的监测要求，</w:t>
            </w:r>
            <w:r>
              <w:rPr>
                <w:rFonts w:hint="eastAsia"/>
                <w:color w:val="auto"/>
                <w:sz w:val="24"/>
                <w:szCs w:val="24"/>
                <w:lang w:val="en-US" w:eastAsia="zh-CN"/>
              </w:rPr>
              <w:t>且已安装渗漏检测报警器，</w:t>
            </w:r>
            <w:r>
              <w:rPr>
                <w:color w:val="auto"/>
                <w:sz w:val="24"/>
                <w:szCs w:val="24"/>
              </w:rPr>
              <w:t>一旦检测到异常，可以采取必要的防渗措施，阻止厂区继续污染地下水的可能，</w:t>
            </w:r>
            <w:r>
              <w:rPr>
                <w:rFonts w:hint="eastAsia"/>
                <w:color w:val="auto"/>
                <w:sz w:val="24"/>
                <w:szCs w:val="24"/>
                <w:lang w:val="en-US" w:eastAsia="zh-CN"/>
              </w:rPr>
              <w:t>本</w:t>
            </w:r>
            <w:r>
              <w:rPr>
                <w:rFonts w:hint="eastAsia" w:cs="宋体"/>
                <w:bCs/>
                <w:color w:val="auto"/>
                <w:kern w:val="0"/>
                <w:sz w:val="24"/>
                <w:szCs w:val="24"/>
              </w:rPr>
              <w:t>项目在采取并落实环评中所提的相关污染防控措施后，营运期不会对地下水造成明显影响。</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val="0"/>
                <w:sz w:val="24"/>
              </w:rPr>
            </w:pPr>
            <w:r>
              <w:rPr>
                <w:rFonts w:hint="eastAsia" w:cs="Times New Roman"/>
                <w:b/>
                <w:bCs w:val="0"/>
                <w:sz w:val="24"/>
                <w:lang w:eastAsia="zh-CN"/>
              </w:rPr>
              <w:t>六</w:t>
            </w:r>
            <w:r>
              <w:rPr>
                <w:rFonts w:hint="default" w:ascii="Times New Roman" w:hAnsi="Times New Roman" w:cs="Times New Roman"/>
                <w:b/>
                <w:bCs w:val="0"/>
                <w:sz w:val="24"/>
              </w:rPr>
              <w:t>、土壤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cs="Times New Roman"/>
                <w:bCs/>
                <w:sz w:val="24"/>
                <w:lang w:eastAsia="zh-CN"/>
              </w:rPr>
            </w:pPr>
            <w:r>
              <w:rPr>
                <w:rFonts w:hint="default" w:ascii="Times New Roman" w:hAnsi="Times New Roman" w:cs="Times New Roman"/>
                <w:bCs/>
                <w:sz w:val="24"/>
              </w:rPr>
              <w:t>根据《</w:t>
            </w:r>
            <w:r>
              <w:rPr>
                <w:rFonts w:hint="eastAsia" w:ascii="Times New Roman" w:hAnsi="Times New Roman" w:cs="Times New Roman"/>
                <w:bCs/>
                <w:sz w:val="24"/>
                <w:lang w:eastAsia="zh-CN"/>
              </w:rPr>
              <w:t>建设项目环境影响报告编制技术指南</w:t>
            </w:r>
            <w:r>
              <w:rPr>
                <w:rFonts w:hint="default" w:ascii="Times New Roman" w:hAnsi="Times New Roman" w:cs="Times New Roman"/>
                <w:bCs/>
                <w:sz w:val="24"/>
              </w:rPr>
              <w:t>》</w:t>
            </w:r>
            <w:r>
              <w:rPr>
                <w:rFonts w:hint="eastAsia" w:ascii="Times New Roman" w:hAnsi="Times New Roman" w:cs="Times New Roman"/>
                <w:bCs/>
                <w:sz w:val="24"/>
                <w:lang w:eastAsia="zh-CN"/>
              </w:rPr>
              <w:t>，原则上不开展环境质量现状调查。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cs="Times New Roman"/>
                <w:bCs/>
                <w:sz w:val="24"/>
                <w:lang w:eastAsia="zh-CN"/>
              </w:rPr>
            </w:pPr>
            <w:r>
              <w:rPr>
                <w:rFonts w:hint="eastAsia" w:ascii="Times New Roman" w:hAnsi="Times New Roman" w:cs="Times New Roman"/>
                <w:bCs/>
                <w:sz w:val="24"/>
                <w:lang w:eastAsia="zh-CN"/>
              </w:rPr>
              <w:t>加油站对土壤的主要影响来是储油罐，储油罐泄漏或渗漏对土壤的污染较为严重，由于这种渗漏可穿越较厚的土壤层，使土壤层中吸附大量的燃料油，土壤层吸附的燃料油不仅会造成植物生物的死亡，还会使得土壤结构发生变化，造成土壤性质的改变。本项目加油站埋地油罐采用双层</w:t>
            </w:r>
            <w:r>
              <w:rPr>
                <w:rFonts w:hint="eastAsia" w:ascii="Times New Roman" w:hAnsi="Times New Roman" w:cs="Times New Roman"/>
                <w:bCs/>
                <w:sz w:val="24"/>
                <w:lang w:val="en-US" w:eastAsia="zh-CN"/>
              </w:rPr>
              <w:t>埋地</w:t>
            </w:r>
            <w:r>
              <w:rPr>
                <w:rFonts w:hint="eastAsia" w:ascii="Times New Roman" w:hAnsi="Times New Roman" w:cs="Times New Roman"/>
                <w:bCs/>
                <w:sz w:val="24"/>
                <w:lang w:eastAsia="zh-CN"/>
              </w:rPr>
              <w:t>卧式</w:t>
            </w:r>
            <w:r>
              <w:rPr>
                <w:rFonts w:hint="eastAsia" w:ascii="Times New Roman" w:hAnsi="Times New Roman" w:cs="Times New Roman"/>
                <w:bCs/>
                <w:sz w:val="24"/>
                <w:lang w:val="en-US" w:eastAsia="zh-CN"/>
              </w:rPr>
              <w:t>储</w:t>
            </w:r>
            <w:r>
              <w:rPr>
                <w:rFonts w:hint="eastAsia" w:ascii="Times New Roman" w:hAnsi="Times New Roman" w:cs="Times New Roman"/>
                <w:bCs/>
                <w:sz w:val="24"/>
                <w:lang w:eastAsia="zh-CN"/>
              </w:rPr>
              <w:t>罐，即使内壳产生泄漏，也能保证所容危险物仅在空隙中流动，不会马上溢出外界污染环境；同时油罐配备了</w:t>
            </w:r>
            <w:r>
              <w:rPr>
                <w:rFonts w:hint="eastAsia" w:ascii="Times New Roman" w:hAnsi="Times New Roman" w:cs="Times New Roman"/>
                <w:bCs/>
                <w:sz w:val="24"/>
                <w:lang w:val="en-US" w:eastAsia="zh-CN"/>
              </w:rPr>
              <w:t>液位仪自带高液位报警功能</w:t>
            </w:r>
            <w:r>
              <w:rPr>
                <w:rFonts w:hint="eastAsia" w:ascii="Times New Roman" w:hAnsi="Times New Roman" w:cs="Times New Roman"/>
                <w:bCs/>
                <w:sz w:val="24"/>
                <w:lang w:eastAsia="zh-CN"/>
              </w:rPr>
              <w:t>，一旦内部产生泄漏后，传感器能够感应泄漏流向流量产生峰鸣警报，保证在第一时间停止使用并及时修补，</w:t>
            </w:r>
            <w:r>
              <w:rPr>
                <w:rFonts w:hint="eastAsia" w:ascii="Times New Roman" w:hAnsi="Times New Roman" w:cs="Times New Roman"/>
                <w:bCs/>
                <w:sz w:val="24"/>
                <w:lang w:val="en-US" w:eastAsia="zh-CN"/>
              </w:rPr>
              <w:t>且卸油管路、油罐均设有防溢阀</w:t>
            </w:r>
            <w:r>
              <w:rPr>
                <w:rFonts w:hint="eastAsia" w:ascii="Times New Roman" w:hAnsi="Times New Roman" w:cs="Times New Roman"/>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Cs/>
                <w:kern w:val="21"/>
                <w:sz w:val="24"/>
                <w:lang w:val="en-US" w:eastAsia="zh-CN"/>
              </w:rPr>
            </w:pPr>
            <w:r>
              <w:rPr>
                <w:rFonts w:hint="eastAsia" w:ascii="Times New Roman" w:hAnsi="Times New Roman" w:cs="Times New Roman"/>
                <w:bCs/>
                <w:sz w:val="24"/>
                <w:lang w:eastAsia="zh-CN"/>
              </w:rPr>
              <w:t>因此，项目可以有效避免储油罐发生泄漏事故，防止油罐</w:t>
            </w:r>
            <w:r>
              <w:rPr>
                <w:rFonts w:hint="eastAsia" w:ascii="Times New Roman" w:hAnsi="Times New Roman" w:cs="Times New Roman"/>
                <w:bCs/>
                <w:sz w:val="24"/>
                <w:lang w:val="en-US" w:eastAsia="zh-CN"/>
              </w:rPr>
              <w:t>区</w:t>
            </w:r>
            <w:r>
              <w:rPr>
                <w:rFonts w:hint="eastAsia" w:ascii="Times New Roman" w:hAnsi="Times New Roman" w:cs="Times New Roman"/>
                <w:bCs/>
                <w:sz w:val="24"/>
                <w:lang w:eastAsia="zh-CN"/>
              </w:rPr>
              <w:t>对土壤的污染。加油过程中，输油管线的法兰、丝扣等因日久磨损会有少量油品滴漏，但轻油可以很快挥发，残留部分油品按操作规范用拖布擦干净，因此，加油过程中基本无含油废水排出，且加油区内地面硬化，不会有残留油品渗入地下。</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七</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生态环境</w:t>
            </w:r>
            <w:r>
              <w:rPr>
                <w:rFonts w:hint="eastAsia" w:ascii="Times New Roman" w:hAnsi="Times New Roman" w:cs="Times New Roman"/>
                <w:b/>
                <w:bCs/>
                <w:color w:val="auto"/>
                <w:sz w:val="24"/>
                <w:szCs w:val="24"/>
                <w:lang w:val="en-US" w:eastAsia="zh-CN"/>
              </w:rPr>
              <w:t>影响</w:t>
            </w:r>
            <w:r>
              <w:rPr>
                <w:rFonts w:hint="default" w:ascii="Times New Roman" w:hAnsi="Times New Roman" w:eastAsia="宋体" w:cs="Times New Roman"/>
                <w:b/>
                <w:bCs/>
                <w:color w:val="auto"/>
                <w:sz w:val="24"/>
                <w:szCs w:val="24"/>
                <w:lang w:val="en-US" w:eastAsia="zh-CN"/>
              </w:rPr>
              <w:t>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cs="Times New Roman"/>
                <w:b w:val="0"/>
                <w:bCs w:val="0"/>
                <w:color w:val="auto"/>
                <w:kern w:val="2"/>
                <w:sz w:val="24"/>
                <w:szCs w:val="24"/>
                <w:lang w:val="en-US" w:eastAsia="zh-CN" w:bidi="ar-SA"/>
              </w:rPr>
              <w:t>为改扩建项目，基本</w:t>
            </w:r>
            <w:r>
              <w:rPr>
                <w:rFonts w:hint="default" w:ascii="Times New Roman" w:hAnsi="Times New Roman" w:eastAsia="宋体" w:cs="Times New Roman"/>
                <w:b w:val="0"/>
                <w:bCs w:val="0"/>
                <w:color w:val="auto"/>
                <w:kern w:val="2"/>
                <w:sz w:val="24"/>
                <w:szCs w:val="24"/>
                <w:lang w:val="en-US" w:eastAsia="zh-CN" w:bidi="ar-SA"/>
              </w:rPr>
              <w:t>不改变地面现状，用地性质未发生改变。</w:t>
            </w:r>
            <w:r>
              <w:rPr>
                <w:rFonts w:hint="default" w:ascii="Times New Roman" w:hAnsi="Times New Roman" w:eastAsia="宋体" w:cs="Times New Roman"/>
                <w:color w:val="auto"/>
                <w:sz w:val="24"/>
                <w:szCs w:val="24"/>
                <w:lang w:val="zh-CN" w:eastAsia="zh-CN"/>
              </w:rPr>
              <w:t>目前区域内主要以人工生态环境为主，主要植被为人工栽培的树木、花草等，但覆盖率较低。区域内无受国家保护</w:t>
            </w:r>
            <w:r>
              <w:rPr>
                <w:rFonts w:hint="eastAsia" w:ascii="Times New Roman" w:hAnsi="Times New Roman" w:cs="Times New Roman"/>
                <w:color w:val="auto"/>
                <w:sz w:val="24"/>
                <w:szCs w:val="24"/>
                <w:lang w:val="en-US" w:eastAsia="zh-CN"/>
              </w:rPr>
              <w:t>的</w:t>
            </w:r>
            <w:r>
              <w:rPr>
                <w:rFonts w:hint="default" w:ascii="Times New Roman" w:hAnsi="Times New Roman" w:eastAsia="宋体" w:cs="Times New Roman"/>
                <w:color w:val="auto"/>
                <w:sz w:val="24"/>
                <w:szCs w:val="24"/>
                <w:lang w:val="zh-CN" w:eastAsia="zh-CN"/>
              </w:rPr>
              <w:t>野生植被、野生动物，</w:t>
            </w:r>
            <w:r>
              <w:rPr>
                <w:rFonts w:hint="default" w:ascii="Times New Roman" w:hAnsi="Times New Roman" w:eastAsia="宋体" w:cs="Times New Roman"/>
                <w:color w:val="auto"/>
                <w:sz w:val="24"/>
                <w:szCs w:val="24"/>
                <w:lang w:val="en-US" w:eastAsia="zh-CN"/>
              </w:rPr>
              <w:t>也无</w:t>
            </w:r>
            <w:r>
              <w:rPr>
                <w:rFonts w:hint="default" w:ascii="Times New Roman" w:hAnsi="Times New Roman" w:eastAsia="宋体" w:cs="Times New Roman"/>
                <w:color w:val="auto"/>
                <w:sz w:val="24"/>
                <w:szCs w:val="24"/>
                <w:lang w:val="zh-CN" w:eastAsia="zh-CN"/>
              </w:rPr>
              <w:t>风景名胜区、自然保护区及文化遗产等特殊保护目标</w:t>
            </w:r>
            <w:r>
              <w:rPr>
                <w:rFonts w:hint="default" w:ascii="Times New Roman" w:hAnsi="Times New Roman" w:eastAsia="宋体" w:cs="Times New Roman"/>
                <w:b w:val="0"/>
                <w:bCs w:val="0"/>
                <w:color w:val="auto"/>
                <w:kern w:val="2"/>
                <w:sz w:val="24"/>
                <w:szCs w:val="24"/>
                <w:lang w:val="en-US" w:eastAsia="zh-CN" w:bidi="ar-SA"/>
              </w:rPr>
              <w:t>。因此，本项目的建设对生态环境影响较小。</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八</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环境风险分析</w:t>
            </w:r>
          </w:p>
          <w:p>
            <w:pPr>
              <w:keepNext w:val="0"/>
              <w:keepLines w:val="0"/>
              <w:pageBreakBefore w:val="0"/>
              <w:widowControl w:val="0"/>
              <w:kinsoku/>
              <w:wordWrap/>
              <w:overflowPunct/>
              <w:topLinePunct w:val="0"/>
              <w:autoSpaceDE/>
              <w:autoSpaceDN/>
              <w:bidi w:val="0"/>
              <w:adjustRightInd/>
              <w:snapToGrid/>
              <w:spacing w:line="520" w:lineRule="exact"/>
              <w:ind w:lef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是指突发性事故对环境(或健康）的危害程度。建设项目环境风险评价，主要是对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snapToGrid/>
              <w:spacing w:line="520" w:lineRule="exact"/>
              <w:ind w:lef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val="en-US" w:eastAsia="zh-CN"/>
              </w:rPr>
              <w:t>环境</w:t>
            </w:r>
            <w:r>
              <w:rPr>
                <w:rFonts w:hint="default" w:ascii="Times New Roman" w:hAnsi="Times New Roman" w:eastAsia="宋体" w:cs="Times New Roman"/>
                <w:b w:val="0"/>
                <w:bCs w:val="0"/>
                <w:color w:val="auto"/>
                <w:sz w:val="24"/>
                <w:szCs w:val="24"/>
              </w:rPr>
              <w:t>风险识别</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cs="Times New Roman"/>
                <w:color w:val="auto"/>
                <w:kern w:val="0"/>
                <w:sz w:val="24"/>
                <w:szCs w:val="20"/>
                <w:lang w:val="en-US" w:eastAsia="zh-CN"/>
              </w:rPr>
            </w:pPr>
            <w:r>
              <w:rPr>
                <w:rFonts w:hint="default" w:ascii="Times New Roman" w:hAnsi="Times New Roman" w:eastAsia="宋体" w:cs="Times New Roman"/>
                <w:b w:val="0"/>
                <w:bCs w:val="0"/>
                <w:color w:val="auto"/>
                <w:sz w:val="24"/>
                <w:szCs w:val="24"/>
                <w:lang w:val="en-US" w:eastAsia="zh-CN"/>
              </w:rPr>
              <w:t>经查询《建设项目环境风险评价技术导则》(HJ 169—2018），</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highlight w:val="none"/>
              </w:rPr>
              <w:t>储存的物料</w:t>
            </w:r>
            <w:r>
              <w:rPr>
                <w:rFonts w:hint="eastAsia" w:ascii="Times New Roman" w:hAnsi="Times New Roman" w:cs="Times New Roman"/>
                <w:color w:val="auto"/>
                <w:sz w:val="24"/>
                <w:szCs w:val="24"/>
                <w:lang w:val="en-US" w:eastAsia="zh-CN"/>
              </w:rPr>
              <w:t>汽油</w:t>
            </w:r>
            <w:r>
              <w:rPr>
                <w:rFonts w:hint="eastAsia" w:cs="Times New Roman"/>
                <w:color w:val="auto"/>
                <w:sz w:val="24"/>
                <w:szCs w:val="24"/>
                <w:lang w:val="en-US" w:eastAsia="zh-CN"/>
              </w:rPr>
              <w:t>、柴油</w:t>
            </w:r>
            <w:r>
              <w:rPr>
                <w:rFonts w:hint="default" w:ascii="Times New Roman" w:hAnsi="Times New Roman" w:eastAsia="宋体" w:cs="Times New Roman"/>
                <w:color w:val="auto"/>
                <w:sz w:val="24"/>
                <w:szCs w:val="24"/>
                <w:lang w:val="en-US" w:eastAsia="zh-CN"/>
              </w:rPr>
              <w:t>属于风险物质，</w:t>
            </w:r>
            <w:r>
              <w:rPr>
                <w:rFonts w:hint="default" w:ascii="Times New Roman" w:hAnsi="Times New Roman" w:cs="Times New Roman"/>
                <w:color w:val="auto"/>
                <w:kern w:val="0"/>
                <w:sz w:val="24"/>
                <w:szCs w:val="20"/>
              </w:rPr>
              <w:t>单罐分别为30m</w:t>
            </w:r>
            <w:r>
              <w:rPr>
                <w:rFonts w:hint="default" w:ascii="Times New Roman" w:hAnsi="Times New Roman" w:cs="Times New Roman"/>
                <w:color w:val="auto"/>
                <w:kern w:val="0"/>
                <w:sz w:val="24"/>
                <w:szCs w:val="20"/>
                <w:vertAlign w:val="superscript"/>
              </w:rPr>
              <w:t>3</w:t>
            </w:r>
            <w:r>
              <w:rPr>
                <w:rFonts w:hint="default" w:ascii="Times New Roman" w:hAnsi="Times New Roman" w:cs="Times New Roman"/>
                <w:color w:val="auto"/>
                <w:kern w:val="0"/>
                <w:sz w:val="24"/>
                <w:szCs w:val="20"/>
              </w:rPr>
              <w:t>汽油储罐</w:t>
            </w:r>
            <w:r>
              <w:rPr>
                <w:rFonts w:hint="eastAsia" w:cs="Times New Roman"/>
                <w:color w:val="auto"/>
                <w:kern w:val="0"/>
                <w:sz w:val="24"/>
                <w:szCs w:val="20"/>
                <w:lang w:eastAsia="zh-CN"/>
              </w:rPr>
              <w:t>，共</w:t>
            </w:r>
            <w:r>
              <w:rPr>
                <w:rFonts w:hint="default" w:ascii="Times New Roman" w:hAnsi="Times New Roman" w:cs="Times New Roman"/>
                <w:color w:val="auto"/>
                <w:kern w:val="0"/>
                <w:sz w:val="24"/>
                <w:szCs w:val="20"/>
                <w:lang w:val="en-US" w:eastAsia="zh-CN"/>
              </w:rPr>
              <w:t>3</w:t>
            </w:r>
            <w:r>
              <w:rPr>
                <w:rFonts w:hint="eastAsia" w:cs="Times New Roman"/>
                <w:color w:val="auto"/>
                <w:kern w:val="0"/>
                <w:sz w:val="24"/>
                <w:szCs w:val="20"/>
                <w:lang w:val="en-US" w:eastAsia="zh-CN"/>
              </w:rPr>
              <w:t>座</w:t>
            </w:r>
            <w:r>
              <w:rPr>
                <w:rFonts w:hint="default" w:ascii="Times New Roman" w:hAnsi="Times New Roman" w:cs="Times New Roman"/>
                <w:color w:val="auto"/>
                <w:kern w:val="0"/>
                <w:sz w:val="24"/>
                <w:szCs w:val="20"/>
              </w:rPr>
              <w:t>。</w:t>
            </w:r>
            <w:r>
              <w:rPr>
                <w:rFonts w:hint="eastAsia" w:ascii="Times New Roman" w:hAnsi="Times New Roman" w:cs="Times New Roman"/>
                <w:color w:val="auto"/>
                <w:kern w:val="0"/>
                <w:sz w:val="24"/>
                <w:szCs w:val="20"/>
                <w:lang w:val="en-US" w:eastAsia="zh-CN"/>
              </w:rPr>
              <w:t>本项目涉及的主要油品及最大存储量见</w:t>
            </w:r>
            <w:r>
              <w:rPr>
                <w:rFonts w:hint="eastAsia" w:cs="Times New Roman"/>
                <w:color w:val="auto"/>
                <w:kern w:val="0"/>
                <w:sz w:val="24"/>
                <w:szCs w:val="20"/>
                <w:lang w:val="en-US" w:eastAsia="zh-CN"/>
              </w:rPr>
              <w:t>下表</w:t>
            </w:r>
            <w:r>
              <w:rPr>
                <w:rFonts w:hint="eastAsia" w:ascii="Times New Roman" w:hAnsi="Times New Roman" w:cs="Times New Roman"/>
                <w:color w:val="auto"/>
                <w:kern w:val="0"/>
                <w:sz w:val="24"/>
                <w:szCs w:val="20"/>
                <w:lang w:val="en-US" w:eastAsia="zh-CN"/>
              </w:rPr>
              <w:t>。</w:t>
            </w:r>
          </w:p>
          <w:p>
            <w:pPr>
              <w:pStyle w:val="9"/>
              <w:bidi w:val="0"/>
              <w:rPr>
                <w:rFonts w:hint="eastAsia"/>
                <w:lang w:val="en-US" w:eastAsia="zh-CN"/>
              </w:rPr>
            </w:pPr>
            <w:r>
              <w:rPr>
                <w:rFonts w:hint="eastAsia"/>
                <w:lang w:val="en-US" w:eastAsia="zh-CN"/>
              </w:rPr>
              <w:t>本项目主要油品及最大存储量</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764"/>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油品名称</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汽油</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eastAsia"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油罐容量</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30m</w:t>
                  </w:r>
                  <w:r>
                    <w:rPr>
                      <w:rFonts w:hint="eastAsia" w:ascii="Times New Roman" w:hAnsi="Times New Roman" w:cs="Times New Roman"/>
                      <w:color w:val="auto"/>
                      <w:sz w:val="21"/>
                      <w:szCs w:val="21"/>
                      <w:vertAlign w:val="superscript"/>
                      <w:lang w:val="en-US" w:eastAsia="zh-CN"/>
                    </w:rPr>
                    <w:t>3</w:t>
                  </w:r>
                  <w:r>
                    <w:rPr>
                      <w:rFonts w:hint="default" w:ascii="Arial" w:hAnsi="Arial" w:cs="Arial"/>
                      <w:color w:val="auto"/>
                      <w:sz w:val="21"/>
                      <w:szCs w:val="21"/>
                      <w:vertAlign w:val="baseline"/>
                      <w:lang w:val="en-US" w:eastAsia="zh-CN"/>
                    </w:rPr>
                    <w:t>×</w:t>
                  </w:r>
                  <w:r>
                    <w:rPr>
                      <w:rFonts w:hint="eastAsia" w:cs="Times New Roman"/>
                      <w:color w:val="auto"/>
                      <w:sz w:val="21"/>
                      <w:szCs w:val="21"/>
                      <w:vertAlign w:val="baseline"/>
                      <w:lang w:val="en-US" w:eastAsia="zh-CN"/>
                    </w:rPr>
                    <w:t>2</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30m</w:t>
                  </w:r>
                  <w:r>
                    <w:rPr>
                      <w:rFonts w:hint="eastAsia" w:ascii="Times New Roman" w:hAnsi="Times New Roman" w:cs="Times New Roman"/>
                      <w:color w:val="auto"/>
                      <w:sz w:val="21"/>
                      <w:szCs w:val="21"/>
                      <w:vertAlign w:val="superscript"/>
                      <w:lang w:val="en-US" w:eastAsia="zh-CN"/>
                    </w:rPr>
                    <w:t>3</w:t>
                  </w:r>
                  <w:r>
                    <w:rPr>
                      <w:rFonts w:hint="default" w:ascii="Arial" w:hAnsi="Arial" w:cs="Arial"/>
                      <w:color w:val="auto"/>
                      <w:sz w:val="21"/>
                      <w:szCs w:val="21"/>
                      <w:vertAlign w:val="baseline"/>
                      <w:lang w:val="en-US" w:eastAsia="zh-CN"/>
                    </w:rPr>
                    <w:t>×</w:t>
                  </w:r>
                  <w:r>
                    <w:rPr>
                      <w:rFonts w:hint="eastAsia" w:ascii="Arial" w:hAnsi="Arial" w:cs="Arial"/>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有效容量</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54</w:t>
                  </w: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（充装系数取0.9）</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27</w:t>
                  </w: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（充装系数取0.9）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最大储量</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w:t>
                  </w:r>
                  <w:r>
                    <w:rPr>
                      <w:rFonts w:hint="eastAsia" w:cs="Times New Roman"/>
                      <w:color w:val="auto"/>
                      <w:sz w:val="21"/>
                      <w:szCs w:val="21"/>
                      <w:vertAlign w:val="baseline"/>
                      <w:lang w:val="en-US" w:eastAsia="zh-CN"/>
                    </w:rPr>
                    <w:t>54</w:t>
                  </w:r>
                  <w:r>
                    <w:rPr>
                      <w:rFonts w:hint="default" w:ascii="Times New Roman" w:hAnsi="Times New Roman" w:cs="Times New Roman"/>
                      <w:color w:val="auto"/>
                      <w:sz w:val="21"/>
                      <w:szCs w:val="21"/>
                      <w:vertAlign w:val="baseline"/>
                      <w:lang w:val="en-US" w:eastAsia="zh-CN"/>
                    </w:rPr>
                    <w:t>×0.7</w:t>
                  </w:r>
                  <w:r>
                    <w:rPr>
                      <w:rFonts w:hint="eastAsia" w:ascii="Times New Roman" w:hAnsi="Times New Roman" w:cs="Times New Roman"/>
                      <w:color w:val="auto"/>
                      <w:sz w:val="21"/>
                      <w:szCs w:val="21"/>
                      <w:vertAlign w:val="baseline"/>
                      <w:lang w:val="en-US" w:eastAsia="zh-CN"/>
                    </w:rPr>
                    <w:t>6</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40.5</w:t>
                  </w:r>
                  <w:r>
                    <w:rPr>
                      <w:rFonts w:hint="default" w:ascii="Times New Roman" w:hAnsi="Times New Roman" w:cs="Times New Roman"/>
                      <w:color w:val="auto"/>
                      <w:kern w:val="0"/>
                      <w:sz w:val="24"/>
                      <w:szCs w:val="20"/>
                      <w:lang w:val="en-US" w:eastAsia="zh-CN"/>
                    </w:rPr>
                    <w:t>t</w:t>
                  </w:r>
                  <w:r>
                    <w:rPr>
                      <w:rFonts w:hint="eastAsia" w:ascii="Times New Roman" w:hAnsi="Times New Roman" w:cs="Times New Roman"/>
                      <w:color w:val="auto"/>
                      <w:sz w:val="21"/>
                      <w:szCs w:val="21"/>
                      <w:vertAlign w:val="baseline"/>
                      <w:lang w:val="en-US" w:eastAsia="zh-CN"/>
                    </w:rPr>
                    <w:t>（汽油相对密度取0.7</w:t>
                  </w:r>
                  <w:r>
                    <w:rPr>
                      <w:rFonts w:hint="eastAsia" w:cs="Times New Roman"/>
                      <w:color w:val="auto"/>
                      <w:sz w:val="21"/>
                      <w:szCs w:val="21"/>
                      <w:vertAlign w:val="baseline"/>
                      <w:lang w:val="en-US" w:eastAsia="zh-CN"/>
                    </w:rPr>
                    <w:t>5</w:t>
                  </w:r>
                  <w:r>
                    <w:rPr>
                      <w:rFonts w:hint="eastAsia" w:ascii="Times New Roman" w:hAnsi="Times New Roman" w:cs="Times New Roman"/>
                      <w:color w:val="auto"/>
                      <w:sz w:val="21"/>
                      <w:szCs w:val="21"/>
                      <w:vertAlign w:val="baseline"/>
                      <w:lang w:val="en-US" w:eastAsia="zh-CN"/>
                    </w:rPr>
                    <w:t>）</w:t>
                  </w:r>
                </w:p>
              </w:tc>
              <w:tc>
                <w:tcPr>
                  <w:tcW w:w="2858" w:type="dxa"/>
                  <w:vAlign w:val="top"/>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w:t>
                  </w:r>
                  <w:r>
                    <w:rPr>
                      <w:rFonts w:hint="eastAsia" w:cs="Times New Roman"/>
                      <w:color w:val="auto"/>
                      <w:sz w:val="21"/>
                      <w:szCs w:val="21"/>
                      <w:vertAlign w:val="baseline"/>
                      <w:lang w:val="en-US" w:eastAsia="zh-CN"/>
                    </w:rPr>
                    <w:t>27</w:t>
                  </w:r>
                  <w:r>
                    <w:rPr>
                      <w:rFonts w:hint="default" w:ascii="Times New Roman" w:hAnsi="Times New Roman"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8</w:t>
                  </w:r>
                  <w:r>
                    <w:rPr>
                      <w:rFonts w:hint="eastAsia"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22.95</w:t>
                  </w:r>
                  <w:r>
                    <w:rPr>
                      <w:rFonts w:hint="default" w:ascii="Times New Roman" w:hAnsi="Times New Roman" w:cs="Times New Roman"/>
                      <w:color w:val="auto"/>
                      <w:kern w:val="0"/>
                      <w:sz w:val="24"/>
                      <w:szCs w:val="20"/>
                      <w:lang w:val="en-US" w:eastAsia="zh-CN"/>
                    </w:rPr>
                    <w:t>t</w:t>
                  </w:r>
                  <w:r>
                    <w:rPr>
                      <w:rFonts w:hint="eastAsia" w:ascii="Times New Roman" w:hAnsi="Times New Roman" w:cs="Times New Roman"/>
                      <w:color w:val="auto"/>
                      <w:sz w:val="21"/>
                      <w:szCs w:val="21"/>
                      <w:vertAlign w:val="baseline"/>
                      <w:lang w:val="en-US" w:eastAsia="zh-CN"/>
                    </w:rPr>
                    <w:t>（柴油相对密度取0.8</w:t>
                  </w:r>
                  <w:r>
                    <w:rPr>
                      <w:rFonts w:hint="eastAsia" w:cs="Times New Roman"/>
                      <w:color w:val="auto"/>
                      <w:sz w:val="21"/>
                      <w:szCs w:val="21"/>
                      <w:vertAlign w:val="baseline"/>
                      <w:lang w:val="en-US" w:eastAsia="zh-CN"/>
                    </w:rPr>
                    <w:t>5</w:t>
                  </w:r>
                  <w:r>
                    <w:rPr>
                      <w:rFonts w:hint="eastAsia" w:ascii="Times New Roman" w:hAnsi="Times New Roman"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520" w:lineRule="exact"/>
              <w:ind w:lef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kern w:val="0"/>
                <w:sz w:val="24"/>
                <w:szCs w:val="20"/>
              </w:rPr>
              <w:t>根据《建设项目环境风险评价技术导则》（HJ/T169-2018）附录B的突发环境事件风险物质及临界量表，油类物质（矿物油类，如石油、汽油、柴油等；生物柴油等）的临界量为2500t</w:t>
            </w:r>
            <w:r>
              <w:rPr>
                <w:rFonts w:hint="default" w:ascii="Times New Roman" w:hAnsi="Times New Roman" w:cs="Times New Roman"/>
                <w:color w:val="auto"/>
                <w:kern w:val="0"/>
                <w:sz w:val="24"/>
                <w:szCs w:val="20"/>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Times New Roman" w:hAnsi="Times New Roman" w:cs="Times New Roman"/>
                <w:color w:val="auto"/>
                <w:sz w:val="24"/>
                <w:szCs w:val="24"/>
              </w:rPr>
            </w:pPr>
            <w:r>
              <w:rPr>
                <w:rFonts w:ascii="Times New Roman" w:hAnsi="Times New Roman" w:eastAsia="宋体" w:cs="Times New Roman"/>
                <w:color w:val="auto"/>
                <w:sz w:val="24"/>
                <w:szCs w:val="24"/>
              </w:rPr>
              <w:t>当只涉及一种危险物质时，计算该物质的总量与其临界量比值，即为Q；</w:t>
            </w:r>
            <w:r>
              <w:rPr>
                <w:rFonts w:ascii="Times New Roman" w:hAnsi="Times New Roman" w:cs="Times New Roman"/>
                <w:color w:val="auto"/>
                <w:sz w:val="24"/>
                <w:szCs w:val="24"/>
              </w:rPr>
              <w:t>当存在多种危险物质时，则按下式计算物质总量与其临界量比值（Q）：</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Q=q</w:t>
            </w:r>
            <w:r>
              <w:rPr>
                <w:rFonts w:ascii="Times New Roman" w:hAnsi="Times New Roman" w:cs="Times New Roman"/>
                <w:color w:val="auto"/>
                <w:sz w:val="24"/>
                <w:szCs w:val="24"/>
                <w:vertAlign w:val="subscript"/>
              </w:rPr>
              <w:t>1</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1</w:t>
            </w:r>
            <w:r>
              <w:rPr>
                <w:rFonts w:ascii="Times New Roman" w:hAnsi="Times New Roman" w:cs="Times New Roman"/>
                <w:color w:val="auto"/>
                <w:sz w:val="24"/>
                <w:szCs w:val="24"/>
              </w:rPr>
              <w:t xml:space="preserve"> + q</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 xml:space="preserve"> + q</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 + q</w:t>
            </w:r>
            <w:r>
              <w:rPr>
                <w:rFonts w:ascii="Times New Roman" w:hAnsi="Times New Roman" w:cs="Times New Roman"/>
                <w:color w:val="auto"/>
                <w:sz w:val="24"/>
                <w:szCs w:val="24"/>
                <w:vertAlign w:val="subscript"/>
              </w:rPr>
              <w:t>n</w:t>
            </w:r>
            <w:r>
              <w:rPr>
                <w:rFonts w:ascii="Times New Roman" w:hAnsi="Times New Roman" w:cs="Times New Roman"/>
                <w:color w:val="auto"/>
                <w:sz w:val="24"/>
                <w:szCs w:val="24"/>
              </w:rPr>
              <w:t>/Qn</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式中：q</w:t>
            </w:r>
            <w:r>
              <w:rPr>
                <w:rFonts w:ascii="Times New Roman" w:hAnsi="Times New Roman" w:cs="Times New Roman"/>
                <w:color w:val="auto"/>
                <w:sz w:val="24"/>
                <w:szCs w:val="24"/>
                <w:vertAlign w:val="subscript"/>
              </w:rPr>
              <w:t>1</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n</w:t>
            </w:r>
            <w:r>
              <w:rPr>
                <w:rFonts w:ascii="Times New Roman" w:hAnsi="Times New Roman" w:cs="Times New Roman"/>
                <w:color w:val="auto"/>
                <w:sz w:val="24"/>
                <w:szCs w:val="24"/>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520" w:lineRule="exact"/>
              <w:ind w:firstLine="1200" w:firstLineChars="500"/>
              <w:textAlignment w:val="auto"/>
              <w:rPr>
                <w:rFonts w:ascii="Times New Roman" w:hAnsi="Times New Roman" w:cs="Times New Roman"/>
                <w:color w:val="auto"/>
                <w:sz w:val="24"/>
                <w:szCs w:val="24"/>
              </w:rPr>
            </w:pP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1</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，……Q</w:t>
            </w:r>
            <w:r>
              <w:rPr>
                <w:rFonts w:ascii="Times New Roman" w:hAnsi="Times New Roman" w:cs="Times New Roman"/>
                <w:color w:val="auto"/>
                <w:sz w:val="24"/>
                <w:szCs w:val="24"/>
                <w:vertAlign w:val="subscript"/>
              </w:rPr>
              <w:t>n</w:t>
            </w:r>
            <w:r>
              <w:rPr>
                <w:rFonts w:ascii="Times New Roman" w:hAnsi="Times New Roman" w:cs="Times New Roman"/>
                <w:color w:val="auto"/>
                <w:sz w:val="24"/>
                <w:szCs w:val="24"/>
              </w:rPr>
              <w:t>－每种危险物质的临界量，t。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当Q＜1时，该项目环境风险潜势为Ⅰ。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rPr>
              <w:t>当Q≥1 时，将Q值划分为：（1）1≤Q＜10；（2）10≤Q＜100；（3）Q≥100。</w:t>
            </w:r>
          </w:p>
          <w:p>
            <w:pPr>
              <w:keepNext w:val="0"/>
              <w:keepLines w:val="0"/>
              <w:pageBreakBefore w:val="0"/>
              <w:widowControl w:val="0"/>
              <w:kinsoku/>
              <w:wordWrap/>
              <w:overflowPunct/>
              <w:topLinePunct w:val="0"/>
              <w:autoSpaceDE/>
              <w:autoSpaceDN/>
              <w:bidi w:val="0"/>
              <w:adjustRightInd/>
              <w:snapToGrid/>
              <w:spacing w:line="520" w:lineRule="exact"/>
              <w:ind w:leftChars="0" w:firstLine="480" w:firstLineChars="20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经计算</w:t>
            </w:r>
            <w:r>
              <w:rPr>
                <w:rFonts w:hint="eastAsia" w:ascii="Times New Roman" w:hAnsi="Times New Roman"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Q=</w:t>
            </w:r>
            <w:r>
              <w:rPr>
                <w:rFonts w:hint="eastAsia" w:cs="Times New Roman"/>
                <w:color w:val="auto"/>
                <w:sz w:val="24"/>
                <w:szCs w:val="24"/>
                <w:lang w:val="en-US" w:eastAsia="zh-CN"/>
              </w:rPr>
              <w:t>63.45</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2500=</w:t>
            </w:r>
            <w:r>
              <w:rPr>
                <w:rFonts w:hint="default" w:ascii="Times New Roman" w:hAnsi="Times New Roman" w:eastAsia="宋体" w:cs="Times New Roman"/>
                <w:color w:val="auto"/>
                <w:sz w:val="24"/>
                <w:szCs w:val="24"/>
                <w:lang w:val="en-US" w:eastAsia="zh-CN"/>
              </w:rPr>
              <w:t>0.0</w:t>
            </w:r>
            <w:r>
              <w:rPr>
                <w:rFonts w:hint="eastAsia" w:ascii="Times New Roman" w:hAnsi="Times New Roman" w:cs="Times New Roman"/>
                <w:color w:val="auto"/>
                <w:sz w:val="24"/>
                <w:szCs w:val="24"/>
                <w:lang w:val="en-US" w:eastAsia="zh-CN"/>
              </w:rPr>
              <w:t>2</w:t>
            </w:r>
            <w:r>
              <w:rPr>
                <w:rFonts w:hint="eastAsia" w:cs="Times New Roman"/>
                <w:color w:val="auto"/>
                <w:sz w:val="24"/>
                <w:szCs w:val="24"/>
                <w:lang w:val="en-US" w:eastAsia="zh-CN"/>
              </w:rPr>
              <w:t>538</w:t>
            </w:r>
            <w:r>
              <w:rPr>
                <w:rFonts w:hint="default" w:ascii="Times New Roman" w:hAnsi="Times New Roman" w:eastAsia="宋体" w:cs="Times New Roman"/>
                <w:color w:val="auto"/>
                <w:sz w:val="24"/>
                <w:szCs w:val="24"/>
                <w:lang w:val="en-US" w:eastAsia="zh-CN"/>
              </w:rPr>
              <w:t>，Q&lt;1，</w:t>
            </w:r>
            <w:r>
              <w:rPr>
                <w:rFonts w:hint="default" w:ascii="Times New Roman" w:hAnsi="Times New Roman" w:eastAsia="宋体" w:cs="Times New Roman"/>
                <w:b w:val="0"/>
                <w:bCs w:val="0"/>
                <w:color w:val="auto"/>
                <w:sz w:val="24"/>
                <w:szCs w:val="24"/>
                <w:lang w:val="en-US" w:eastAsia="zh-CN"/>
              </w:rPr>
              <w:t>本项目的环境风险潜势为Ⅰ，</w:t>
            </w:r>
            <w:r>
              <w:rPr>
                <w:rFonts w:hint="default" w:ascii="Times New Roman" w:hAnsi="Times New Roman" w:cs="Times New Roman"/>
                <w:color w:val="auto"/>
                <w:kern w:val="0"/>
                <w:sz w:val="24"/>
                <w:szCs w:val="20"/>
              </w:rPr>
              <w:t>根据《建设项目环境风险评价技术导则》（HJ169-2018）</w:t>
            </w:r>
            <w:r>
              <w:rPr>
                <w:rFonts w:hint="default" w:ascii="Times New Roman" w:hAnsi="Times New Roman" w:cs="Times New Roman"/>
                <w:color w:val="auto"/>
                <w:kern w:val="0"/>
                <w:sz w:val="24"/>
                <w:szCs w:val="20"/>
                <w:lang w:eastAsia="zh-CN"/>
              </w:rPr>
              <w:t>，</w:t>
            </w:r>
            <w:r>
              <w:rPr>
                <w:rFonts w:hint="default" w:ascii="Times New Roman" w:hAnsi="Times New Roman" w:eastAsia="宋体" w:cs="Times New Roman"/>
                <w:b w:val="0"/>
                <w:bCs w:val="0"/>
                <w:color w:val="auto"/>
                <w:sz w:val="24"/>
                <w:szCs w:val="24"/>
                <w:lang w:val="en-US" w:eastAsia="zh-CN"/>
              </w:rPr>
              <w:t>本项目环境风险评价等级为简单分析。</w:t>
            </w:r>
          </w:p>
          <w:p>
            <w:pPr>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w:t>
            </w:r>
            <w:r>
              <w:rPr>
                <w:rFonts w:hint="default" w:ascii="Times New Roman" w:hAnsi="Times New Roman" w:cs="Times New Roman"/>
                <w:color w:val="auto"/>
                <w:sz w:val="24"/>
              </w:rPr>
              <w:t>项目风险物质风险物质的物理性质和毒理性质见表</w:t>
            </w:r>
            <w:r>
              <w:rPr>
                <w:rFonts w:hint="eastAsia" w:cs="Times New Roman"/>
                <w:color w:val="auto"/>
                <w:sz w:val="24"/>
                <w:lang w:val="en-US" w:eastAsia="zh-CN"/>
              </w:rPr>
              <w:t>40、41</w:t>
            </w:r>
            <w:r>
              <w:rPr>
                <w:rFonts w:hint="default" w:ascii="Times New Roman" w:hAnsi="Times New Roman" w:cs="Times New Roman"/>
                <w:color w:val="auto"/>
                <w:sz w:val="24"/>
              </w:rPr>
              <w:t>。</w:t>
            </w:r>
          </w:p>
          <w:p>
            <w:pPr>
              <w:pStyle w:val="9"/>
              <w:bidi w:val="0"/>
              <w:rPr>
                <w:rFonts w:hint="eastAsia"/>
              </w:rPr>
            </w:pPr>
            <w:r>
              <w:rPr>
                <w:rFonts w:hint="eastAsia"/>
              </w:rPr>
              <w:t>汽油物化特性表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837"/>
              <w:gridCol w:w="3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标识</w:t>
                  </w: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中文名：汽油</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英文名：Gasoline；Petrol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分子式：C</w:t>
                  </w:r>
                  <w:r>
                    <w:rPr>
                      <w:rFonts w:hint="default" w:ascii="Times New Roman" w:hAnsi="Times New Roman" w:cs="Times New Roman"/>
                      <w:bCs/>
                      <w:color w:val="auto"/>
                      <w:sz w:val="21"/>
                      <w:szCs w:val="21"/>
                      <w:vertAlign w:val="subscript"/>
                    </w:rPr>
                    <w:t>5</w:t>
                  </w: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12</w:t>
                  </w:r>
                  <w:r>
                    <w:rPr>
                      <w:rFonts w:hint="default" w:ascii="Times New Roman" w:hAnsi="Times New Roman" w:cs="Times New Roman"/>
                      <w:bCs/>
                      <w:color w:val="auto"/>
                      <w:sz w:val="21"/>
                      <w:szCs w:val="21"/>
                    </w:rPr>
                    <w:t>-C</w:t>
                  </w:r>
                  <w:r>
                    <w:rPr>
                      <w:rFonts w:hint="default" w:ascii="Times New Roman" w:hAnsi="Times New Roman" w:cs="Times New Roman"/>
                      <w:bCs/>
                      <w:color w:val="auto"/>
                      <w:sz w:val="21"/>
                      <w:szCs w:val="21"/>
                      <w:vertAlign w:val="subscript"/>
                    </w:rPr>
                    <w:t>12</w:t>
                  </w: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26</w:t>
                  </w:r>
                  <w:r>
                    <w:rPr>
                      <w:rFonts w:hint="default" w:ascii="Times New Roman" w:hAnsi="Times New Roman" w:cs="Times New Roman"/>
                      <w:bCs/>
                      <w:color w:val="auto"/>
                      <w:sz w:val="21"/>
                      <w:szCs w:val="21"/>
                    </w:rPr>
                    <w:t>（脂肪烃和环烃）</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CAS号：8006-61-9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危险类别：第3.</w:t>
                  </w:r>
                  <w:r>
                    <w:rPr>
                      <w:rFonts w:hint="eastAsia" w:ascii="Times New Roman" w:hAnsi="Times New Roman" w:cs="Times New Roman"/>
                      <w:bCs/>
                      <w:color w:val="auto"/>
                      <w:sz w:val="21"/>
                      <w:szCs w:val="21"/>
                      <w:lang w:eastAsia="zh-CN"/>
                    </w:rPr>
                    <w:t>2类</w:t>
                  </w:r>
                  <w:r>
                    <w:rPr>
                      <w:rFonts w:hint="default" w:ascii="Times New Roman" w:hAnsi="Times New Roman" w:cs="Times New Roman"/>
                      <w:bCs/>
                      <w:color w:val="auto"/>
                      <w:sz w:val="21"/>
                      <w:szCs w:val="21"/>
                    </w:rPr>
                    <w:t>低闪点易燃液体</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组成：混合物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理化</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性质</w:t>
                  </w: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外观与性状：无色或淡黄色挥发液体，有特殊臭味</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溶解性：不溶于水，易溶于苯、二硫化</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熔点（</w:t>
                  </w:r>
                  <w:r>
                    <w:rPr>
                      <w:rFonts w:hint="default" w:ascii="Times New Roman" w:hAnsi="Times New Roman" w:cs="Times New Roman"/>
                      <w:bCs/>
                      <w:color w:val="auto"/>
                      <w:sz w:val="21"/>
                      <w:szCs w:val="21"/>
                      <w:vertAlign w:val="superscript"/>
                    </w:rPr>
                    <w:t>o</w:t>
                  </w:r>
                  <w:r>
                    <w:rPr>
                      <w:rFonts w:hint="default" w:ascii="Times New Roman" w:hAnsi="Times New Roman" w:cs="Times New Roman"/>
                      <w:bCs/>
                      <w:color w:val="auto"/>
                      <w:sz w:val="21"/>
                      <w:szCs w:val="21"/>
                    </w:rPr>
                    <w:t>C）：＜-60</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相对密度（空气＝1）：3.5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沸点（</w:t>
                  </w:r>
                  <w:r>
                    <w:rPr>
                      <w:rFonts w:hint="default" w:ascii="Times New Roman" w:hAnsi="Times New Roman" w:cs="Times New Roman"/>
                      <w:bCs/>
                      <w:color w:val="auto"/>
                      <w:sz w:val="21"/>
                      <w:szCs w:val="21"/>
                      <w:vertAlign w:val="superscript"/>
                    </w:rPr>
                    <w:t>o</w:t>
                  </w:r>
                  <w:r>
                    <w:rPr>
                      <w:rFonts w:hint="default" w:ascii="Times New Roman" w:hAnsi="Times New Roman" w:cs="Times New Roman"/>
                      <w:bCs/>
                      <w:color w:val="auto"/>
                      <w:sz w:val="21"/>
                      <w:szCs w:val="21"/>
                    </w:rPr>
                    <w:t>C）：40~200</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相对密度（水＝1）：</w:t>
                  </w:r>
                  <w:r>
                    <w:rPr>
                      <w:rFonts w:hint="eastAsia" w:cs="Times New Roman"/>
                      <w:bCs/>
                      <w:color w:val="auto"/>
                      <w:sz w:val="21"/>
                      <w:szCs w:val="21"/>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燃烧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爆炸</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燃烧性：极度易燃</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最大爆炸压力（Mpa）：0.813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聚合危害：不聚合</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爆炸极限（体积分数%）：1.3-6.0</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引燃温度（oC）：415~530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禁忌物：强氧化剂</w:t>
                  </w:r>
                </w:p>
              </w:tc>
              <w:tc>
                <w:tcPr>
                  <w:tcW w:w="232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闪点（oC）：-50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危险特性：极易燃烧。其蒸汽与空气可形成爆炸性混合物，遇明火、高热极易燃烧爆炸。与氧化剂能发生强烈反应。其蒸汽比空气重，能在较低处扩散到相当远的地方，遇明火会着火回燃。</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燃烧（分解）产物：CO、二氧化碳。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灭火方法：喷水冷却容器，可能的话将容器从火场移至空旷处。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灭火剂：泡沫、二氧化碳、干粉。用水灭火无效。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毒理</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学资</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料</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毒性：属低毒类。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急性毒性：LD5067000mg/kg（小鼠经口）；LC50103000mg/m³，2h（小鼠吸入）</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刺激性：人经眼140×10-6（8h），轻度刺激。</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亚急性和慢性毒性：大鼠吸入3g/m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，12~24h/d，78d（120号溶剂汽油），未见中毒症状。大鼠吸入2500mg/m³，130号催化裂解汽油，4h/d，6d/周，8周，体力活动能力降低，神经系统发生机能性改变。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中国：车间空气中有害物质的最高容许浓度（TJ36-79）350mg/m³[溶剂汽油]</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中国（待颁布）</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饮用水源中有害物质的最高容许浓度0.3mg/L</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前苏联（1975）：污水中有机物最大允许浓度3mg/L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对人</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体危</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害</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侵入途径：吸入、食入，经皮吸收。</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健康危害：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安全</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防护</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呼吸系统防护：一般不需要特殊防护，高浓度时可佩戴自吸过滤式防毒面具</w:t>
                  </w:r>
                  <w:r>
                    <w:rPr>
                      <w:rFonts w:hint="eastAsia" w:ascii="Times New Roman" w:hAnsi="Times New Roman" w:cs="Times New Roman"/>
                      <w:bCs/>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眼睛防护：一般不需要特殊防护，高浓度接触时可佩戴化学安全防护眼镜。</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身体防护：穿防静电工作服。</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手防护：戴防苯耐油手套。</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急救</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皮肤接触：立即脱去被污染的衣着，用肥皂水和清水彻底冲洗皮肤。就医。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眼睛接触：立即提起眼睑，用大量流动清水或生理盐水彻底冲洗至少15min。就医。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吸入：迅速脱离现场至空气新鲜处。保持呼吸道路通畅。如呼吸困难，给输氧。如呼吸停止，立即进行人工呼吸，并及时就医。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食入：给饮牛奶或用植物油洗胃和灌肠。就医。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处理</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迅速撤离泄漏污染区人员至安全区，并进行隔离，严格限制出入，切断火源。建议应急处理人员戴自给正压式呼吸器，穿消防防护服。尽可能切断泄漏源。防止进入下水道、排洪沟等限制性空间。</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小量泄漏：用沙土、蛭石或其他惰性材料吸收。或在保证安全的情况下，就地焚烧。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大量泄漏：构筑围堤或挖坑收容；用泡沫覆盖，降低蒸汽灾害。用防爆泵转移至槽车或专用收集器内，回收或运至废物处理场所处置。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储运</w:t>
                  </w:r>
                </w:p>
              </w:tc>
              <w:tc>
                <w:tcPr>
                  <w:tcW w:w="4657"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存于阴凉、通风的库房。远离火种、热源。库温不超过30oC。操作工佩戴过滤式防毒面罩、防护服。灌装时应控制流速，且有接地装置，防止静电积聚。搬运时要轻装轻卸，防止包装及容器损坏。采用防爆型照明、通风设施，禁止使用易产生火花的机械设备和工具。储区应备有泄漏应急处理设备和合适的收容材料。</w:t>
                  </w:r>
                </w:p>
              </w:tc>
            </w:tr>
          </w:tbl>
          <w:p>
            <w:pPr>
              <w:pStyle w:val="9"/>
              <w:bidi w:val="0"/>
              <w:rPr>
                <w:rFonts w:hint="eastAsia"/>
              </w:rPr>
            </w:pPr>
            <w:r>
              <w:rPr>
                <w:rFonts w:hint="eastAsia"/>
                <w:lang w:eastAsia="zh-CN"/>
              </w:rPr>
              <w:t>柴油</w:t>
            </w:r>
            <w:r>
              <w:rPr>
                <w:rFonts w:hint="eastAsia"/>
              </w:rPr>
              <w:t>物化特性表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3837"/>
              <w:gridCol w:w="3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1"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r>
                    <w:rPr>
                      <w:rFonts w:hint="default" w:ascii="Times New Roman" w:hAnsi="Times New Roman" w:cs="Times New Roman"/>
                      <w:bCs/>
                      <w:color w:val="auto"/>
                      <w:sz w:val="21"/>
                      <w:szCs w:val="21"/>
                    </w:rPr>
                    <w:t>标识</w:t>
                  </w: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rPr>
                    <w:t>中文名：</w:t>
                  </w:r>
                  <w:r>
                    <w:rPr>
                      <w:rFonts w:hint="eastAsia" w:ascii="Times New Roman" w:hAnsi="Times New Roman" w:cs="Times New Roman"/>
                      <w:b/>
                      <w:bCs w:val="0"/>
                      <w:color w:val="auto"/>
                      <w:sz w:val="21"/>
                      <w:szCs w:val="21"/>
                      <w:lang w:eastAsia="zh-CN"/>
                    </w:rPr>
                    <w:t>柴油</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英文名：Diesel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分子式：C</w:t>
                  </w:r>
                  <w:r>
                    <w:rPr>
                      <w:rFonts w:hint="eastAsia" w:ascii="Times New Roman" w:hAnsi="Times New Roman" w:cs="Times New Roman"/>
                      <w:bCs/>
                      <w:color w:val="auto"/>
                      <w:sz w:val="21"/>
                      <w:szCs w:val="21"/>
                      <w:vertAlign w:val="subscript"/>
                      <w:lang w:val="en-US" w:eastAsia="zh-CN"/>
                    </w:rPr>
                    <w:t>4</w:t>
                  </w: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1</w:t>
                  </w:r>
                  <w:r>
                    <w:rPr>
                      <w:rFonts w:hint="eastAsia" w:ascii="Times New Roman" w:hAnsi="Times New Roman" w:cs="Times New Roman"/>
                      <w:bCs/>
                      <w:color w:val="auto"/>
                      <w:sz w:val="21"/>
                      <w:szCs w:val="21"/>
                      <w:vertAlign w:val="subscript"/>
                      <w:lang w:val="en-US" w:eastAsia="zh-CN"/>
                    </w:rPr>
                    <w:t>0</w:t>
                  </w:r>
                  <w:r>
                    <w:rPr>
                      <w:rFonts w:hint="default" w:ascii="Times New Roman" w:hAnsi="Times New Roman" w:cs="Times New Roman"/>
                      <w:bCs/>
                      <w:color w:val="auto"/>
                      <w:sz w:val="21"/>
                      <w:szCs w:val="21"/>
                    </w:rPr>
                    <w:t>-C</w:t>
                  </w:r>
                  <w:r>
                    <w:rPr>
                      <w:rFonts w:hint="default" w:ascii="Times New Roman" w:hAnsi="Times New Roman" w:cs="Times New Roman"/>
                      <w:bCs/>
                      <w:color w:val="auto"/>
                      <w:sz w:val="21"/>
                      <w:szCs w:val="21"/>
                      <w:vertAlign w:val="subscript"/>
                    </w:rPr>
                    <w:t>12</w:t>
                  </w: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26</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CAS号：68334-30-5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危险类别：第3.</w:t>
                  </w:r>
                  <w:r>
                    <w:rPr>
                      <w:rFonts w:hint="eastAsia" w:ascii="Times New Roman" w:hAnsi="Times New Roman" w:cs="Times New Roman"/>
                      <w:bCs/>
                      <w:color w:val="auto"/>
                      <w:sz w:val="21"/>
                      <w:szCs w:val="21"/>
                      <w:lang w:eastAsia="zh-CN"/>
                    </w:rPr>
                    <w:t>2类</w:t>
                  </w:r>
                  <w:r>
                    <w:rPr>
                      <w:rFonts w:hint="default" w:ascii="Times New Roman" w:hAnsi="Times New Roman" w:cs="Times New Roman"/>
                      <w:bCs/>
                      <w:color w:val="auto"/>
                      <w:sz w:val="21"/>
                      <w:szCs w:val="21"/>
                    </w:rPr>
                    <w:t>低闪点易燃液体</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组成：混合物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理化</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性质</w:t>
                  </w: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外观与性状：稍有粘性的棕色液体。</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溶解性：不溶于水，易溶于苯、二硫化</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熔点（</w:t>
                  </w:r>
                  <w:r>
                    <w:rPr>
                      <w:rFonts w:hint="default" w:ascii="Times New Roman" w:hAnsi="Times New Roman" w:cs="Times New Roman"/>
                      <w:bCs/>
                      <w:color w:val="auto"/>
                      <w:sz w:val="21"/>
                      <w:szCs w:val="21"/>
                      <w:vertAlign w:val="superscript"/>
                    </w:rPr>
                    <w:t>o</w:t>
                  </w:r>
                  <w:r>
                    <w:rPr>
                      <w:rFonts w:hint="default" w:ascii="Times New Roman" w:hAnsi="Times New Roman" w:cs="Times New Roman"/>
                      <w:bCs/>
                      <w:color w:val="auto"/>
                      <w:sz w:val="21"/>
                      <w:szCs w:val="21"/>
                    </w:rPr>
                    <w:t>C）：</w:t>
                  </w:r>
                  <w:r>
                    <w:rPr>
                      <w:rFonts w:hint="eastAsia" w:ascii="Times New Roman" w:hAnsi="Times New Roman" w:cs="Times New Roman"/>
                      <w:bCs/>
                      <w:color w:val="auto"/>
                      <w:sz w:val="21"/>
                      <w:szCs w:val="21"/>
                      <w:lang w:val="en-US" w:eastAsia="zh-CN"/>
                    </w:rPr>
                    <w:t>-18</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相对密度（空气＝1）：</w:t>
                  </w:r>
                  <w:r>
                    <w:rPr>
                      <w:rFonts w:hint="eastAsia" w:ascii="Times New Roman" w:hAnsi="Times New Roman" w:cs="Times New Roman"/>
                      <w:bCs/>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沸点（</w:t>
                  </w:r>
                  <w:r>
                    <w:rPr>
                      <w:rFonts w:hint="default" w:ascii="Times New Roman" w:hAnsi="Times New Roman" w:cs="Times New Roman"/>
                      <w:bCs/>
                      <w:color w:val="auto"/>
                      <w:sz w:val="21"/>
                      <w:szCs w:val="21"/>
                      <w:vertAlign w:val="superscript"/>
                    </w:rPr>
                    <w:t>o</w:t>
                  </w:r>
                  <w:r>
                    <w:rPr>
                      <w:rFonts w:hint="default" w:ascii="Times New Roman" w:hAnsi="Times New Roman" w:cs="Times New Roman"/>
                      <w:bCs/>
                      <w:color w:val="auto"/>
                      <w:sz w:val="21"/>
                      <w:szCs w:val="21"/>
                    </w:rPr>
                    <w:t>C）：282-338</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cs="Times New Roman"/>
                      <w:bCs/>
                      <w:color w:val="auto"/>
                      <w:sz w:val="21"/>
                      <w:szCs w:val="21"/>
                    </w:rPr>
                    <w:t>相对密度（水＝1）：</w:t>
                  </w:r>
                  <w:r>
                    <w:rPr>
                      <w:rFonts w:hint="eastAsia" w:cs="Times New Roman"/>
                      <w:bCs/>
                      <w:color w:val="auto"/>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燃烧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爆炸</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燃烧性：遇明火、 高热可燃</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最大爆炸压力（Mpa）：0.813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聚合危害：不聚合</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爆炸极限（体积分数%）：</w:t>
                  </w:r>
                  <w:r>
                    <w:rPr>
                      <w:rFonts w:hint="eastAsia" w:ascii="Times New Roman" w:hAnsi="Times New Roman" w:cs="Times New Roman"/>
                      <w:bCs/>
                      <w:color w:val="auto"/>
                      <w:sz w:val="21"/>
                      <w:szCs w:val="21"/>
                      <w:lang w:val="en-US" w:eastAsia="zh-CN"/>
                    </w:rPr>
                    <w:t>0.6-7.5</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cs="Times New Roman"/>
                      <w:bCs/>
                      <w:color w:val="auto"/>
                      <w:sz w:val="21"/>
                      <w:szCs w:val="21"/>
                    </w:rPr>
                    <w:t>引燃温度（oC）：</w:t>
                  </w:r>
                  <w:r>
                    <w:rPr>
                      <w:rFonts w:hint="eastAsia" w:ascii="Times New Roman" w:hAnsi="Times New Roman" w:cs="Times New Roman"/>
                      <w:bCs/>
                      <w:color w:val="auto"/>
                      <w:sz w:val="21"/>
                      <w:szCs w:val="21"/>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23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r>
                    <w:rPr>
                      <w:rFonts w:hint="default" w:ascii="Times New Roman" w:hAnsi="Times New Roman" w:cs="Times New Roman"/>
                      <w:bCs/>
                      <w:color w:val="auto"/>
                      <w:sz w:val="21"/>
                      <w:szCs w:val="21"/>
                    </w:rPr>
                    <w:t>禁忌物：强氧化剂、 卤素。</w:t>
                  </w:r>
                </w:p>
              </w:tc>
              <w:tc>
                <w:tcPr>
                  <w:tcW w:w="23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r>
                    <w:rPr>
                      <w:rFonts w:hint="default" w:ascii="Times New Roman" w:hAnsi="Times New Roman" w:cs="Times New Roman"/>
                      <w:bCs/>
                      <w:color w:val="auto"/>
                      <w:sz w:val="21"/>
                      <w:szCs w:val="21"/>
                    </w:rPr>
                    <w:t>闪点（oC）：&lt;23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危险特性：遇明火、 高热或与氧化剂接触， 有引起燃烧爆炸的危险。 若遇高热， 容器内压增大， 有开裂和爆炸的危险。</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FF0000"/>
                      <w:sz w:val="21"/>
                      <w:szCs w:val="21"/>
                    </w:rPr>
                  </w:pPr>
                  <w:r>
                    <w:rPr>
                      <w:rFonts w:hint="default" w:ascii="Times New Roman" w:hAnsi="Times New Roman" w:cs="Times New Roman"/>
                      <w:bCs/>
                      <w:color w:val="auto"/>
                      <w:sz w:val="21"/>
                      <w:szCs w:val="21"/>
                    </w:rPr>
                    <w:t>燃烧（分解）产物：CO、二氧化碳。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灭火方法：喷水冷却容器，可能的话将容器从火场移至空旷处。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FF0000"/>
                      <w:sz w:val="21"/>
                      <w:szCs w:val="21"/>
                    </w:rPr>
                  </w:pP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灭火剂：泡沫、二氧化碳、干粉。用水灭火无效。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毒理</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学资</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料</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毒性：属低毒类。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急性毒性：大鼠经口LD50: 7500 mg/kg。兔经皮LD :&gt;5 mL/kg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对人</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体危</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害</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侵入途径：吸入、食入，经皮吸收。</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健康危害：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安全</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防护</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呼吸系统防护：一般不需要特殊防护，高浓度时可佩戴自吸过滤式防毒面具</w:t>
                  </w:r>
                  <w:r>
                    <w:rPr>
                      <w:rFonts w:hint="eastAsia" w:ascii="Times New Roman" w:hAnsi="Times New Roman" w:cs="Times New Roman"/>
                      <w:bCs/>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眼睛防护：一般不需要特殊防护，高浓度接触时可佩戴化学安全防护眼镜。</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身体防护：穿防静电工作服。</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手防护：戴防苯耐油手套。</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急救</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皮肤接触：立即脱去被污染的衣着，用肥皂水和清水彻底冲洗皮肤。就医。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眼睛接触：立即提起眼睑，用大量流动清水或生理盐水彻底冲洗至少15min。就医。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吸入：迅速脱离现场至空气新鲜处。保持呼吸道路通畅。如呼吸困难，给输氧。如呼吸停止，立即进行人工呼吸，并及时就医。</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食入：给饮牛奶或用植物油洗胃和灌肠。就医。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处理</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迅速撤离泄漏污染区人员至安全区，并进行隔离，严格限制出入，切断火源。建议应急处理人员戴自给正压式呼吸器，穿消防防护服。尽可能切断泄漏源。防止进入下水道、排洪沟等限制性空间。</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小量泄漏：用沙土、蛭石或其他惰性材料吸收。或在保证安全的情况下，就地焚烧。</w:t>
                  </w:r>
                </w:p>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大量泄漏：构筑围堤或挖坑收容；用泡沫覆盖，降低蒸汽灾害。用防爆泵转移至槽车或专用收集器内，回收或运至废物处理场所处置。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储运</w:t>
                  </w:r>
                </w:p>
              </w:tc>
              <w:tc>
                <w:tcPr>
                  <w:tcW w:w="465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left"/>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存于阴凉、通风的库房。远离火种、热源。库温不超过30oC。操作工佩戴过滤式防毒面罩、防护服。灌装时应控制流速，且有接地装置，防止静电积聚。搬运时要轻装轻卸，防止包装及容器损坏。采用防爆型照明、通风设施，禁止使用易产生火花的机械设备和工具。储区应备有泄漏应急处理设备和合适的收容材料。</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2</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环境风险</w:t>
            </w:r>
            <w:r>
              <w:rPr>
                <w:rFonts w:hint="default" w:ascii="Times New Roman" w:hAnsi="Times New Roman" w:cs="Times New Roman"/>
                <w:b w:val="0"/>
                <w:bCs w:val="0"/>
                <w:color w:val="auto"/>
                <w:sz w:val="24"/>
                <w:szCs w:val="24"/>
                <w:lang w:val="en-US" w:eastAsia="zh-CN"/>
              </w:rPr>
              <w:t>分析及风险防范措施</w:t>
            </w:r>
          </w:p>
          <w:p>
            <w:pPr>
              <w:pStyle w:val="35"/>
              <w:keepNext w:val="0"/>
              <w:keepLines w:val="0"/>
              <w:pageBreakBefore w:val="0"/>
              <w:widowControl w:val="0"/>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加油站发生的最大危害事故是罐体破裂。当罐体因破损导致事故放空时，其对环境的影响应予重视，这是因为事故发生时，汽油泄漏可能诱发火灾或爆炸，不仅使地表植被遭到破坏，同时还会威胁附近居民的人身财产安全，对周围环境造成一定影响。</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eastAsia" w:ascii="Times New Roman" w:cs="Times New Roman"/>
                <w:bCs/>
                <w:color w:val="auto"/>
                <w:lang w:eastAsia="zh-CN"/>
              </w:rPr>
              <w:t>①</w:t>
            </w:r>
            <w:r>
              <w:rPr>
                <w:rFonts w:hint="default" w:ascii="Times New Roman" w:hAnsi="Times New Roman" w:cs="Times New Roman"/>
                <w:bCs/>
                <w:color w:val="auto"/>
              </w:rPr>
              <w:t>贮运系统风险识别</w:t>
            </w:r>
            <w:r>
              <w:rPr>
                <w:rFonts w:hint="default" w:ascii="Times New Roman" w:hAnsi="Times New Roman" w:cs="Times New Roman"/>
                <w:bCs/>
                <w:color w:val="auto"/>
              </w:rPr>
              <w:tab/>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油罐等设备本身设计不合格，或制造存在缺陷，造成其耐压能力不够，发生破裂，导致油品泄漏，遇火源则发生火灾、爆炸事故；油罐与外部管线相连的阀门、法兰等，若由于安装质量差，或由于疏忽漏装垫片，以及使用过程中的腐蚀穿孔或因油罐底板焊接不良而产生疲劳造成的裂纹等，都可能引起油品泄漏，泄漏油品遇点火源则易导致火灾、爆炸事故；另外，油罐在防雷设施失效的情况下遭受雷击、遭受电火花或在罐区内违禁使用明火、检修清洗时违规操作等情况，也易诱发火灾、爆炸事故。装卸油泵所输送的介质为汽油易燃易爆品，因操作压力处于较高范围内，若泵的出口压力超过了正常的允许压力，泵盖或管线配件就可能崩开而喷油，油泵亦会因密封失效或其它故障造成原油泄漏，当有点火源存在时，将可能导致火灾、爆炸事故的发生。</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eastAsia" w:ascii="Times New Roman" w:cs="Times New Roman"/>
                <w:bCs/>
                <w:color w:val="auto"/>
                <w:lang w:eastAsia="zh-CN"/>
              </w:rPr>
              <w:t>②</w:t>
            </w:r>
            <w:r>
              <w:rPr>
                <w:rFonts w:hint="default" w:ascii="Times New Roman" w:hAnsi="Times New Roman" w:cs="Times New Roman"/>
                <w:bCs/>
                <w:color w:val="auto"/>
              </w:rPr>
              <w:t>卸油、发油过程风险识别</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油罐漫溢：卸油时液位检测不及时易造成油罐漫溢。油罐漫溢后，周围空气中油蒸气的浓度迅速上升，达到或超过爆炸极限，遇明火即可能发生爆炸燃烧事故。</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油品滴漏：卸、发油时，若油管破裂、密封垫破损、接头、紧固螺栓松动等原因使油品泄漏至地面，遇明火即可发生燃烧。</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静电起火：由于油管线无静电接地连接、油罐车无静电接地或静电接地不良等原因，造成静电积聚可引起火灾、爆炸事故。</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操作过程遇明火：在非密闭卸油、发油过程中，大量油蒸气从卸油口逸出，当周围出现烟火、火花时，就会产生爆炸燃烧。</w:t>
            </w:r>
          </w:p>
          <w:p>
            <w:pPr>
              <w:pStyle w:val="35"/>
              <w:keepNext w:val="0"/>
              <w:keepLines w:val="0"/>
              <w:pageBreakBefore w:val="0"/>
              <w:widowControl w:val="0"/>
              <w:tabs>
                <w:tab w:val="left" w:pos="4107"/>
              </w:tabs>
              <w:kinsoku/>
              <w:wordWrap/>
              <w:overflowPunct/>
              <w:topLinePunct w:val="0"/>
              <w:bidi w:val="0"/>
              <w:snapToGrid/>
              <w:spacing w:line="520" w:lineRule="exact"/>
              <w:ind w:firstLine="480" w:firstLineChars="200"/>
              <w:jc w:val="both"/>
              <w:textAlignment w:val="auto"/>
              <w:rPr>
                <w:rFonts w:hint="default" w:ascii="Times New Roman" w:hAnsi="Times New Roman" w:cs="Times New Roman"/>
                <w:bCs/>
                <w:color w:val="auto"/>
              </w:rPr>
            </w:pPr>
            <w:r>
              <w:rPr>
                <w:rFonts w:hint="default" w:ascii="Times New Roman" w:hAnsi="Times New Roman" w:cs="Times New Roman"/>
                <w:bCs/>
                <w:color w:val="auto"/>
              </w:rPr>
              <w:t>在进行油罐清洗作业时，由于无法彻底清除油蒸气和沉淀物，残余油蒸气遇到静电、摩擦、电火花等都会导致火灾。电气老化、绝缘破损、短路、私拉乱接、超负荷用电、过载、接线不规范、发热、电器使用管理不当等引起火灾。站房耐火等级达不到要求，一旦明火管理不当，生产、生活用火失控，就容易导致火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（3）</w:t>
            </w:r>
            <w:r>
              <w:rPr>
                <w:rFonts w:hint="eastAsia" w:ascii="Times New Roman" w:hAnsi="Times New Roman" w:cs="Times New Roman"/>
                <w:b w:val="0"/>
                <w:bCs w:val="0"/>
                <w:color w:val="auto"/>
                <w:sz w:val="24"/>
                <w:szCs w:val="24"/>
                <w:lang w:val="en-US" w:eastAsia="zh-CN"/>
              </w:rPr>
              <w:t>应急措施及事故应急预案</w:t>
            </w:r>
          </w:p>
          <w:p>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hint="default" w:ascii="Times New Roman" w:hAnsi="Times New Roman" w:cs="Times New Roman"/>
                <w:color w:val="FF0000"/>
                <w:sz w:val="24"/>
              </w:rPr>
            </w:pPr>
            <w:r>
              <w:rPr>
                <w:rFonts w:hint="default" w:ascii="Times New Roman" w:hAnsi="Times New Roman" w:cs="Times New Roman"/>
                <w:color w:val="auto"/>
                <w:sz w:val="24"/>
                <w:highlight w:val="none"/>
              </w:rPr>
              <w:t>根据本项目环境风险分析的结果，对于该项目可能造成环境风险的突发性事故制定应急预案纲要，供项目决策人参考。评价要求：项目</w:t>
            </w:r>
            <w:r>
              <w:rPr>
                <w:rFonts w:hint="default" w:ascii="Times New Roman" w:hAnsi="Times New Roman" w:cs="Times New Roman"/>
                <w:color w:val="auto"/>
                <w:sz w:val="24"/>
              </w:rPr>
              <w:t>应按要求编制《环境风险突发事故应急预案》。</w:t>
            </w:r>
          </w:p>
          <w:p>
            <w:pPr>
              <w:pStyle w:val="9"/>
              <w:bidi w:val="0"/>
              <w:rPr>
                <w:rFonts w:hint="eastAsia"/>
              </w:rPr>
            </w:pPr>
            <w:r>
              <w:rPr>
                <w:rFonts w:hint="eastAsia"/>
              </w:rPr>
              <w:t>环境风险的突发事故应急预案</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755"/>
              <w:gridCol w:w="5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415" w:type="pct"/>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67" w:type="pct"/>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  目</w:t>
                  </w:r>
                </w:p>
              </w:tc>
              <w:tc>
                <w:tcPr>
                  <w:tcW w:w="3516" w:type="pct"/>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  则</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简叙原料和产品的性质及可能产生的突发事故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危险源概况</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详述危险源类型、数量及其分布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应急计划区</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装置区、储罐区、邻区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应急组织</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企业：企业指挥部－负责现场全面指挥</w:t>
                  </w:r>
                </w:p>
                <w:p>
                  <w:pPr>
                    <w:keepNext w:val="0"/>
                    <w:keepLines w:val="0"/>
                    <w:pageBreakBefore w:val="0"/>
                    <w:widowControl w:val="0"/>
                    <w:kinsoku/>
                    <w:wordWrap/>
                    <w:overflowPunct/>
                    <w:topLinePunct w:val="0"/>
                    <w:autoSpaceDE w:val="0"/>
                    <w:autoSpaceDN w:val="0"/>
                    <w:bidi w:val="0"/>
                    <w:adjustRightInd/>
                    <w:snapToGrid/>
                    <w:spacing w:line="260" w:lineRule="exact"/>
                    <w:ind w:firstLine="630" w:firstLineChars="3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专业救援队伍－负责事故控制、救援、善后处理</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地区：地区指挥部一负责工厂附近地区全面指挥、救援、管制、疏散</w:t>
                  </w:r>
                </w:p>
                <w:p>
                  <w:pPr>
                    <w:keepNext w:val="0"/>
                    <w:keepLines w:val="0"/>
                    <w:pageBreakBefore w:val="0"/>
                    <w:widowControl w:val="0"/>
                    <w:kinsoku/>
                    <w:wordWrap/>
                    <w:overflowPunct/>
                    <w:topLinePunct w:val="0"/>
                    <w:autoSpaceDE w:val="0"/>
                    <w:autoSpaceDN w:val="0"/>
                    <w:bidi w:val="0"/>
                    <w:adjustRightInd/>
                    <w:snapToGrid/>
                    <w:spacing w:line="260" w:lineRule="exact"/>
                    <w:ind w:firstLine="630" w:firstLineChars="3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专业救援队伍—负责对厂专业救援队伍的支援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应急状态分类及应急响应程序</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规定事故的级别及相应的应急分类响应程序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应急设施，设备与材料</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生产装置和罐区：</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防有毒有害物质外溢、扩散，主要灭火器。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应急通讯、通知和交通</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规定应急状态下的通讯方式、通知方式和交通保障、管制。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应急环境监测及事故后评估</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应急防护措施、消除泄漏措施方法和器材</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事故现场：控制事故、防止扩大、漫延及链锁反应。消除现场泄漏物，降低危害，相应的设施器材配备。</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邻近区域：控制火区域，控制和清除污染措施及相应设备配备。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应急剂量控制、撤离组织计划、医疗救护与公众健康</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事故现场：事故处理人员对毒物的应急剂量控制制定，现场及邻近装置人员撤离组织计划及救护。</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企业邻近区：受事故影响的邻近区域人员及公众对毒物应急剂量控制规定，撤离组织计划及救护。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应急状态终止与恢复措施</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规定应急状态终止程序。</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事故现善后处理，恢复措施。</w:t>
                  </w:r>
                </w:p>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人员培训与演练</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公众教育和信息</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对企业邻近地区开展公众教育、培训和发布有关信息。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06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记录和报告</w:t>
                  </w:r>
                </w:p>
              </w:tc>
              <w:tc>
                <w:tcPr>
                  <w:tcW w:w="3516"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设置应急事故专门记录，建</w:t>
                  </w:r>
                  <w:r>
                    <w:rPr>
                      <w:rFonts w:hint="eastAsia" w:ascii="Times New Roman" w:hAnsi="Times New Roman" w:cs="Times New Roman"/>
                      <w:color w:val="auto"/>
                      <w:sz w:val="21"/>
                      <w:szCs w:val="21"/>
                      <w:lang w:val="en-US" w:eastAsia="zh-CN"/>
                    </w:rPr>
                    <w:t>立</w:t>
                  </w:r>
                  <w:r>
                    <w:rPr>
                      <w:rFonts w:hint="default" w:ascii="Times New Roman" w:hAnsi="Times New Roman" w:cs="Times New Roman"/>
                      <w:color w:val="auto"/>
                      <w:sz w:val="21"/>
                      <w:szCs w:val="21"/>
                    </w:rPr>
                    <w:t>档案和专门报告制度，设专门部门和负责管理。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67"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附   件</w:t>
                  </w:r>
                </w:p>
              </w:tc>
              <w:tc>
                <w:tcPr>
                  <w:tcW w:w="3516" w:type="pc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与应急事故有关的多种附件材料的准备和形成。</w:t>
                  </w:r>
                </w:p>
              </w:tc>
            </w:tr>
          </w:tbl>
          <w:p>
            <w:pPr>
              <w:keepNext w:val="0"/>
              <w:keepLines w:val="0"/>
              <w:pageBreakBefore w:val="0"/>
              <w:widowControl w:val="0"/>
              <w:kinsoku/>
              <w:wordWrap/>
              <w:overflowPunct/>
              <w:topLinePunct w:val="0"/>
              <w:autoSpaceDE/>
              <w:autoSpaceDN/>
              <w:bidi w:val="0"/>
              <w:spacing w:line="520" w:lineRule="exact"/>
              <w:ind w:firstLine="480"/>
              <w:jc w:val="left"/>
              <w:textAlignment w:val="auto"/>
              <w:rPr>
                <w:rFonts w:hint="eastAsia" w:ascii="Times New Roman" w:hAnsi="Times New Roman" w:cs="Times New Roman"/>
                <w:b/>
                <w:bCs/>
                <w:color w:val="auto"/>
                <w:sz w:val="24"/>
                <w:szCs w:val="24"/>
                <w:lang w:val="en-US" w:eastAsia="zh-CN"/>
              </w:rPr>
            </w:pPr>
            <w:r>
              <w:rPr>
                <w:rFonts w:hint="default" w:ascii="Times New Roman" w:hAnsi="Times New Roman" w:cs="Times New Roman"/>
                <w:b w:val="0"/>
                <w:bCs w:val="0"/>
                <w:color w:val="auto"/>
                <w:sz w:val="24"/>
                <w:highlight w:val="none"/>
              </w:rPr>
              <w:t>发生事故后应采取的环保措施</w:t>
            </w:r>
            <w:r>
              <w:rPr>
                <w:rFonts w:hint="eastAsia" w:ascii="Times New Roman" w:hAnsi="Times New Roman" w:cs="Times New Roman"/>
                <w:b w:val="0"/>
                <w:bCs w:val="0"/>
                <w:color w:val="auto"/>
                <w:sz w:val="24"/>
                <w:highlight w:val="none"/>
                <w:lang w:eastAsia="zh-CN"/>
              </w:rPr>
              <w:t>：</w:t>
            </w:r>
            <w:r>
              <w:rPr>
                <w:rFonts w:hint="default" w:ascii="Times New Roman" w:hAnsi="Times New Roman" w:cs="Times New Roman"/>
                <w:color w:val="auto"/>
                <w:sz w:val="24"/>
                <w:highlight w:val="none"/>
              </w:rPr>
              <w:t>一旦发生事故，泄露的燃油应及时设置围挡进行拦截并及时收集，防止燃油泄漏范围增大污染土壤及地表水</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一旦发生爆炸、火灾、泄漏事故后，灭火使用的干粉灭火器产生的干粉、灭火毯、灭火</w:t>
            </w:r>
            <w:r>
              <w:rPr>
                <w:rFonts w:hint="eastAsia" w:ascii="Times New Roman" w:hAnsi="Times New Roman" w:cs="Times New Roman"/>
                <w:color w:val="auto"/>
                <w:sz w:val="24"/>
                <w:highlight w:val="none"/>
                <w:lang w:val="en-US" w:eastAsia="zh-CN"/>
              </w:rPr>
              <w:t>沙</w:t>
            </w:r>
            <w:r>
              <w:rPr>
                <w:rFonts w:hint="default" w:ascii="Times New Roman" w:hAnsi="Times New Roman" w:cs="Times New Roman"/>
                <w:color w:val="auto"/>
                <w:sz w:val="24"/>
                <w:highlight w:val="none"/>
              </w:rPr>
              <w:t>因混有燃油，应作为危险废物处理，此外若因燃油泄漏进入土壤造成土壤污染，</w:t>
            </w:r>
            <w:r>
              <w:rPr>
                <w:rFonts w:hint="default" w:ascii="Times New Roman" w:hAnsi="Times New Roman" w:cs="Times New Roman"/>
                <w:bCs/>
                <w:color w:val="auto"/>
                <w:sz w:val="24"/>
                <w:highlight w:val="none"/>
              </w:rPr>
              <w:t>受污染的土壤也应清理后作为危险废物处理，以上危险废物均送有资质的单位处理。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环境风险结论</w:t>
            </w:r>
          </w:p>
          <w:p>
            <w:pPr>
              <w:adjustRightInd w:val="0"/>
              <w:snapToGrid w:val="0"/>
              <w:spacing w:line="480" w:lineRule="exact"/>
              <w:ind w:firstLine="480" w:firstLineChars="200"/>
              <w:rPr>
                <w:color w:val="FF0000"/>
                <w:kern w:val="0"/>
                <w:sz w:val="24"/>
                <w:szCs w:val="20"/>
              </w:rPr>
            </w:pPr>
            <w:r>
              <w:rPr>
                <w:color w:val="auto"/>
                <w:kern w:val="0"/>
                <w:sz w:val="24"/>
                <w:szCs w:val="20"/>
              </w:rPr>
              <w:t>本项目的原料具有一定的燃烧爆炸性或毒性，其生产、贮存过程中存在一定泄漏污染及火灾爆炸风险。在采取相应的风险防范措施后，项目发生泄露和火灾爆炸事故时对周围敏感目标的危害后果较小。建设单位在认真落实环境风险评价提出的各项风险防范措施及应急预案的基础上，本项目的环境风险可防控。</w:t>
            </w:r>
          </w:p>
          <w:p>
            <w:pPr>
              <w:adjustRightInd w:val="0"/>
              <w:snapToGrid w:val="0"/>
              <w:spacing w:line="480" w:lineRule="exact"/>
              <w:ind w:firstLine="480" w:firstLineChars="200"/>
              <w:rPr>
                <w:rFonts w:hint="default" w:ascii="Times New Roman" w:hAnsi="Times New Roman" w:eastAsia="宋体" w:cs="Times New Roman"/>
                <w:color w:val="auto"/>
                <w:kern w:val="0"/>
                <w:sz w:val="24"/>
                <w:szCs w:val="20"/>
                <w:lang w:val="en-US" w:eastAsia="zh-CN"/>
              </w:rPr>
            </w:pPr>
            <w:r>
              <w:rPr>
                <w:rFonts w:hint="default" w:ascii="Times New Roman" w:hAnsi="Times New Roman" w:cs="Times New Roman"/>
                <w:color w:val="auto"/>
                <w:kern w:val="0"/>
                <w:sz w:val="24"/>
                <w:szCs w:val="20"/>
              </w:rPr>
              <w:t>综上所述，本项目环境风险简单分析内容表见</w:t>
            </w:r>
            <w:r>
              <w:rPr>
                <w:rFonts w:hint="eastAsia" w:cs="Times New Roman"/>
                <w:color w:val="auto"/>
                <w:kern w:val="0"/>
                <w:sz w:val="24"/>
                <w:szCs w:val="20"/>
                <w:lang w:eastAsia="zh-CN"/>
              </w:rPr>
              <w:t>下表</w:t>
            </w:r>
            <w:r>
              <w:rPr>
                <w:rFonts w:hint="default" w:ascii="Times New Roman" w:hAnsi="Times New Roman" w:cs="Times New Roman"/>
                <w:color w:val="auto"/>
                <w:kern w:val="0"/>
                <w:sz w:val="24"/>
                <w:szCs w:val="20"/>
                <w:lang w:val="en-US" w:eastAsia="zh-CN"/>
              </w:rPr>
              <w:t>。</w:t>
            </w:r>
          </w:p>
          <w:p>
            <w:pPr>
              <w:pStyle w:val="9"/>
              <w:bidi w:val="0"/>
              <w:rPr>
                <w:rFonts w:hint="eastAsia"/>
              </w:rPr>
            </w:pPr>
            <w:r>
              <w:rPr>
                <w:rFonts w:hint="eastAsia"/>
              </w:rPr>
              <w:t>建设项目环境风险简单分析内容表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347"/>
              <w:gridCol w:w="1866"/>
              <w:gridCol w:w="1943"/>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682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新乡县七里营镇四达加油站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682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新乡县七里营镇政府北300米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135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8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eastAsia="zh-CN"/>
                    </w:rPr>
                    <w:t>113°</w:t>
                  </w:r>
                  <w:r>
                    <w:rPr>
                      <w:rFonts w:hint="eastAsia" w:cs="Times New Roman"/>
                      <w:color w:val="auto"/>
                      <w:sz w:val="21"/>
                      <w:szCs w:val="21"/>
                      <w:lang w:val="en-US" w:eastAsia="zh-CN"/>
                    </w:rPr>
                    <w:t>47</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30.975</w:t>
                  </w:r>
                  <w:r>
                    <w:rPr>
                      <w:rFonts w:hint="default" w:ascii="Times New Roman" w:hAnsi="Times New Roman" w:cs="Times New Roman"/>
                      <w:color w:val="auto"/>
                      <w:sz w:val="21"/>
                      <w:szCs w:val="21"/>
                      <w:lang w:eastAsia="zh-CN"/>
                    </w:rPr>
                    <w:t>″</w:t>
                  </w:r>
                </w:p>
              </w:tc>
              <w:tc>
                <w:tcPr>
                  <w:tcW w:w="1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6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35°</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8.808</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682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主要危险物质：汽油</w:t>
                  </w:r>
                  <w:r>
                    <w:rPr>
                      <w:rFonts w:hint="eastAsia" w:cs="Times New Roman"/>
                      <w:color w:val="auto"/>
                      <w:sz w:val="21"/>
                      <w:szCs w:val="21"/>
                      <w:highlight w:val="none"/>
                      <w:lang w:eastAsia="zh-CN"/>
                    </w:rPr>
                    <w:t>、柴油</w:t>
                  </w:r>
                  <w:r>
                    <w:rPr>
                      <w:rFonts w:hint="default" w:ascii="Times New Roman" w:hAnsi="Times New Roman" w:eastAsia="宋体" w:cs="Times New Roman"/>
                      <w:color w:val="auto"/>
                      <w:sz w:val="21"/>
                      <w:szCs w:val="21"/>
                      <w:highlight w:val="none"/>
                    </w:rPr>
                    <w:t>；分布：罐区、加油区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w:t>
                  </w:r>
                </w:p>
              </w:tc>
              <w:tc>
                <w:tcPr>
                  <w:tcW w:w="6821"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00" w:lineRule="exact"/>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①火灾、爆炸</w:t>
                  </w:r>
                </w:p>
                <w:p>
                  <w:pPr>
                    <w:keepNext w:val="0"/>
                    <w:keepLines w:val="0"/>
                    <w:pageBreakBefore w:val="0"/>
                    <w:widowControl w:val="0"/>
                    <w:kinsoku/>
                    <w:wordWrap/>
                    <w:overflowPunct/>
                    <w:topLinePunct w:val="0"/>
                    <w:autoSpaceDE w:val="0"/>
                    <w:autoSpaceDN w:val="0"/>
                    <w:bidi w:val="0"/>
                    <w:adjustRightInd/>
                    <w:snapToGrid/>
                    <w:spacing w:line="300" w:lineRule="exact"/>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汽油</w:t>
                  </w:r>
                  <w:r>
                    <w:rPr>
                      <w:rFonts w:hint="eastAsia" w:cs="Times New Roman"/>
                      <w:color w:val="auto"/>
                      <w:sz w:val="21"/>
                      <w:szCs w:val="21"/>
                      <w:highlight w:val="none"/>
                      <w:lang w:eastAsia="zh-CN"/>
                    </w:rPr>
                    <w:t>、柴油</w:t>
                  </w:r>
                  <w:r>
                    <w:rPr>
                      <w:rFonts w:hint="default" w:ascii="Times New Roman" w:hAnsi="Times New Roman" w:eastAsia="宋体" w:cs="Times New Roman"/>
                      <w:color w:val="auto"/>
                      <w:sz w:val="21"/>
                      <w:szCs w:val="21"/>
                      <w:highlight w:val="none"/>
                    </w:rPr>
                    <w:t>具有易燃易爆的特点，出现泄漏后遇到火源，将会立刻引发火灾事故；如果汽油</w:t>
                  </w:r>
                  <w:r>
                    <w:rPr>
                      <w:rFonts w:hint="eastAsia" w:cs="Times New Roman"/>
                      <w:color w:val="auto"/>
                      <w:sz w:val="21"/>
                      <w:szCs w:val="21"/>
                      <w:highlight w:val="none"/>
                      <w:lang w:eastAsia="zh-CN"/>
                    </w:rPr>
                    <w:t>、柴油</w:t>
                  </w:r>
                  <w:r>
                    <w:rPr>
                      <w:rFonts w:hint="default" w:ascii="Times New Roman" w:hAnsi="Times New Roman" w:eastAsia="宋体" w:cs="Times New Roman"/>
                      <w:color w:val="auto"/>
                      <w:sz w:val="21"/>
                      <w:szCs w:val="21"/>
                      <w:highlight w:val="none"/>
                    </w:rPr>
                    <w:t>泄漏后产生蒸汽与点火源延迟点火，即可能发生爆炸危险。</w:t>
                  </w:r>
                </w:p>
                <w:p>
                  <w:pPr>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 储罐泄漏</w:t>
                  </w:r>
                </w:p>
                <w:p>
                  <w:pPr>
                    <w:keepNext w:val="0"/>
                    <w:keepLines w:val="0"/>
                    <w:pageBreakBefore w:val="0"/>
                    <w:widowControl w:val="0"/>
                    <w:kinsoku/>
                    <w:wordWrap/>
                    <w:overflowPunct/>
                    <w:topLinePunct w:val="0"/>
                    <w:autoSpaceDE w:val="0"/>
                    <w:autoSpaceDN w:val="0"/>
                    <w:bidi w:val="0"/>
                    <w:adjustRightInd/>
                    <w:snapToGrid/>
                    <w:spacing w:line="300" w:lineRule="exact"/>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品泄漏有事故泄漏和非事故泄漏两种。事故泄漏主要指自然灾害造成的成品油泄漏对环境的影响，如地震、洪水等非人为因素。这种由于自然因素引起的环境污染造成的后果较难估量，最坏的设想是所有的成品油全部进入环境，对河流、土壤、生物造成毁灭性的污染。这种污染一般是范围较广、面积较大、后果较为严重，达到自然环境的完全恢复需相当长的时间。</w:t>
                  </w:r>
                </w:p>
                <w:p>
                  <w:pPr>
                    <w:keepNext w:val="0"/>
                    <w:keepLines w:val="0"/>
                    <w:pageBreakBefore w:val="0"/>
                    <w:widowControl w:val="0"/>
                    <w:kinsoku/>
                    <w:wordWrap/>
                    <w:overflowPunct/>
                    <w:topLinePunct w:val="0"/>
                    <w:autoSpaceDE w:val="0"/>
                    <w:autoSpaceDN w:val="0"/>
                    <w:bidi w:val="0"/>
                    <w:adjustRightInd/>
                    <w:snapToGrid/>
                    <w:spacing w:line="300" w:lineRule="exact"/>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非事故泄漏往往最常见，主要是阀门、管线接口不严、设备的老化等原因造成的，其泄漏量很小，但对</w:t>
                  </w:r>
                  <w:r>
                    <w:rPr>
                      <w:rFonts w:hint="eastAsia" w:cs="Times New Roman"/>
                      <w:color w:val="auto"/>
                      <w:sz w:val="21"/>
                      <w:szCs w:val="21"/>
                      <w:highlight w:val="none"/>
                      <w:lang w:val="en-US" w:eastAsia="zh-CN"/>
                    </w:rPr>
                    <w:t>土壤</w:t>
                  </w:r>
                  <w:r>
                    <w:rPr>
                      <w:rFonts w:hint="default" w:ascii="Times New Roman" w:hAnsi="Times New Roman" w:eastAsia="宋体" w:cs="Times New Roman"/>
                      <w:color w:val="auto"/>
                      <w:sz w:val="21"/>
                      <w:szCs w:val="21"/>
                      <w:highlight w:val="none"/>
                    </w:rPr>
                    <w:t>影响的也是不能轻视的，这种泄漏必然穿过较厚的土壤层，使土壤层中吸附了大量的燃料油，土壤层吸附的燃料油不仅会造成植物的死亡，而且土壤层吸附的燃料油还会下渗通过土壤层间接补充到地下水，这样尽管污染源得到及时控制，对地下水还是会造成一定的影响，同时地下水的自净降解是一个长期的过程，需几十年甚至上百年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682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①防火安全间距：项目应遵循</w:t>
                  </w:r>
                  <w:r>
                    <w:rPr>
                      <w:rFonts w:hint="default" w:ascii="Times New Roman" w:hAnsi="Times New Roman" w:cs="Times New Roman"/>
                      <w:b w:val="0"/>
                      <w:bCs w:val="0"/>
                      <w:color w:val="auto"/>
                      <w:sz w:val="21"/>
                      <w:szCs w:val="21"/>
                    </w:rPr>
                    <w:t>《汽车加油加气</w:t>
                  </w:r>
                  <w:r>
                    <w:rPr>
                      <w:rFonts w:hint="default" w:ascii="Times New Roman" w:hAnsi="Times New Roman" w:cs="Times New Roman"/>
                      <w:b w:val="0"/>
                      <w:bCs w:val="0"/>
                      <w:color w:val="auto"/>
                      <w:sz w:val="21"/>
                      <w:szCs w:val="21"/>
                      <w:lang w:val="en-US" w:eastAsia="zh-CN"/>
                    </w:rPr>
                    <w:t>加氢站技术标准</w:t>
                  </w:r>
                  <w:r>
                    <w:rPr>
                      <w:rFonts w:hint="default" w:ascii="Times New Roman" w:hAnsi="Times New Roman" w:cs="Times New Roman"/>
                      <w:b w:val="0"/>
                      <w:bCs w:val="0"/>
                      <w:color w:val="auto"/>
                      <w:sz w:val="21"/>
                      <w:szCs w:val="21"/>
                    </w:rPr>
                    <w:t>》（GB50156-20</w:t>
                  </w:r>
                  <w:r>
                    <w:rPr>
                      <w:rFonts w:hint="default" w:ascii="Times New Roman" w:hAnsi="Times New Roman" w:cs="Times New Roman"/>
                      <w:b w:val="0"/>
                      <w:bCs w:val="0"/>
                      <w:color w:val="auto"/>
                      <w:sz w:val="21"/>
                      <w:szCs w:val="21"/>
                      <w:lang w:val="en-US" w:eastAsia="zh-CN"/>
                    </w:rPr>
                    <w:t>21</w:t>
                  </w:r>
                  <w:r>
                    <w:rPr>
                      <w:rFonts w:hint="default" w:ascii="Times New Roman" w:hAnsi="Times New Roman" w:cs="Times New Roman"/>
                      <w:b w:val="0"/>
                      <w:bCs w:val="0"/>
                      <w:color w:val="auto"/>
                      <w:sz w:val="21"/>
                      <w:szCs w:val="21"/>
                    </w:rPr>
                    <w:t>）</w:t>
                  </w:r>
                  <w:r>
                    <w:rPr>
                      <w:rFonts w:hint="default" w:ascii="Times New Roman" w:hAnsi="Times New Roman" w:eastAsia="宋体" w:cs="Times New Roman"/>
                      <w:bCs/>
                      <w:snapToGrid w:val="0"/>
                      <w:color w:val="auto"/>
                      <w:sz w:val="21"/>
                      <w:szCs w:val="21"/>
                      <w:highlight w:val="none"/>
                    </w:rPr>
                    <w:t>的防火距离规定和有关消防部门的规范要求，并在</w:t>
                  </w:r>
                  <w:r>
                    <w:rPr>
                      <w:rFonts w:hint="eastAsia" w:ascii="Times New Roman" w:hAnsi="Times New Roman" w:cs="Times New Roman"/>
                      <w:bCs/>
                      <w:snapToGrid w:val="0"/>
                      <w:color w:val="auto"/>
                      <w:sz w:val="21"/>
                      <w:szCs w:val="21"/>
                      <w:highlight w:val="none"/>
                      <w:lang w:eastAsia="zh-CN"/>
                    </w:rPr>
                    <w:t>运营</w:t>
                  </w:r>
                  <w:r>
                    <w:rPr>
                      <w:rFonts w:hint="default" w:ascii="Times New Roman" w:hAnsi="Times New Roman" w:eastAsia="宋体" w:cs="Times New Roman"/>
                      <w:bCs/>
                      <w:snapToGrid w:val="0"/>
                      <w:color w:val="auto"/>
                      <w:sz w:val="21"/>
                      <w:szCs w:val="21"/>
                      <w:highlight w:val="none"/>
                    </w:rPr>
                    <w:t>中采取严格的防火防爆措施，即使项目一旦发生火灾爆炸事故时，也可确保周围环境保护目标处在火灾爆炸影响范围之外。</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②消防通道与耐火等级：消防通道和建筑物耐火等级应满足消防要求。</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③消防器材及报警系统：按照《建筑灭火器配置设计规范》（GBJ140-90）之规定，配置相应的灭火器类型（干粉灭火器等）与数量，并在火灾危险场所设置报警装置。</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④安全生产管理制度：制定严格的防火、防爆制度。设立必要的消防队伍，定期对生产人员进行消防等安全教育，加强加油站生产及安全方面的管理，增强安全生产保障。</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⑤防爆：电气设备和仪表均选用防爆型，灯具也应选防爆灯具，加强管理，严禁区内有明火出现。</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⑥防雷：项目应以避雷带和避雷针相结合防范直击雷，在各级配电母线上设置感应雷避雷器来防范感应雷。</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⑦维修与抢险：配备较好的设备和相应的抢险设施。当发生事故时，为不使事故扩大，防止二次灾害的发生，要求及时抢险抢修，必须对各种险情进行事故前预测，保证抢险队伍的素质，遇险时应及时与当地消防部门取得联系，以获得有力支持。</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⑧操作运行：</w:t>
                  </w:r>
                  <w:r>
                    <w:rPr>
                      <w:rFonts w:hint="eastAsia" w:ascii="Times New Roman" w:hAnsi="Times New Roman" w:cs="Times New Roman"/>
                      <w:bCs/>
                      <w:snapToGrid w:val="0"/>
                      <w:color w:val="auto"/>
                      <w:sz w:val="21"/>
                      <w:szCs w:val="21"/>
                      <w:highlight w:val="none"/>
                      <w:lang w:eastAsia="zh-CN"/>
                    </w:rPr>
                    <w:t>运营</w:t>
                  </w:r>
                  <w:r>
                    <w:rPr>
                      <w:rFonts w:hint="default" w:ascii="Times New Roman" w:hAnsi="Times New Roman" w:eastAsia="宋体" w:cs="Times New Roman"/>
                      <w:bCs/>
                      <w:snapToGrid w:val="0"/>
                      <w:color w:val="auto"/>
                      <w:sz w:val="21"/>
                      <w:szCs w:val="21"/>
                      <w:highlight w:val="none"/>
                    </w:rPr>
                    <w:t>中应确保正确操作和正常运行，在操作运行方面要求工作人员必须进行岗前专业培训，严格执行安全生产操作规程，进行安全性专业维护和保养，对安全设备进行定期校验，确保安全生产。</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b/>
                      <w:color w:val="auto"/>
                      <w:sz w:val="21"/>
                      <w:szCs w:val="21"/>
                      <w:highlight w:val="none"/>
                      <w:u w:val="single"/>
                    </w:rPr>
                  </w:pPr>
                  <w:r>
                    <w:rPr>
                      <w:rFonts w:hint="default" w:ascii="Times New Roman" w:hAnsi="Times New Roman" w:eastAsia="宋体" w:cs="Times New Roman"/>
                      <w:bCs/>
                      <w:snapToGrid w:val="0"/>
                      <w:color w:val="auto"/>
                      <w:sz w:val="21"/>
                      <w:szCs w:val="21"/>
                      <w:highlight w:val="none"/>
                    </w:rPr>
                    <w:t>⑨应急措施：一旦发生事故，则要根据具体情况采取应急措施，切断泄漏源、火源，控制事故扩大，立即报警，采取遏制泄漏物进入环境的紧急措施，并立即向社会求援。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w:t>
                  </w:r>
                </w:p>
              </w:tc>
              <w:tc>
                <w:tcPr>
                  <w:tcW w:w="682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本项目最大可信事故为汽油泄漏，进一步引发火灾或爆炸等恶性事故，造成人员伤亡及经济损失。企业须严格落实各项风险防范措施，从而使工程环境风险降低到最低程度。</w:t>
                  </w:r>
                </w:p>
              </w:tc>
            </w:tr>
          </w:tbl>
          <w:p>
            <w:pPr>
              <w:keepNext w:val="0"/>
              <w:keepLines w:val="0"/>
              <w:pageBreakBefore w:val="0"/>
              <w:widowControl/>
              <w:suppressLineNumbers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九</w:t>
            </w:r>
            <w:r>
              <w:rPr>
                <w:rFonts w:hint="eastAsia"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电磁辐射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val="0"/>
                <w:bCs w:val="0"/>
                <w:color w:val="auto"/>
                <w:kern w:val="2"/>
                <w:sz w:val="24"/>
                <w:szCs w:val="24"/>
                <w:lang w:val="en-US" w:eastAsia="zh-CN" w:bidi="ar-SA"/>
              </w:rPr>
              <w:t>本项目不涉及电磁辐射。</w:t>
            </w:r>
          </w:p>
          <w:p>
            <w:pPr>
              <w:keepNext w:val="0"/>
              <w:keepLines w:val="0"/>
              <w:pageBreakBefore w:val="0"/>
              <w:widowControl w:val="0"/>
              <w:kinsoku/>
              <w:wordWrap/>
              <w:overflowPunct/>
              <w:topLinePunct w:val="0"/>
              <w:bidi w:val="0"/>
              <w:adjustRightInd/>
              <w:snapToGrid/>
              <w:spacing w:line="520" w:lineRule="exact"/>
              <w:ind w:firstLine="482"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4"/>
                <w:szCs w:val="24"/>
                <w:lang w:val="en-US" w:eastAsia="zh-CN"/>
              </w:rPr>
              <w:t>十</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环境管理</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（1）环境管理机构</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加油站设置有</w:t>
            </w:r>
            <w:r>
              <w:rPr>
                <w:rFonts w:hint="default" w:ascii="Times New Roman" w:hAnsi="Times New Roman" w:eastAsia="宋体" w:cs="Times New Roman"/>
                <w:color w:val="auto"/>
                <w:sz w:val="24"/>
                <w:szCs w:val="24"/>
                <w:lang w:val="en-US" w:eastAsia="zh-CN"/>
              </w:rPr>
              <w:t>环境管理机构，设置</w:t>
            </w:r>
            <w:r>
              <w:rPr>
                <w:rFonts w:hint="eastAsia" w:cs="Times New Roman"/>
                <w:color w:val="auto"/>
                <w:sz w:val="24"/>
                <w:szCs w:val="24"/>
                <w:lang w:val="en-US" w:eastAsia="zh-CN"/>
              </w:rPr>
              <w:t>有</w:t>
            </w:r>
            <w:r>
              <w:rPr>
                <w:rFonts w:hint="default" w:ascii="Times New Roman" w:hAnsi="Times New Roman" w:eastAsia="宋体" w:cs="Times New Roman"/>
                <w:color w:val="auto"/>
                <w:sz w:val="24"/>
                <w:szCs w:val="24"/>
                <w:lang w:val="en-US" w:eastAsia="zh-CN"/>
              </w:rPr>
              <w:t>一名环保专职管理人员，其主要职责是贯彻国家环境保护法、环保方针和政策，制定本公司的环保计划、规章制度、负责环境监测、验收与排污许可申报等。</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环境管理机构的基本任务是负责组织、落实、监督本项目的环保工作，其主要职责如下：</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①贯彻执行国家和地方相关的环境保护法律、法规、条例和标准；</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②制定并组织实施企业环境保护计划，填报排污申报表和环境统计报表等；</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③监督和检查环保设施运行状况；</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④负责编制环境风险应急预案，组织协调环境事故的处理；</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⑤负责推行企业清洁生产工作；</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⑥组织制定全</w:t>
            </w:r>
            <w:r>
              <w:rPr>
                <w:rFonts w:hint="eastAsia" w:cs="Times New Roman"/>
                <w:color w:val="auto"/>
                <w:sz w:val="24"/>
                <w:szCs w:val="24"/>
                <w:lang w:val="en-US" w:eastAsia="zh-CN"/>
              </w:rPr>
              <w:t>站</w:t>
            </w:r>
            <w:r>
              <w:rPr>
                <w:rFonts w:hint="default" w:ascii="Times New Roman" w:hAnsi="Times New Roman" w:cs="Times New Roman"/>
                <w:color w:val="auto"/>
                <w:sz w:val="24"/>
                <w:szCs w:val="24"/>
              </w:rPr>
              <w:t>环境保护管理的规章制度和主要污染岗位的操作规范，并监督执行；</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⑦组织本单位的环境监测工作；</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⑧除完成有关环境保护工作外，还应接受当地政府环保部门的检查监督，并按要求上报相应的环境管理工作执行情况。</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b w:val="0"/>
                <w:bCs w:val="0"/>
                <w:color w:val="auto"/>
              </w:rPr>
            </w:pPr>
            <w:r>
              <w:rPr>
                <w:rFonts w:hint="eastAsia" w:ascii="Times New Roman" w:hAnsi="Times New Roman" w:cs="Times New Roman"/>
                <w:b w:val="0"/>
                <w:bCs w:val="0"/>
                <w:color w:val="auto"/>
                <w:sz w:val="24"/>
                <w:szCs w:val="24"/>
                <w:lang w:val="en-US" w:eastAsia="zh-CN"/>
              </w:rPr>
              <w:t>（2）</w:t>
            </w:r>
            <w:r>
              <w:rPr>
                <w:rFonts w:ascii="Times New Roman" w:hAnsi="Times New Roman" w:cs="Times New Roman"/>
                <w:b w:val="0"/>
                <w:bCs w:val="0"/>
                <w:color w:val="auto"/>
              </w:rPr>
              <w:t>环境管理工作计划</w:t>
            </w:r>
          </w:p>
          <w:p>
            <w:pPr>
              <w:pStyle w:val="74"/>
              <w:keepNext w:val="0"/>
              <w:keepLines w:val="0"/>
              <w:pageBreakBefore w:val="0"/>
              <w:kinsoku/>
              <w:wordWrap/>
              <w:overflowPunct/>
              <w:topLinePunct w:val="0"/>
              <w:bidi w:val="0"/>
              <w:adjustRightInd/>
              <w:snapToGrid/>
              <w:spacing w:line="520" w:lineRule="exact"/>
              <w:ind w:firstLine="48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sz w:val="24"/>
                <w:szCs w:val="24"/>
              </w:rPr>
              <w:t>①</w:t>
            </w:r>
            <w:r>
              <w:rPr>
                <w:rFonts w:ascii="Times New Roman" w:hAnsi="Times New Roman" w:cs="Times New Roman"/>
                <w:color w:val="auto"/>
              </w:rPr>
              <w:t>严格执行各项生产及环境管理制度，保证生产的正常进行；</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color w:val="auto"/>
              </w:rPr>
            </w:pPr>
            <w:r>
              <w:rPr>
                <w:rFonts w:hint="default" w:ascii="Times New Roman" w:hAnsi="Times New Roman" w:cs="Times New Roman"/>
                <w:color w:val="auto"/>
                <w:sz w:val="24"/>
                <w:szCs w:val="24"/>
              </w:rPr>
              <w:t>②</w:t>
            </w:r>
            <w:r>
              <w:rPr>
                <w:rFonts w:ascii="Times New Roman" w:hAnsi="Times New Roman" w:cs="Times New Roman"/>
                <w:color w:val="auto"/>
              </w:rPr>
              <w:t>设立环保设施运行卡，对环保设施定期进行检查、维护，做到勤查、勤记、勤养护；</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color w:val="auto"/>
              </w:rPr>
            </w:pPr>
            <w:r>
              <w:rPr>
                <w:rFonts w:hint="default" w:ascii="Times New Roman" w:hAnsi="Times New Roman" w:cs="Times New Roman"/>
                <w:color w:val="auto"/>
                <w:sz w:val="24"/>
                <w:szCs w:val="24"/>
              </w:rPr>
              <w:t>③</w:t>
            </w:r>
            <w:r>
              <w:rPr>
                <w:rFonts w:ascii="Times New Roman" w:hAnsi="Times New Roman" w:cs="Times New Roman"/>
                <w:color w:val="auto"/>
              </w:rPr>
              <w:t>按照监测计划定期委托第三方机构对污染源进行监测，对不达标环保设施立即进行寻找原因及时处理；</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color w:val="auto"/>
              </w:rPr>
            </w:pPr>
            <w:r>
              <w:rPr>
                <w:rFonts w:hint="default" w:ascii="Times New Roman" w:hAnsi="Times New Roman" w:cs="Times New Roman"/>
                <w:color w:val="auto"/>
                <w:sz w:val="24"/>
                <w:szCs w:val="24"/>
              </w:rPr>
              <w:t>④</w:t>
            </w:r>
            <w:r>
              <w:rPr>
                <w:rFonts w:ascii="Times New Roman" w:hAnsi="Times New Roman" w:cs="Times New Roman"/>
                <w:color w:val="auto"/>
              </w:rPr>
              <w:t>不断加强技术培训，组织企业内部之间技术交流，提高业务水平，保持企业内部职工素质稳定；</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color w:val="auto"/>
              </w:rPr>
            </w:pPr>
            <w:r>
              <w:rPr>
                <w:rFonts w:hint="default" w:ascii="Times New Roman" w:hAnsi="Times New Roman" w:cs="Times New Roman"/>
                <w:color w:val="auto"/>
                <w:sz w:val="24"/>
                <w:szCs w:val="24"/>
              </w:rPr>
              <w:t>⑤</w:t>
            </w:r>
            <w:r>
              <w:rPr>
                <w:rFonts w:ascii="Times New Roman" w:hAnsi="Times New Roman" w:cs="Times New Roman"/>
                <w:color w:val="auto"/>
              </w:rPr>
              <w:t>重视群众监督作用，提高企业职工环境意识，鼓励职工及外部人员对生产状况提出意见，并通过积极吸收宝贵意见，提高企业环境管理水平</w:t>
            </w:r>
            <w:r>
              <w:rPr>
                <w:rFonts w:hint="eastAsia" w:ascii="Times New Roman" w:hAnsi="Times New Roman" w:cs="Times New Roman"/>
                <w:color w:val="auto"/>
              </w:rPr>
              <w:t>；</w:t>
            </w:r>
          </w:p>
          <w:p>
            <w:pPr>
              <w:pStyle w:val="74"/>
              <w:keepNext w:val="0"/>
              <w:keepLines w:val="0"/>
              <w:pageBreakBefore w:val="0"/>
              <w:kinsoku/>
              <w:wordWrap/>
              <w:overflowPunct/>
              <w:topLinePunct w:val="0"/>
              <w:bidi w:val="0"/>
              <w:adjustRightInd/>
              <w:snapToGrid/>
              <w:spacing w:line="520" w:lineRule="exact"/>
              <w:ind w:firstLine="480"/>
              <w:textAlignment w:val="auto"/>
              <w:rPr>
                <w:rFonts w:ascii="Times New Roman" w:hAnsi="Times New Roman" w:cs="Times New Roman"/>
                <w:color w:val="FF0000"/>
              </w:rPr>
            </w:pPr>
            <w:r>
              <w:rPr>
                <w:rFonts w:hint="default" w:ascii="Times New Roman" w:hAnsi="Times New Roman" w:cs="Times New Roman"/>
                <w:color w:val="auto"/>
                <w:sz w:val="24"/>
                <w:szCs w:val="24"/>
              </w:rPr>
              <w:t>⑥</w:t>
            </w:r>
            <w:r>
              <w:rPr>
                <w:rFonts w:ascii="Times New Roman" w:hAnsi="Times New Roman" w:cs="Times New Roman"/>
                <w:color w:val="auto"/>
              </w:rPr>
              <w:t>积极配合环保部门的检查。</w:t>
            </w:r>
          </w:p>
          <w:p>
            <w:pPr>
              <w:keepNext w:val="0"/>
              <w:keepLines w:val="0"/>
              <w:pageBreakBefore w:val="0"/>
              <w:widowControl/>
              <w:kinsoku/>
              <w:wordWrap/>
              <w:overflowPunct/>
              <w:topLinePunct w:val="0"/>
              <w:bidi w:val="0"/>
              <w:adjustRightInd/>
              <w:snapToGrid/>
              <w:spacing w:line="520" w:lineRule="exact"/>
              <w:ind w:firstLine="480" w:firstLineChars="200"/>
              <w:jc w:val="left"/>
              <w:textAlignment w:val="auto"/>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排污口规范化设置</w:t>
            </w:r>
          </w:p>
          <w:p>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520" w:lineRule="exact"/>
              <w:ind w:left="0" w:right="0" w:firstLine="480" w:firstLineChars="200"/>
              <w:jc w:val="both"/>
              <w:textAlignment w:val="auto"/>
              <w:rPr>
                <w:rFonts w:hint="default" w:ascii="Times New Roman" w:hAnsi="Times New Roman" w:eastAsia="黑体" w:cs="Times New Roman"/>
                <w:b w:val="0"/>
                <w:bCs w:val="0"/>
                <w:color w:val="auto"/>
                <w:sz w:val="24"/>
                <w:szCs w:val="24"/>
              </w:rPr>
            </w:pPr>
            <w:r>
              <w:rPr>
                <w:rFonts w:hint="default" w:ascii="Times New Roman" w:hAnsi="Times New Roman" w:cs="Times New Roman"/>
                <w:color w:val="auto"/>
                <w:sz w:val="24"/>
                <w:szCs w:val="22"/>
              </w:rPr>
              <w:t>各污染源排放口设置专项图标，执行《环境图形标准排污口（源）》（GB15563.1-1995）、《环境保护图形标志—固体废物贮存（处置）场》（GB15562.2-1995）的相关要求。根据规定要求各排污口（源）提示标志形状采用正方形边框，背景颜色采用绿色，图形颜色采用白色。标志牌应设在与之功能相应的醒目处，并保持清晰、完整</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具体标志牌</w:t>
            </w:r>
            <w:r>
              <w:rPr>
                <w:rFonts w:hint="default" w:ascii="Times New Roman" w:hAnsi="Times New Roman" w:cs="Times New Roman"/>
                <w:b w:val="0"/>
                <w:bCs w:val="0"/>
                <w:color w:val="auto"/>
                <w:sz w:val="24"/>
                <w:szCs w:val="22"/>
              </w:rPr>
              <w:t>示意见</w:t>
            </w:r>
            <w:r>
              <w:rPr>
                <w:rFonts w:hint="eastAsia" w:cs="Times New Roman"/>
                <w:b w:val="0"/>
                <w:bCs w:val="0"/>
                <w:color w:val="auto"/>
                <w:sz w:val="24"/>
                <w:szCs w:val="22"/>
                <w:lang w:val="en-US" w:eastAsia="zh-CN"/>
              </w:rPr>
              <w:t>下表</w:t>
            </w:r>
            <w:r>
              <w:rPr>
                <w:rFonts w:hint="default" w:ascii="Times New Roman" w:hAnsi="Times New Roman" w:cs="Times New Roman"/>
                <w:b w:val="0"/>
                <w:bCs w:val="0"/>
                <w:color w:val="auto"/>
                <w:sz w:val="24"/>
                <w:szCs w:val="22"/>
              </w:rPr>
              <w:t>。</w:t>
            </w:r>
          </w:p>
          <w:p>
            <w:pPr>
              <w:pStyle w:val="9"/>
              <w:bidi w:val="0"/>
              <w:rPr>
                <w:rFonts w:hint="default"/>
              </w:rPr>
            </w:pPr>
            <w:r>
              <w:rPr>
                <w:rFonts w:hint="default"/>
              </w:rPr>
              <w:t>排污口标识一览表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590"/>
              <w:gridCol w:w="1728"/>
              <w:gridCol w:w="893"/>
              <w:gridCol w:w="154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tc>
              <w:tc>
                <w:tcPr>
                  <w:tcW w:w="9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提示图形符号</w:t>
                  </w: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警告图形符号</w:t>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提示图形符号</w:t>
                  </w:r>
                </w:p>
              </w:tc>
              <w:tc>
                <w:tcPr>
                  <w:tcW w:w="9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警告图形符号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5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18185" cy="718185"/>
                        <wp:effectExtent l="0" t="0" r="571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718185" cy="718185"/>
                                </a:xfrm>
                                <a:prstGeom prst="rect">
                                  <a:avLst/>
                                </a:prstGeom>
                                <a:noFill/>
                                <a:ln>
                                  <a:noFill/>
                                </a:ln>
                              </pic:spPr>
                            </pic:pic>
                          </a:graphicData>
                        </a:graphic>
                      </wp:inline>
                    </w:drawing>
                  </w: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84860" cy="713740"/>
                        <wp:effectExtent l="0" t="0" r="1524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784860" cy="713740"/>
                                </a:xfrm>
                                <a:prstGeom prst="rect">
                                  <a:avLst/>
                                </a:prstGeom>
                                <a:noFill/>
                                <a:ln>
                                  <a:noFill/>
                                </a:ln>
                              </pic:spPr>
                            </pic:pic>
                          </a:graphicData>
                        </a:graphic>
                      </wp:inline>
                    </w:drawing>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697865" cy="741680"/>
                        <wp:effectExtent l="0" t="0" r="6985"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697865" cy="741680"/>
                                </a:xfrm>
                                <a:prstGeom prst="rect">
                                  <a:avLst/>
                                </a:prstGeom>
                                <a:noFill/>
                                <a:ln>
                                  <a:noFill/>
                                </a:ln>
                              </pic:spPr>
                            </pic:pic>
                          </a:graphicData>
                        </a:graphic>
                      </wp:inline>
                    </w:drawing>
                  </w:r>
                </w:p>
              </w:tc>
              <w:tc>
                <w:tcPr>
                  <w:tcW w:w="9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82955" cy="712470"/>
                        <wp:effectExtent l="0" t="0" r="1714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tretch>
                                  <a:fillRect/>
                                </a:stretch>
                              </pic:blipFill>
                              <pic:spPr>
                                <a:xfrm>
                                  <a:off x="0" y="0"/>
                                  <a:ext cx="782955" cy="712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5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14375" cy="725170"/>
                        <wp:effectExtent l="0" t="0" r="9525" b="17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714375" cy="725170"/>
                                </a:xfrm>
                                <a:prstGeom prst="rect">
                                  <a:avLst/>
                                </a:prstGeom>
                                <a:noFill/>
                                <a:ln>
                                  <a:noFill/>
                                </a:ln>
                              </pic:spPr>
                            </pic:pic>
                          </a:graphicData>
                        </a:graphic>
                      </wp:inline>
                    </w:drawing>
                  </w: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69950" cy="782320"/>
                        <wp:effectExtent l="0" t="0" r="6350" b="17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869950" cy="782320"/>
                                </a:xfrm>
                                <a:prstGeom prst="rect">
                                  <a:avLst/>
                                </a:prstGeom>
                                <a:noFill/>
                                <a:ln>
                                  <a:noFill/>
                                </a:ln>
                              </pic:spPr>
                            </pic:pic>
                          </a:graphicData>
                        </a:graphic>
                      </wp:inline>
                    </w:drawing>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31215" cy="731520"/>
                        <wp:effectExtent l="0" t="0" r="698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5"/>
                                <a:stretch>
                                  <a:fillRect/>
                                </a:stretch>
                              </pic:blipFill>
                              <pic:spPr>
                                <a:xfrm>
                                  <a:off x="0" y="0"/>
                                  <a:ext cx="831215" cy="731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5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9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34060" cy="729615"/>
                        <wp:effectExtent l="0" t="0" r="8890" b="13335"/>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26"/>
                                <a:stretch>
                                  <a:fillRect/>
                                </a:stretch>
                              </pic:blipFill>
                              <pic:spPr>
                                <a:xfrm>
                                  <a:off x="0" y="0"/>
                                  <a:ext cx="734060" cy="729615"/>
                                </a:xfrm>
                                <a:prstGeom prst="rect">
                                  <a:avLst/>
                                </a:prstGeom>
                                <a:noFill/>
                                <a:ln>
                                  <a:noFill/>
                                </a:ln>
                              </pic:spPr>
                            </pic:pic>
                          </a:graphicData>
                        </a:graphic>
                      </wp:inline>
                    </w:drawing>
                  </w:r>
                </w:p>
              </w:tc>
              <w:tc>
                <w:tcPr>
                  <w:tcW w:w="10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24560" cy="815975"/>
                        <wp:effectExtent l="0" t="0" r="8890" b="3175"/>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27"/>
                                <a:stretch>
                                  <a:fillRect/>
                                </a:stretch>
                              </pic:blipFill>
                              <pic:spPr>
                                <a:xfrm>
                                  <a:off x="0" y="0"/>
                                  <a:ext cx="924560" cy="815975"/>
                                </a:xfrm>
                                <a:prstGeom prst="rect">
                                  <a:avLst/>
                                </a:prstGeom>
                                <a:noFill/>
                                <a:ln>
                                  <a:noFill/>
                                </a:ln>
                              </pic:spPr>
                            </pic:pic>
                          </a:graphicData>
                        </a:graphic>
                      </wp:inline>
                    </w:drawing>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9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val="0"/>
              <w:autoSpaceDN w:val="0"/>
              <w:bidi w:val="0"/>
              <w:adjustRightInd/>
              <w:snapToGrid/>
              <w:spacing w:line="520" w:lineRule="exact"/>
              <w:ind w:right="0" w:rightChars="0" w:firstLine="440" w:firstLineChars="200"/>
              <w:jc w:val="both"/>
              <w:textAlignment w:val="auto"/>
              <w:outlineLvl w:val="9"/>
              <w:rPr>
                <w:rFonts w:hint="eastAsia" w:ascii="Times New Roman" w:hAnsi="Times New Roman" w:eastAsia="宋体" w:cs="Times New Roman"/>
                <w:b w:val="0"/>
                <w:bCs/>
                <w:color w:val="auto"/>
                <w:spacing w:val="-10"/>
                <w:sz w:val="24"/>
                <w:szCs w:val="24"/>
                <w:lang w:val="en-US" w:eastAsia="zh-CN"/>
              </w:rPr>
            </w:pPr>
            <w:r>
              <w:rPr>
                <w:rFonts w:hint="eastAsia" w:cs="Times New Roman"/>
                <w:b w:val="0"/>
                <w:bCs/>
                <w:color w:val="auto"/>
                <w:spacing w:val="-10"/>
                <w:sz w:val="24"/>
                <w:szCs w:val="24"/>
                <w:lang w:val="en-US" w:eastAsia="zh-CN"/>
              </w:rPr>
              <w:t>（4）</w:t>
            </w:r>
            <w:r>
              <w:rPr>
                <w:rFonts w:hint="eastAsia" w:ascii="Times New Roman" w:hAnsi="Times New Roman" w:eastAsia="宋体" w:cs="Times New Roman"/>
                <w:b w:val="0"/>
                <w:bCs/>
                <w:color w:val="auto"/>
                <w:spacing w:val="-10"/>
                <w:sz w:val="24"/>
                <w:szCs w:val="24"/>
                <w:lang w:val="en-US" w:eastAsia="zh-CN"/>
              </w:rPr>
              <w:t>排污许可</w:t>
            </w:r>
          </w:p>
          <w:p>
            <w:pPr>
              <w:keepNext w:val="0"/>
              <w:keepLines w:val="0"/>
              <w:pageBreakBefore w:val="0"/>
              <w:widowControl w:val="0"/>
              <w:kinsoku/>
              <w:wordWrap/>
              <w:overflowPunct/>
              <w:topLinePunct w:val="0"/>
              <w:autoSpaceDE w:val="0"/>
              <w:autoSpaceDN w:val="0"/>
              <w:bidi w:val="0"/>
              <w:adjustRightInd/>
              <w:snapToGrid/>
              <w:spacing w:line="520" w:lineRule="exact"/>
              <w:ind w:right="0" w:rightChars="0" w:firstLine="480" w:firstLineChars="200"/>
              <w:jc w:val="both"/>
              <w:textAlignment w:val="auto"/>
              <w:outlineLvl w:val="9"/>
              <w:rPr>
                <w:rFonts w:hint="default" w:ascii="Times New Roman" w:hAnsi="Times New Roman" w:cs="Times New Roman"/>
                <w:b/>
                <w:bCs/>
                <w:color w:val="FF0000"/>
                <w:sz w:val="24"/>
                <w:szCs w:val="24"/>
                <w:lang w:val="en-US" w:eastAsia="zh-CN"/>
              </w:rPr>
            </w:pPr>
            <w:r>
              <w:rPr>
                <w:rFonts w:hint="default" w:ascii="Times New Roman" w:hAnsi="Times New Roman" w:eastAsia="宋体" w:cs="Times New Roman"/>
                <w:b w:val="0"/>
                <w:bCs/>
                <w:color w:val="auto"/>
                <w:sz w:val="24"/>
                <w:szCs w:val="24"/>
                <w:u w:val="none"/>
                <w:lang w:eastAsia="zh-CN"/>
              </w:rPr>
              <w:t>根据《国务院办公厅关于印发控制污染物排放许可制实施方案的通知》（国办发〔2016〕81号）和《排污许可管理办法(试行)》（环境保护部令第48号），</w:t>
            </w:r>
            <w:r>
              <w:rPr>
                <w:rFonts w:hint="default" w:ascii="Times New Roman" w:hAnsi="Times New Roman" w:eastAsia="宋体" w:cs="Times New Roman"/>
                <w:b w:val="0"/>
                <w:bCs/>
                <w:color w:val="auto"/>
                <w:sz w:val="24"/>
                <w:szCs w:val="24"/>
                <w:u w:val="none"/>
                <w:lang w:val="en-US" w:eastAsia="zh-CN"/>
              </w:rPr>
              <w:t>企业</w:t>
            </w:r>
            <w:r>
              <w:rPr>
                <w:rFonts w:hint="default" w:ascii="Times New Roman" w:hAnsi="Times New Roman" w:eastAsia="宋体" w:cs="Times New Roman"/>
                <w:b w:val="0"/>
                <w:bCs/>
                <w:color w:val="auto"/>
                <w:sz w:val="24"/>
                <w:szCs w:val="24"/>
                <w:u w:val="none"/>
                <w:lang w:eastAsia="zh-CN"/>
              </w:rPr>
              <w:t>应当依法持有排污许可证，并按照排污许可证的规定排放污染物。</w:t>
            </w:r>
          </w:p>
          <w:p>
            <w:pPr>
              <w:keepNext w:val="0"/>
              <w:keepLines w:val="0"/>
              <w:pageBreakBefore w:val="0"/>
              <w:widowControl w:val="0"/>
              <w:kinsoku/>
              <w:wordWrap/>
              <w:overflowPunct/>
              <w:topLinePunct w:val="0"/>
              <w:autoSpaceDE w:val="0"/>
              <w:autoSpaceDN w:val="0"/>
              <w:bidi w:val="0"/>
              <w:adjustRightInd/>
              <w:snapToGrid/>
              <w:spacing w:line="520" w:lineRule="exact"/>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十</w:t>
            </w:r>
            <w:r>
              <w:rPr>
                <w:rFonts w:hint="eastAsia" w:ascii="Times New Roman" w:hAnsi="Times New Roman" w:cs="Times New Roman"/>
                <w:b/>
                <w:bCs/>
                <w:color w:val="auto"/>
                <w:sz w:val="24"/>
                <w:szCs w:val="24"/>
                <w:lang w:val="en-US" w:eastAsia="zh-CN"/>
              </w:rPr>
              <w:t>一</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本项目完成后污染物排放</w:t>
            </w:r>
            <w:r>
              <w:rPr>
                <w:rFonts w:hint="eastAsia" w:ascii="Times New Roman" w:hAnsi="Times New Roman" w:cs="Times New Roman"/>
                <w:b/>
                <w:bCs/>
                <w:color w:val="auto"/>
                <w:sz w:val="24"/>
                <w:szCs w:val="24"/>
                <w:lang w:val="en-US" w:eastAsia="zh-CN"/>
              </w:rPr>
              <w:t>情况</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cs="Times New Roman"/>
                <w:color w:val="FF0000"/>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改扩建</w:t>
            </w:r>
            <w:r>
              <w:rPr>
                <w:rFonts w:hint="default" w:ascii="Times New Roman" w:hAnsi="Times New Roman" w:cs="Times New Roman"/>
                <w:color w:val="auto"/>
                <w:sz w:val="24"/>
                <w:szCs w:val="24"/>
              </w:rPr>
              <w:t>完成后</w:t>
            </w:r>
            <w:r>
              <w:rPr>
                <w:rFonts w:hint="eastAsia" w:ascii="Times New Roman" w:hAnsi="Times New Roman" w:cs="Times New Roman"/>
                <w:color w:val="auto"/>
                <w:sz w:val="24"/>
                <w:szCs w:val="24"/>
                <w:lang w:val="en-US" w:eastAsia="zh-CN"/>
              </w:rPr>
              <w:t>厂区排放口</w:t>
            </w:r>
            <w:r>
              <w:rPr>
                <w:rFonts w:hint="default" w:ascii="Times New Roman" w:hAnsi="Times New Roman" w:cs="Times New Roman"/>
                <w:color w:val="auto"/>
                <w:sz w:val="24"/>
                <w:szCs w:val="24"/>
              </w:rPr>
              <w:t>污染物排放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三本帐</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情况见</w:t>
            </w:r>
            <w:r>
              <w:rPr>
                <w:rFonts w:hint="eastAsia" w:cs="Times New Roman"/>
                <w:color w:val="auto"/>
                <w:sz w:val="24"/>
                <w:szCs w:val="24"/>
                <w:lang w:eastAsia="zh-CN"/>
              </w:rPr>
              <w:t>下表</w:t>
            </w:r>
            <w:r>
              <w:rPr>
                <w:rFonts w:hint="default" w:ascii="Times New Roman" w:hAnsi="Times New Roman" w:cs="Times New Roman"/>
                <w:color w:val="auto"/>
                <w:sz w:val="24"/>
                <w:szCs w:val="24"/>
              </w:rPr>
              <w:t>。</w:t>
            </w:r>
          </w:p>
          <w:p>
            <w:pPr>
              <w:pStyle w:val="9"/>
              <w:bidi w:val="0"/>
              <w:rPr>
                <w:rFonts w:hint="default"/>
                <w:lang w:val="en-US" w:eastAsia="zh-CN"/>
              </w:rPr>
            </w:pPr>
            <w:r>
              <w:rPr>
                <w:rFonts w:hint="default"/>
                <w:lang w:val="en-US" w:eastAsia="zh-CN"/>
              </w:rPr>
              <w:t xml:space="preserve">  本项目</w:t>
            </w:r>
            <w:r>
              <w:rPr>
                <w:rFonts w:hint="eastAsia"/>
                <w:lang w:val="en-US" w:eastAsia="zh-CN"/>
              </w:rPr>
              <w:t>改扩建完成后</w:t>
            </w:r>
            <w:r>
              <w:rPr>
                <w:rFonts w:hint="default"/>
                <w:lang w:val="en-US" w:eastAsia="zh-CN"/>
              </w:rPr>
              <w:t>污染物排放</w:t>
            </w:r>
            <w:r>
              <w:rPr>
                <w:rFonts w:hint="eastAsia"/>
                <w:lang w:val="en-US" w:eastAsia="zh-CN"/>
              </w:rPr>
              <w:t>情况     单位：t/a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137"/>
              <w:gridCol w:w="1513"/>
              <w:gridCol w:w="1326"/>
              <w:gridCol w:w="1698"/>
              <w:gridCol w:w="1142"/>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691"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920"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eastAsia" w:cs="Times New Roman"/>
                      <w:color w:val="auto"/>
                      <w:sz w:val="21"/>
                      <w:szCs w:val="21"/>
                      <w:lang w:val="en-US" w:eastAsia="zh-CN"/>
                    </w:rPr>
                    <w:t>现有工程</w:t>
                  </w:r>
                  <w:r>
                    <w:rPr>
                      <w:rFonts w:hint="default" w:ascii="Times New Roman" w:hAnsi="Times New Roman" w:cs="Times New Roman"/>
                      <w:color w:val="auto"/>
                      <w:sz w:val="21"/>
                      <w:szCs w:val="21"/>
                    </w:rPr>
                    <w:t>排放量</w:t>
                  </w:r>
                </w:p>
              </w:tc>
              <w:tc>
                <w:tcPr>
                  <w:tcW w:w="806"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本项目排放量</w:t>
                  </w:r>
                </w:p>
              </w:tc>
              <w:tc>
                <w:tcPr>
                  <w:tcW w:w="1032"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以新带老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削减量</w:t>
                  </w:r>
                </w:p>
              </w:tc>
              <w:tc>
                <w:tcPr>
                  <w:tcW w:w="694"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本项目完成后总排放量</w:t>
                  </w:r>
                </w:p>
              </w:tc>
              <w:tc>
                <w:tcPr>
                  <w:tcW w:w="501" w:type="pct"/>
                  <w:tcBorders>
                    <w:tl2br w:val="nil"/>
                    <w:tr2bl w:val="nil"/>
                  </w:tcBorders>
                  <w:noWrap/>
                  <w:vAlign w:val="center"/>
                </w:tcPr>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增减量</w:t>
                  </w:r>
                </w:p>
                <w:p>
                  <w:pPr>
                    <w:pStyle w:val="75"/>
                    <w:keepNext w:val="0"/>
                    <w:keepLines w:val="0"/>
                    <w:pageBreakBefore w:val="0"/>
                    <w:kinsoku/>
                    <w:wordWrap/>
                    <w:overflowPunct/>
                    <w:topLinePunct w:val="0"/>
                    <w:bidi w:val="0"/>
                    <w:adjustRightIn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691" w:type="pct"/>
                  <w:tcBorders>
                    <w:tl2br w:val="nil"/>
                    <w:tr2bl w:val="nil"/>
                  </w:tcBorders>
                  <w:noWrap/>
                  <w:vAlign w:val="center"/>
                </w:tcPr>
                <w:p>
                  <w:pPr>
                    <w:keepNext w:val="0"/>
                    <w:keepLines w:val="0"/>
                    <w:pageBreakBefore w:val="0"/>
                    <w:suppressLineNumbers w:val="0"/>
                    <w:kinsoku/>
                    <w:wordWrap/>
                    <w:overflowPunct/>
                    <w:topLinePunct w:val="0"/>
                    <w:bidi w:val="0"/>
                    <w:adjustRightIn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非甲烷总烃</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楷体_GB2312" w:cs="Times New Roman"/>
                      <w:bCs/>
                      <w:color w:val="auto"/>
                      <w:kern w:val="2"/>
                      <w:sz w:val="21"/>
                      <w:szCs w:val="21"/>
                      <w:lang w:val="en-US" w:eastAsia="zh-CN" w:bidi="ar-SA"/>
                    </w:rPr>
                  </w:pPr>
                  <w:r>
                    <w:rPr>
                      <w:rFonts w:hint="eastAsia" w:eastAsia="楷体_GB2312" w:cs="Times New Roman"/>
                      <w:bCs/>
                      <w:color w:val="auto"/>
                      <w:kern w:val="2"/>
                      <w:sz w:val="21"/>
                      <w:szCs w:val="21"/>
                      <w:lang w:val="en-US" w:eastAsia="zh-CN" w:bidi="ar-SA"/>
                    </w:rPr>
                    <w:t>0.0427</w:t>
                  </w:r>
                </w:p>
              </w:tc>
              <w:tc>
                <w:tcPr>
                  <w:tcW w:w="806"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楷体_GB2312" w:cs="Times New Roman"/>
                      <w:bCs/>
                      <w:color w:val="auto"/>
                      <w:kern w:val="2"/>
                      <w:sz w:val="21"/>
                      <w:szCs w:val="21"/>
                      <w:lang w:val="en-US" w:eastAsia="zh-CN" w:bidi="ar-SA"/>
                    </w:rPr>
                  </w:pPr>
                  <w:r>
                    <w:rPr>
                      <w:rFonts w:hint="eastAsia" w:eastAsia="楷体_GB2312" w:cs="Times New Roman"/>
                      <w:bCs/>
                      <w:color w:val="auto"/>
                      <w:kern w:val="2"/>
                      <w:sz w:val="21"/>
                      <w:szCs w:val="21"/>
                      <w:lang w:val="en-US" w:eastAsia="zh-CN" w:bidi="ar-SA"/>
                    </w:rPr>
                    <w:t>0.0229</w:t>
                  </w:r>
                </w:p>
              </w:tc>
              <w:tc>
                <w:tcPr>
                  <w:tcW w:w="1032"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楷体_GB2312" w:cs="Times New Roman"/>
                      <w:bCs/>
                      <w:color w:val="auto"/>
                      <w:kern w:val="2"/>
                      <w:sz w:val="21"/>
                      <w:szCs w:val="21"/>
                      <w:lang w:val="en-US" w:eastAsia="zh-CN" w:bidi="ar-SA"/>
                    </w:rPr>
                  </w:pPr>
                  <w:r>
                    <w:rPr>
                      <w:rFonts w:hint="eastAsia" w:eastAsia="楷体_GB2312" w:cs="Times New Roman"/>
                      <w:bCs/>
                      <w:color w:val="auto"/>
                      <w:kern w:val="2"/>
                      <w:sz w:val="21"/>
                      <w:szCs w:val="21"/>
                      <w:lang w:val="en-US" w:eastAsia="zh-CN" w:bidi="ar-SA"/>
                    </w:rPr>
                    <w:t>0.0427</w:t>
                  </w:r>
                </w:p>
              </w:tc>
              <w:tc>
                <w:tcPr>
                  <w:tcW w:w="694"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楷体_GB2312" w:cs="Times New Roman"/>
                      <w:bCs/>
                      <w:color w:val="auto"/>
                      <w:kern w:val="2"/>
                      <w:sz w:val="21"/>
                      <w:szCs w:val="21"/>
                      <w:lang w:val="en-US" w:eastAsia="zh-CN" w:bidi="ar-SA"/>
                    </w:rPr>
                  </w:pPr>
                  <w:r>
                    <w:rPr>
                      <w:rFonts w:hint="eastAsia" w:eastAsia="楷体_GB2312" w:cs="Times New Roman"/>
                      <w:bCs/>
                      <w:color w:val="auto"/>
                      <w:kern w:val="2"/>
                      <w:sz w:val="21"/>
                      <w:szCs w:val="21"/>
                      <w:lang w:val="en-US" w:eastAsia="zh-CN" w:bidi="ar-SA"/>
                    </w:rPr>
                    <w:t>0.0229</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06"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032"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694"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SS</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w:t>
                  </w:r>
                </w:p>
              </w:tc>
              <w:tc>
                <w:tcPr>
                  <w:tcW w:w="806"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w:t>
                  </w:r>
                </w:p>
              </w:tc>
              <w:tc>
                <w:tcPr>
                  <w:tcW w:w="1032"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w:t>
                  </w:r>
                </w:p>
              </w:tc>
              <w:tc>
                <w:tcPr>
                  <w:tcW w:w="694"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-N</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06"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032"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694"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06"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032"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694"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清罐油泥</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1326" w:type="dxa"/>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0.055</w:t>
                  </w:r>
                </w:p>
              </w:tc>
              <w:tc>
                <w:tcPr>
                  <w:tcW w:w="1698" w:type="dxa"/>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1142" w:type="dxa"/>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0.055</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53"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00"/>
                      <w:sz w:val="21"/>
                      <w:szCs w:val="21"/>
                      <w:lang w:val="en-US" w:eastAsia="zh-CN"/>
                    </w:rPr>
                    <w:t>油水烃混合物</w:t>
                  </w:r>
                </w:p>
              </w:tc>
              <w:tc>
                <w:tcPr>
                  <w:tcW w:w="920"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326" w:type="dxa"/>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4"/>
                      <w:sz w:val="21"/>
                      <w:szCs w:val="21"/>
                      <w:highlight w:val="none"/>
                      <w:lang w:val="en-US" w:eastAsia="zh-CN"/>
                    </w:rPr>
                    <w:t>0.84</w:t>
                  </w:r>
                </w:p>
              </w:tc>
              <w:tc>
                <w:tcPr>
                  <w:tcW w:w="1698" w:type="dxa"/>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142" w:type="dxa"/>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4"/>
                      <w:sz w:val="21"/>
                      <w:szCs w:val="21"/>
                      <w:highlight w:val="none"/>
                      <w:lang w:val="en-US" w:eastAsia="zh-CN"/>
                    </w:rPr>
                    <w:t>0.84</w:t>
                  </w:r>
                </w:p>
              </w:tc>
              <w:tc>
                <w:tcPr>
                  <w:tcW w:w="501" w:type="pct"/>
                  <w:tcBorders>
                    <w:tl2br w:val="nil"/>
                    <w:tr2bl w:val="nil"/>
                  </w:tcBorders>
                  <w:noWrap/>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+0.84</w:t>
                  </w:r>
                </w:p>
              </w:tc>
            </w:tr>
          </w:tbl>
          <w:p>
            <w:pPr>
              <w:keepNext w:val="0"/>
              <w:keepLines w:val="0"/>
              <w:pageBreakBefore w:val="0"/>
              <w:widowControl w:val="0"/>
              <w:kinsoku/>
              <w:wordWrap/>
              <w:overflowPunct/>
              <w:topLinePunct w:val="0"/>
              <w:autoSpaceDE w:val="0"/>
              <w:autoSpaceDN w:val="0"/>
              <w:bidi w:val="0"/>
              <w:adjustRightInd/>
              <w:snapToGrid/>
              <w:spacing w:line="520" w:lineRule="exact"/>
              <w:ind w:firstLine="482" w:firstLineChars="200"/>
              <w:textAlignment w:val="auto"/>
              <w:rPr>
                <w:rFonts w:ascii="Times New Roman" w:hAnsi="Times New Roman" w:cs="Times New Roman"/>
                <w:b/>
                <w:snapToGrid w:val="0"/>
                <w:color w:val="auto"/>
                <w:sz w:val="24"/>
                <w:szCs w:val="24"/>
              </w:rPr>
            </w:pPr>
            <w:r>
              <w:rPr>
                <w:rFonts w:hint="eastAsia" w:ascii="Times New Roman" w:hAnsi="Times New Roman" w:cs="Times New Roman"/>
                <w:b/>
                <w:snapToGrid w:val="0"/>
                <w:color w:val="auto"/>
                <w:sz w:val="24"/>
                <w:szCs w:val="24"/>
                <w:lang w:val="en-US" w:eastAsia="zh-CN"/>
              </w:rPr>
              <w:t>十</w:t>
            </w:r>
            <w:r>
              <w:rPr>
                <w:rFonts w:hint="eastAsia" w:cs="Times New Roman"/>
                <w:b/>
                <w:snapToGrid w:val="0"/>
                <w:color w:val="auto"/>
                <w:sz w:val="24"/>
                <w:szCs w:val="24"/>
                <w:lang w:val="en-US" w:eastAsia="zh-CN"/>
              </w:rPr>
              <w:t>二、</w:t>
            </w:r>
            <w:r>
              <w:rPr>
                <w:rFonts w:ascii="Times New Roman" w:hAnsi="Times New Roman" w:cs="Times New Roman"/>
                <w:b/>
                <w:snapToGrid w:val="0"/>
                <w:color w:val="auto"/>
                <w:sz w:val="24"/>
                <w:szCs w:val="24"/>
              </w:rPr>
              <w:t>环保投资估算</w:t>
            </w:r>
            <w:r>
              <w:rPr>
                <w:rFonts w:hint="eastAsia" w:ascii="Times New Roman" w:hAnsi="Times New Roman" w:cs="Times New Roman"/>
                <w:b/>
                <w:snapToGrid w:val="0"/>
                <w:color w:val="auto"/>
                <w:sz w:val="24"/>
                <w:szCs w:val="24"/>
              </w:rPr>
              <w:t>及“三同时”验收要求</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本项目总投资为</w:t>
            </w:r>
            <w:r>
              <w:rPr>
                <w:rFonts w:hint="eastAsia" w:cs="Times New Roman"/>
                <w:snapToGrid w:val="0"/>
                <w:color w:val="auto"/>
                <w:kern w:val="0"/>
                <w:sz w:val="24"/>
                <w:szCs w:val="24"/>
                <w:lang w:val="en-US" w:eastAsia="zh-CN"/>
              </w:rPr>
              <w:t>4</w:t>
            </w:r>
            <w:r>
              <w:rPr>
                <w:rFonts w:hint="default" w:ascii="Times New Roman" w:hAnsi="Times New Roman" w:cs="Times New Roman"/>
                <w:snapToGrid w:val="0"/>
                <w:color w:val="auto"/>
                <w:kern w:val="0"/>
                <w:sz w:val="24"/>
                <w:szCs w:val="24"/>
                <w:lang w:val="en-US" w:eastAsia="zh-CN"/>
              </w:rPr>
              <w:t>0万元</w:t>
            </w:r>
            <w:r>
              <w:rPr>
                <w:rFonts w:hint="default" w:ascii="Times New Roman" w:hAnsi="Times New Roman" w:cs="Times New Roman"/>
                <w:snapToGrid w:val="0"/>
                <w:color w:val="auto"/>
                <w:kern w:val="0"/>
                <w:sz w:val="24"/>
                <w:szCs w:val="24"/>
              </w:rPr>
              <w:t>，其中环保投资为</w:t>
            </w:r>
            <w:r>
              <w:rPr>
                <w:rFonts w:hint="default" w:ascii="Times New Roman" w:hAnsi="Times New Roman" w:cs="Times New Roman"/>
                <w:snapToGrid w:val="0"/>
                <w:color w:val="auto"/>
                <w:kern w:val="0"/>
                <w:sz w:val="24"/>
                <w:szCs w:val="24"/>
                <w:lang w:val="en-US" w:eastAsia="zh-CN"/>
              </w:rPr>
              <w:t>1</w:t>
            </w:r>
            <w:r>
              <w:rPr>
                <w:rFonts w:hint="eastAsia" w:cs="Times New Roman"/>
                <w:snapToGrid w:val="0"/>
                <w:color w:val="auto"/>
                <w:kern w:val="0"/>
                <w:sz w:val="24"/>
                <w:szCs w:val="24"/>
                <w:lang w:val="en-US" w:eastAsia="zh-CN"/>
              </w:rPr>
              <w:t>0</w:t>
            </w:r>
            <w:r>
              <w:rPr>
                <w:rFonts w:hint="default" w:ascii="Times New Roman" w:hAnsi="Times New Roman" w:cs="Times New Roman"/>
                <w:snapToGrid w:val="0"/>
                <w:color w:val="auto"/>
                <w:kern w:val="0"/>
                <w:sz w:val="24"/>
                <w:szCs w:val="24"/>
              </w:rPr>
              <w:t>万元，占总投资的</w:t>
            </w:r>
            <w:r>
              <w:rPr>
                <w:rFonts w:hint="eastAsia" w:cs="Times New Roman"/>
                <w:snapToGrid w:val="0"/>
                <w:color w:val="auto"/>
                <w:kern w:val="0"/>
                <w:sz w:val="24"/>
                <w:szCs w:val="24"/>
                <w:lang w:val="en-US" w:eastAsia="zh-CN"/>
              </w:rPr>
              <w:t>25</w:t>
            </w:r>
            <w:r>
              <w:rPr>
                <w:rFonts w:hint="default" w:ascii="Times New Roman" w:hAnsi="Times New Roman" w:cs="Times New Roman"/>
                <w:snapToGrid w:val="0"/>
                <w:color w:val="auto"/>
                <w:kern w:val="0"/>
                <w:sz w:val="24"/>
                <w:szCs w:val="24"/>
              </w:rPr>
              <w:t>%。环保投资估算</w:t>
            </w:r>
            <w:r>
              <w:rPr>
                <w:rFonts w:hint="eastAsia" w:ascii="Times New Roman" w:hAnsi="Times New Roman" w:cs="Times New Roman"/>
                <w:snapToGrid w:val="0"/>
                <w:color w:val="auto"/>
                <w:kern w:val="0"/>
                <w:sz w:val="24"/>
                <w:szCs w:val="24"/>
                <w:lang w:val="en-US" w:eastAsia="zh-CN"/>
              </w:rPr>
              <w:t>及“三同时”验收一览</w:t>
            </w:r>
            <w:r>
              <w:rPr>
                <w:rFonts w:hint="default" w:ascii="Times New Roman" w:hAnsi="Times New Roman" w:cs="Times New Roman"/>
                <w:snapToGrid w:val="0"/>
                <w:color w:val="auto"/>
                <w:kern w:val="0"/>
                <w:sz w:val="24"/>
                <w:szCs w:val="24"/>
              </w:rPr>
              <w:t>表见</w:t>
            </w:r>
            <w:r>
              <w:rPr>
                <w:rFonts w:hint="eastAsia" w:cs="Times New Roman"/>
                <w:snapToGrid w:val="0"/>
                <w:color w:val="auto"/>
                <w:kern w:val="0"/>
                <w:sz w:val="24"/>
                <w:szCs w:val="24"/>
                <w:lang w:eastAsia="zh-CN"/>
              </w:rPr>
              <w:t>下表</w:t>
            </w:r>
            <w:r>
              <w:rPr>
                <w:rFonts w:hint="default" w:ascii="Times New Roman" w:hAnsi="Times New Roman" w:cs="Times New Roman"/>
                <w:snapToGrid w:val="0"/>
                <w:color w:val="auto"/>
                <w:kern w:val="0"/>
                <w:sz w:val="24"/>
                <w:szCs w:val="24"/>
              </w:rPr>
              <w:t>。</w:t>
            </w:r>
          </w:p>
          <w:p>
            <w:pPr>
              <w:pStyle w:val="9"/>
              <w:bidi w:val="0"/>
              <w:rPr>
                <w:rFonts w:hint="eastAsia"/>
                <w:lang w:val="en-US" w:eastAsia="zh-CN"/>
              </w:rPr>
            </w:pPr>
            <w:r>
              <w:rPr>
                <w:rFonts w:hint="eastAsia"/>
                <w:lang w:val="en-US" w:eastAsia="zh-CN"/>
              </w:rPr>
              <w:t>本项目环保投资估算及“三同时”验收一览表</w:t>
            </w:r>
          </w:p>
          <w:tbl>
            <w:tblPr>
              <w:tblStyle w:val="25"/>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761"/>
              <w:gridCol w:w="1192"/>
              <w:gridCol w:w="1333"/>
              <w:gridCol w:w="3327"/>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21" w:type="pct"/>
                  <w:vAlign w:val="center"/>
                </w:tcPr>
                <w:p>
                  <w:pPr>
                    <w:pStyle w:val="77"/>
                    <w:keepNext w:val="0"/>
                    <w:keepLines w:val="0"/>
                    <w:pageBreakBefore w:val="0"/>
                    <w:widowControl w:val="0"/>
                    <w:kinsoku/>
                    <w:overflowPunct/>
                    <w:topLinePunct w:val="0"/>
                    <w:bidi w:val="0"/>
                    <w:adjustRightInd w:val="0"/>
                    <w:snapToGrid w:val="0"/>
                    <w:spacing w:line="260" w:lineRule="exact"/>
                    <w:ind w:left="0" w:right="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466"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730"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治理项目</w:t>
                  </w:r>
                </w:p>
              </w:tc>
              <w:tc>
                <w:tcPr>
                  <w:tcW w:w="817"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主要</w:t>
                  </w:r>
                </w:p>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w:t>
                  </w:r>
                </w:p>
              </w:tc>
              <w:tc>
                <w:tcPr>
                  <w:tcW w:w="2039"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验收标准</w:t>
                  </w:r>
                </w:p>
              </w:tc>
              <w:tc>
                <w:tcPr>
                  <w:tcW w:w="624"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投资</w:t>
                  </w:r>
                </w:p>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321"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1</w:t>
                  </w:r>
                </w:p>
              </w:tc>
              <w:tc>
                <w:tcPr>
                  <w:tcW w:w="466"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废气治理</w:t>
                  </w:r>
                </w:p>
              </w:tc>
              <w:tc>
                <w:tcPr>
                  <w:tcW w:w="730"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加油站卸油、储油、加油等过程油品挥发废气</w:t>
                  </w:r>
                </w:p>
              </w:tc>
              <w:tc>
                <w:tcPr>
                  <w:tcW w:w="81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60" w:lineRule="exact"/>
                    <w:ind w:left="0" w:leftChars="0" w:right="0" w:rightChars="0"/>
                    <w:jc w:val="center"/>
                    <w:textAlignment w:val="auto"/>
                    <w:rPr>
                      <w:rFonts w:hint="default" w:ascii="Times New Roman" w:hAnsi="Times New Roman" w:eastAsia="宋体" w:cs="Times New Roman"/>
                      <w:b w:val="0"/>
                      <w:bCs/>
                      <w:color w:val="auto"/>
                      <w:kern w:val="2"/>
                      <w:sz w:val="21"/>
                      <w:szCs w:val="21"/>
                      <w:u w:val="none"/>
                      <w:lang w:val="en-US" w:eastAsia="zh-CN" w:bidi="ar-SA"/>
                    </w:rPr>
                  </w:pPr>
                  <w:r>
                    <w:rPr>
                      <w:rFonts w:hint="eastAsia" w:cs="Times New Roman"/>
                      <w:bCs/>
                      <w:color w:val="auto"/>
                      <w:sz w:val="21"/>
                      <w:szCs w:val="21"/>
                      <w:lang w:val="en-US" w:eastAsia="zh-CN"/>
                    </w:rPr>
                    <w:t>三次油气</w:t>
                  </w:r>
                  <w:r>
                    <w:rPr>
                      <w:rFonts w:hint="default" w:ascii="Times New Roman" w:hAnsi="Times New Roman" w:cs="Times New Roman"/>
                      <w:bCs/>
                      <w:color w:val="auto"/>
                      <w:sz w:val="21"/>
                      <w:szCs w:val="21"/>
                    </w:rPr>
                    <w:t>回收系统</w:t>
                  </w:r>
                </w:p>
              </w:tc>
              <w:tc>
                <w:tcPr>
                  <w:tcW w:w="203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60" w:lineRule="exact"/>
                    <w:ind w:left="0" w:leftChars="0" w:right="0" w:rightChars="0"/>
                    <w:jc w:val="center"/>
                    <w:textAlignment w:val="auto"/>
                    <w:rPr>
                      <w:rFonts w:hint="eastAsia"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cs="Times New Roman"/>
                      <w:b w:val="0"/>
                      <w:bCs/>
                      <w:color w:val="auto"/>
                      <w:sz w:val="21"/>
                      <w:szCs w:val="21"/>
                      <w:u w:val="none"/>
                    </w:rPr>
                    <w:t>《关于全省开展工业企业挥发性有机物专项治理工作中排放建议值的通知》（豫环攻坚办（2017）162号）：2.0mg/m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、《加油站大气污染物排放标准》(GB20952-20</w:t>
                  </w:r>
                  <w:r>
                    <w:rPr>
                      <w:rFonts w:hint="eastAsia" w:ascii="Times New Roman" w:hAnsi="Times New Roman" w:cs="Times New Roman"/>
                      <w:b w:val="0"/>
                      <w:bCs/>
                      <w:color w:val="auto"/>
                      <w:sz w:val="21"/>
                      <w:szCs w:val="21"/>
                      <w:u w:val="none"/>
                      <w:lang w:val="en-US" w:eastAsia="zh-CN"/>
                    </w:rPr>
                    <w:t>20</w:t>
                  </w:r>
                  <w:r>
                    <w:rPr>
                      <w:rFonts w:hint="default" w:ascii="Times New Roman" w:hAnsi="Times New Roman" w:cs="Times New Roman"/>
                      <w:b w:val="0"/>
                      <w:bCs/>
                      <w:color w:val="auto"/>
                      <w:sz w:val="21"/>
                      <w:szCs w:val="21"/>
                      <w:u w:val="none"/>
                    </w:rPr>
                    <w:t>)油气排放浓度≦25g/m</w:t>
                  </w:r>
                  <w:r>
                    <w:rPr>
                      <w:rFonts w:hint="default" w:ascii="Times New Roman" w:hAnsi="Times New Roman" w:cs="Times New Roman"/>
                      <w:b w:val="0"/>
                      <w:bCs/>
                      <w:color w:val="auto"/>
                      <w:sz w:val="21"/>
                      <w:szCs w:val="21"/>
                      <w:u w:val="none"/>
                      <w:vertAlign w:val="superscript"/>
                    </w:rPr>
                    <w:t>3</w:t>
                  </w:r>
                  <w:r>
                    <w:rPr>
                      <w:rFonts w:hint="default" w:ascii="Times New Roman" w:hAnsi="Times New Roman" w:cs="Times New Roman"/>
                      <w:b w:val="0"/>
                      <w:bCs/>
                      <w:color w:val="auto"/>
                      <w:sz w:val="21"/>
                      <w:szCs w:val="21"/>
                      <w:u w:val="none"/>
                    </w:rPr>
                    <w:t xml:space="preserve"> </w:t>
                  </w:r>
                  <w:r>
                    <w:rPr>
                      <w:rFonts w:hint="eastAsia" w:ascii="Times New Roman" w:hAnsi="Times New Roman" w:cs="Times New Roman"/>
                      <w:b w:val="0"/>
                      <w:bCs/>
                      <w:color w:val="auto"/>
                      <w:sz w:val="21"/>
                      <w:szCs w:val="21"/>
                      <w:u w:val="none"/>
                      <w:lang w:eastAsia="zh-CN"/>
                    </w:rPr>
                    <w:t>；</w:t>
                  </w:r>
                  <w:r>
                    <w:rPr>
                      <w:rFonts w:hint="default" w:ascii="Times New Roman" w:hAnsi="Times New Roman" w:cs="Times New Roman"/>
                      <w:b w:val="0"/>
                      <w:bCs/>
                      <w:color w:val="auto"/>
                      <w:kern w:val="2"/>
                      <w:sz w:val="21"/>
                      <w:szCs w:val="22"/>
                      <w:u w:val="none"/>
                      <w:lang w:val="en-US" w:eastAsia="zh-CN" w:bidi="ar-SA"/>
                    </w:rPr>
                    <w:t>《挥发性有机物无组织排放控制标准》（GB37822-2019）</w:t>
                  </w:r>
                  <w:r>
                    <w:rPr>
                      <w:rFonts w:hint="default" w:ascii="Times New Roman" w:hAnsi="Times New Roman" w:eastAsia="宋体" w:cs="Times New Roman"/>
                      <w:color w:val="auto"/>
                      <w:sz w:val="21"/>
                      <w:szCs w:val="21"/>
                      <w:lang w:eastAsia="zh-CN"/>
                    </w:rPr>
                    <w:t>监控点处1h平均浓度值：6mg/m</w:t>
                  </w:r>
                  <w:r>
                    <w:rPr>
                      <w:rFonts w:hint="default" w:ascii="Times New Roman" w:hAnsi="Times New Roman" w:eastAsia="宋体" w:cs="Times New Roman"/>
                      <w:color w:val="auto"/>
                      <w:sz w:val="21"/>
                      <w:szCs w:val="21"/>
                      <w:vertAlign w:val="superscript"/>
                      <w:lang w:eastAsia="zh-CN"/>
                    </w:rPr>
                    <w:t>3</w:t>
                  </w:r>
                </w:p>
              </w:tc>
              <w:tc>
                <w:tcPr>
                  <w:tcW w:w="624" w:type="pct"/>
                  <w:vAlign w:val="center"/>
                </w:tcPr>
                <w:p>
                  <w:pPr>
                    <w:pStyle w:val="71"/>
                    <w:keepNext w:val="0"/>
                    <w:keepLines w:val="0"/>
                    <w:pageBreakBefore w:val="0"/>
                    <w:widowControl w:val="0"/>
                    <w:suppressLineNumbers w:val="0"/>
                    <w:kinsoku/>
                    <w:overflowPunct/>
                    <w:topLinePunct w:val="0"/>
                    <w:autoSpaceDE/>
                    <w:autoSpaceDN/>
                    <w:bidi w:val="0"/>
                    <w:adjustRightInd w:val="0"/>
                    <w:snapToGrid w:val="0"/>
                    <w:spacing w:beforeAutospacing="0" w:after="0" w:afterAutospacing="0"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r>
                    <w:rPr>
                      <w:rFonts w:hint="eastAsia" w:ascii="Times New Roman" w:hAnsi="Times New Roman" w:cs="Times New Roman"/>
                      <w:color w:val="auto"/>
                      <w:kern w:val="2"/>
                      <w:sz w:val="21"/>
                      <w:szCs w:val="21"/>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21"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66"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噪声治理</w:t>
                  </w:r>
                </w:p>
              </w:tc>
              <w:tc>
                <w:tcPr>
                  <w:tcW w:w="730"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加油机</w:t>
                  </w:r>
                  <w:r>
                    <w:rPr>
                      <w:rFonts w:hint="eastAsia" w:cs="Times New Roman"/>
                      <w:color w:val="auto"/>
                      <w:sz w:val="21"/>
                      <w:szCs w:val="21"/>
                      <w:lang w:eastAsia="zh-CN"/>
                    </w:rPr>
                    <w:t>等</w:t>
                  </w:r>
                </w:p>
              </w:tc>
              <w:tc>
                <w:tcPr>
                  <w:tcW w:w="817"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基础减振、</w:t>
                  </w:r>
                  <w:r>
                    <w:rPr>
                      <w:rFonts w:hint="eastAsia" w:ascii="Times New Roman" w:hAnsi="Times New Roman" w:cs="Times New Roman"/>
                      <w:color w:val="auto"/>
                      <w:sz w:val="21"/>
                      <w:szCs w:val="21"/>
                      <w:lang w:val="en-US" w:eastAsia="zh-CN"/>
                    </w:rPr>
                    <w:t>加强管理</w:t>
                  </w:r>
                </w:p>
              </w:tc>
              <w:tc>
                <w:tcPr>
                  <w:tcW w:w="2039"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满足《工业企业厂界环境噪声排放标准》（GB12348-2008）</w:t>
                  </w:r>
                  <w:r>
                    <w:rPr>
                      <w:rFonts w:hint="eastAsia" w:ascii="Times New Roman" w:hAnsi="Times New Roman" w:cs="Times New Roman"/>
                      <w:color w:val="auto"/>
                      <w:sz w:val="21"/>
                      <w:szCs w:val="21"/>
                      <w:lang w:val="en-US" w:eastAsia="zh-CN"/>
                    </w:rPr>
                    <w:t>4类标准</w:t>
                  </w:r>
                </w:p>
              </w:tc>
              <w:tc>
                <w:tcPr>
                  <w:tcW w:w="624"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5" w:hRule="atLeast"/>
                <w:jc w:val="center"/>
              </w:trPr>
              <w:tc>
                <w:tcPr>
                  <w:tcW w:w="321"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c>
                <w:tcPr>
                  <w:tcW w:w="466"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固废治理</w:t>
                  </w:r>
                </w:p>
              </w:tc>
              <w:tc>
                <w:tcPr>
                  <w:tcW w:w="730" w:type="pct"/>
                  <w:vAlign w:val="center"/>
                </w:tcPr>
                <w:p>
                  <w:pPr>
                    <w:keepNext w:val="0"/>
                    <w:keepLines w:val="0"/>
                    <w:pageBreakBefore w:val="0"/>
                    <w:widowControl w:val="0"/>
                    <w:kinsoku/>
                    <w:overflowPunct/>
                    <w:topLinePunct w:val="0"/>
                    <w:bidi w:val="0"/>
                    <w:adjustRightInd w:val="0"/>
                    <w:snapToGrid w:val="0"/>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危险废物</w:t>
                  </w:r>
                </w:p>
              </w:tc>
              <w:tc>
                <w:tcPr>
                  <w:tcW w:w="817" w:type="pct"/>
                  <w:vAlign w:val="center"/>
                </w:tcPr>
                <w:p>
                  <w:pPr>
                    <w:keepNext w:val="0"/>
                    <w:keepLines w:val="0"/>
                    <w:pageBreakBefore w:val="0"/>
                    <w:widowControl w:val="0"/>
                    <w:kinsoku/>
                    <w:overflowPunct/>
                    <w:topLinePunct w:val="0"/>
                    <w:bidi w:val="0"/>
                    <w:adjustRightInd w:val="0"/>
                    <w:snapToGrid w:val="0"/>
                    <w:spacing w:line="2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危废间（面积约6m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p>
              </w:tc>
              <w:tc>
                <w:tcPr>
                  <w:tcW w:w="2039" w:type="pct"/>
                  <w:vAlign w:val="center"/>
                </w:tcPr>
                <w:p>
                  <w:pPr>
                    <w:pStyle w:val="73"/>
                    <w:keepNext w:val="0"/>
                    <w:keepLines w:val="0"/>
                    <w:pageBreakBefore w:val="0"/>
                    <w:widowControl w:val="0"/>
                    <w:kinsoku/>
                    <w:wordWrap w:val="0"/>
                    <w:overflowPunct/>
                    <w:topLinePunct w:val="0"/>
                    <w:bidi w:val="0"/>
                    <w:spacing w:line="260" w:lineRule="exact"/>
                    <w:ind w:left="0" w:leftChars="0" w:right="0" w:rightChars="0"/>
                    <w:jc w:val="center"/>
                    <w:textAlignment w:val="auto"/>
                    <w:rPr>
                      <w:rFonts w:hint="eastAsia"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lang w:val="en-US" w:eastAsia="zh-CN"/>
                    </w:rPr>
                    <w:t>《危险废物贮存污染控制标准》（GB18597-2001）标准及</w:t>
                  </w:r>
                  <w:r>
                    <w:rPr>
                      <w:rFonts w:hint="eastAsia" w:ascii="Times New Roman" w:hAnsi="Times New Roman" w:eastAsia="宋体" w:cs="Times New Roman"/>
                      <w:color w:val="auto"/>
                      <w:sz w:val="21"/>
                      <w:szCs w:val="21"/>
                      <w:lang w:val="en-US" w:eastAsia="zh-CN"/>
                    </w:rPr>
                    <w:t>其2013年</w:t>
                  </w:r>
                  <w:r>
                    <w:rPr>
                      <w:rFonts w:hint="default" w:ascii="Times New Roman" w:hAnsi="Times New Roman" w:eastAsia="宋体" w:cs="Times New Roman"/>
                      <w:color w:val="auto"/>
                      <w:sz w:val="21"/>
                      <w:szCs w:val="21"/>
                      <w:lang w:val="en-US" w:eastAsia="zh-CN"/>
                    </w:rPr>
                    <w:t>修改单</w:t>
                  </w:r>
                </w:p>
              </w:tc>
              <w:tc>
                <w:tcPr>
                  <w:tcW w:w="624" w:type="pct"/>
                  <w:vAlign w:val="center"/>
                </w:tcPr>
                <w:p>
                  <w:pPr>
                    <w:keepNext w:val="0"/>
                    <w:keepLines w:val="0"/>
                    <w:pageBreakBefore w:val="0"/>
                    <w:widowControl w:val="0"/>
                    <w:kinsoku/>
                    <w:overflowPunct/>
                    <w:topLinePunct w:val="0"/>
                    <w:bidi w:val="0"/>
                    <w:adjustRightInd w:val="0"/>
                    <w:snapToGrid w:val="0"/>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21"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466"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风险</w:t>
                  </w:r>
                  <w:r>
                    <w:rPr>
                      <w:rFonts w:hint="eastAsia" w:ascii="Times New Roman" w:hAnsi="Times New Roman" w:cs="Times New Roman"/>
                      <w:color w:val="auto"/>
                      <w:sz w:val="21"/>
                      <w:szCs w:val="21"/>
                      <w:lang w:eastAsia="zh-CN"/>
                    </w:rPr>
                    <w:t>管理</w:t>
                  </w:r>
                </w:p>
              </w:tc>
              <w:tc>
                <w:tcPr>
                  <w:tcW w:w="730"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w:t>
                  </w:r>
                </w:p>
              </w:tc>
              <w:tc>
                <w:tcPr>
                  <w:tcW w:w="2856"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渗漏检测报警器、液位监控仪等</w:t>
                  </w:r>
                </w:p>
              </w:tc>
              <w:tc>
                <w:tcPr>
                  <w:tcW w:w="624"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321"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66"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环境管理</w:t>
                  </w:r>
                </w:p>
              </w:tc>
              <w:tc>
                <w:tcPr>
                  <w:tcW w:w="730" w:type="pct"/>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color w:val="auto"/>
                      <w:sz w:val="21"/>
                      <w:szCs w:val="21"/>
                      <w:u w:val="none"/>
                      <w:lang w:val="en-US" w:eastAsia="zh-CN"/>
                    </w:rPr>
                  </w:pPr>
                  <w:r>
                    <w:rPr>
                      <w:rFonts w:hint="eastAsia" w:cs="Times New Roman"/>
                      <w:b w:val="0"/>
                      <w:bCs/>
                      <w:color w:val="auto"/>
                      <w:sz w:val="21"/>
                      <w:szCs w:val="21"/>
                      <w:u w:val="none"/>
                      <w:lang w:val="en-US" w:eastAsia="zh-CN"/>
                    </w:rPr>
                    <w:t>/</w:t>
                  </w:r>
                </w:p>
              </w:tc>
              <w:tc>
                <w:tcPr>
                  <w:tcW w:w="2856"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default" w:ascii="Times New Roman" w:hAnsi="Times New Roman" w:cs="Times New Roman"/>
                      <w:b w:val="0"/>
                      <w:bCs/>
                      <w:color w:val="auto"/>
                      <w:sz w:val="21"/>
                      <w:szCs w:val="21"/>
                      <w:u w:val="none"/>
                      <w:lang w:val="en-US" w:eastAsia="zh-CN"/>
                    </w:rPr>
                  </w:pPr>
                  <w:r>
                    <w:rPr>
                      <w:rFonts w:hint="eastAsia" w:cs="Times New Roman"/>
                      <w:b w:val="0"/>
                      <w:bCs/>
                      <w:color w:val="auto"/>
                      <w:sz w:val="21"/>
                      <w:szCs w:val="21"/>
                      <w:u w:val="none"/>
                      <w:lang w:val="en-US" w:eastAsia="zh-CN"/>
                    </w:rPr>
                    <w:t>用电量监控装置</w:t>
                  </w:r>
                </w:p>
              </w:tc>
              <w:tc>
                <w:tcPr>
                  <w:tcW w:w="624" w:type="pct"/>
                  <w:vAlign w:val="center"/>
                </w:tcPr>
                <w:p>
                  <w:pPr>
                    <w:keepNext w:val="0"/>
                    <w:keepLines w:val="0"/>
                    <w:pageBreakBefore w:val="0"/>
                    <w:widowControl w:val="0"/>
                    <w:kinsoku/>
                    <w:overflowPunct/>
                    <w:topLinePunct w:val="0"/>
                    <w:bidi w:val="0"/>
                    <w:adjustRightInd w:val="0"/>
                    <w:snapToGrid w:val="0"/>
                    <w:spacing w:line="2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21"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054" w:type="pct"/>
                  <w:gridSpan w:val="4"/>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624" w:type="pct"/>
                  <w:vAlign w:val="center"/>
                </w:tcPr>
                <w:p>
                  <w:pPr>
                    <w:keepNext w:val="0"/>
                    <w:keepLines w:val="0"/>
                    <w:pageBreakBefore w:val="0"/>
                    <w:widowControl w:val="0"/>
                    <w:kinsoku/>
                    <w:overflowPunct/>
                    <w:topLinePunct w:val="0"/>
                    <w:bidi w:val="0"/>
                    <w:spacing w:line="2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0</w:t>
                  </w:r>
                  <w:r>
                    <w:rPr>
                      <w:rFonts w:hint="default" w:ascii="Times New Roman" w:hAnsi="Times New Roman" w:cs="Times New Roman"/>
                      <w:color w:val="auto"/>
                      <w:sz w:val="21"/>
                      <w:szCs w:val="21"/>
                      <w:lang w:val="en-US" w:eastAsia="zh-CN"/>
                    </w:rPr>
                    <w:t>万元</w:t>
                  </w:r>
                </w:p>
              </w:tc>
            </w:tr>
          </w:tbl>
          <w:p>
            <w:pPr>
              <w:adjustRightInd w:val="0"/>
              <w:snapToGrid w:val="0"/>
              <w:spacing w:line="460" w:lineRule="exact"/>
              <w:ind w:firstLine="480" w:firstLineChars="200"/>
              <w:rPr>
                <w:color w:val="FF0000"/>
                <w:sz w:val="24"/>
              </w:rPr>
            </w:pPr>
          </w:p>
          <w:p>
            <w:pPr>
              <w:adjustRightInd w:val="0"/>
              <w:snapToGrid w:val="0"/>
              <w:spacing w:line="460" w:lineRule="exact"/>
              <w:ind w:firstLine="480" w:firstLineChars="200"/>
              <w:rPr>
                <w:color w:val="FF0000"/>
                <w:sz w:val="24"/>
              </w:rPr>
            </w:pPr>
          </w:p>
          <w:p>
            <w:pPr>
              <w:adjustRightInd w:val="0"/>
              <w:snapToGrid w:val="0"/>
              <w:spacing w:line="460" w:lineRule="exact"/>
              <w:ind w:firstLine="480" w:firstLineChars="200"/>
              <w:rPr>
                <w:color w:val="FF0000"/>
                <w:sz w:val="24"/>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bCs/>
                <w:color w:val="FF0000"/>
                <w:spacing w:val="-10"/>
                <w:sz w:val="24"/>
                <w:lang w:eastAsia="zh-CN"/>
              </w:rPr>
            </w:pPr>
          </w:p>
          <w:p>
            <w:pPr>
              <w:adjustRightInd w:val="0"/>
              <w:snapToGrid w:val="0"/>
              <w:spacing w:line="460" w:lineRule="exact"/>
              <w:ind w:firstLine="440" w:firstLineChars="200"/>
              <w:rPr>
                <w:rFonts w:hint="eastAsia" w:eastAsia="宋体"/>
                <w:bCs/>
                <w:color w:val="FF0000"/>
                <w:spacing w:val="-10"/>
                <w:sz w:val="24"/>
                <w:lang w:eastAsia="zh-CN"/>
              </w:rPr>
            </w:pPr>
          </w:p>
        </w:tc>
      </w:tr>
    </w:tbl>
    <w:p>
      <w:pPr>
        <w:adjustRightInd w:val="0"/>
        <w:snapToGrid w:val="0"/>
        <w:spacing w:line="360" w:lineRule="auto"/>
        <w:rPr>
          <w:rFonts w:ascii="宋体" w:cs="宋体"/>
          <w:b/>
          <w:color w:val="FF0000"/>
          <w:kern w:val="0"/>
          <w:sz w:val="28"/>
          <w:szCs w:val="28"/>
        </w:rPr>
        <w:sectPr>
          <w:pgSz w:w="11907" w:h="16840"/>
          <w:pgMar w:top="1701" w:right="1531" w:bottom="2127" w:left="1531" w:header="851" w:footer="851" w:gutter="0"/>
          <w:cols w:space="720" w:num="1"/>
          <w:docGrid w:linePitch="312" w:charSpace="0"/>
        </w:sectPr>
      </w:pPr>
    </w:p>
    <w:p>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2" w:name="_Hlk54167917"/>
      <w:r>
        <w:rPr>
          <w:rFonts w:hint="eastAsia" w:ascii="黑体" w:hAnsi="黑体" w:eastAsia="黑体"/>
          <w:snapToGrid w:val="0"/>
          <w:color w:val="auto"/>
          <w:sz w:val="30"/>
          <w:szCs w:val="30"/>
        </w:rPr>
        <w:t>环境保护措施监督检查清单</w:t>
      </w:r>
      <w:bookmarkEnd w:id="2"/>
    </w:p>
    <w:tbl>
      <w:tblPr>
        <w:tblStyle w:val="2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665"/>
        <w:gridCol w:w="1140"/>
        <w:gridCol w:w="1861"/>
        <w:gridCol w:w="32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430" w:type="dxa"/>
            <w:tcBorders>
              <w:tl2br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723" w:firstLineChars="300"/>
              <w:textAlignment w:val="auto"/>
              <w:rPr>
                <w:rFonts w:hint="eastAsia" w:ascii="宋体" w:hAnsi="宋体" w:cs="宋体"/>
                <w:b/>
                <w:bCs/>
                <w:sz w:val="24"/>
                <w:szCs w:val="24"/>
              </w:rPr>
            </w:pPr>
            <w:r>
              <w:rPr>
                <w:rFonts w:hint="eastAsia" w:ascii="宋体" w:hAnsi="宋体" w:cs="宋体"/>
                <w:b/>
                <w:bCs/>
                <w:sz w:val="24"/>
                <w:szCs w:val="24"/>
              </w:rPr>
              <w:t>内容</w:t>
            </w:r>
          </w:p>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宋体" w:hAnsi="宋体" w:cs="宋体"/>
                <w:b/>
                <w:bCs/>
                <w:sz w:val="24"/>
                <w:szCs w:val="24"/>
              </w:rPr>
            </w:pPr>
            <w:r>
              <w:rPr>
                <w:rFonts w:hint="eastAsia" w:ascii="宋体" w:hAnsi="宋体" w:cs="宋体"/>
                <w:b/>
                <w:bCs/>
                <w:sz w:val="24"/>
                <w:szCs w:val="24"/>
              </w:rPr>
              <w:t>要素</w:t>
            </w:r>
          </w:p>
        </w:tc>
        <w:tc>
          <w:tcPr>
            <w:tcW w:w="16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排放口(编号、</w:t>
            </w:r>
          </w:p>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名称)/污染源</w:t>
            </w:r>
          </w:p>
        </w:tc>
        <w:tc>
          <w:tcPr>
            <w:tcW w:w="11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污染物项目</w:t>
            </w:r>
          </w:p>
        </w:tc>
        <w:tc>
          <w:tcPr>
            <w:tcW w:w="18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环境保护</w:t>
            </w:r>
          </w:p>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措施</w:t>
            </w:r>
          </w:p>
        </w:tc>
        <w:tc>
          <w:tcPr>
            <w:tcW w:w="325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sz w:val="24"/>
                <w:szCs w:val="24"/>
              </w:rPr>
            </w:pPr>
            <w:r>
              <w:rPr>
                <w:rFonts w:hint="eastAsia" w:ascii="宋体" w:hAnsi="宋体" w:cs="宋体"/>
                <w:b/>
                <w:bCs/>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14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16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加油站</w:t>
            </w:r>
            <w:r>
              <w:rPr>
                <w:rFonts w:hint="eastAsia" w:cs="Times New Roman"/>
                <w:sz w:val="24"/>
                <w:szCs w:val="24"/>
                <w:lang w:val="en-US" w:eastAsia="zh-CN"/>
              </w:rPr>
              <w:t>卸油、储油、加油等过程油品挥发</w:t>
            </w:r>
            <w:r>
              <w:rPr>
                <w:rFonts w:hint="eastAsia" w:ascii="Times New Roman" w:hAnsi="Times New Roman" w:cs="Times New Roman"/>
                <w:sz w:val="24"/>
                <w:szCs w:val="24"/>
                <w:lang w:val="en-US" w:eastAsia="zh-CN"/>
              </w:rPr>
              <w:t>废气</w:t>
            </w:r>
          </w:p>
        </w:tc>
        <w:tc>
          <w:tcPr>
            <w:tcW w:w="11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非甲烷总烃</w:t>
            </w:r>
          </w:p>
        </w:tc>
        <w:tc>
          <w:tcPr>
            <w:tcW w:w="18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宋体" w:cs="Times New Roman"/>
                <w:sz w:val="24"/>
                <w:szCs w:val="24"/>
                <w:lang w:val="en-US" w:eastAsia="zh-CN"/>
              </w:rPr>
            </w:pPr>
            <w:r>
              <w:rPr>
                <w:color w:val="000000"/>
                <w:kern w:val="28"/>
                <w:sz w:val="24"/>
                <w:szCs w:val="24"/>
              </w:rPr>
              <w:t>地埋式储油罐，采用自封式加油枪及密闭卸油等方式</w:t>
            </w:r>
            <w:r>
              <w:rPr>
                <w:color w:val="000000"/>
                <w:sz w:val="24"/>
                <w:szCs w:val="24"/>
              </w:rPr>
              <w:t>，设置汽油</w:t>
            </w:r>
            <w:r>
              <w:rPr>
                <w:color w:val="000000"/>
                <w:kern w:val="28"/>
                <w:sz w:val="24"/>
                <w:szCs w:val="24"/>
              </w:rPr>
              <w:t>油气回收系统</w:t>
            </w:r>
            <w:r>
              <w:rPr>
                <w:rFonts w:hint="eastAsia"/>
                <w:color w:val="000000"/>
                <w:kern w:val="28"/>
                <w:sz w:val="24"/>
                <w:szCs w:val="24"/>
                <w:lang w:eastAsia="zh-CN"/>
              </w:rPr>
              <w:t>和油气处置装置（</w:t>
            </w:r>
            <w:r>
              <w:rPr>
                <w:rFonts w:hint="eastAsia" w:ascii="宋体" w:hAnsi="宋体" w:eastAsia="宋体" w:cs="宋体"/>
                <w:color w:val="000000"/>
                <w:kern w:val="0"/>
                <w:sz w:val="24"/>
                <w:szCs w:val="24"/>
                <w:lang w:val="en-US" w:eastAsia="zh-CN" w:bidi="ar"/>
              </w:rPr>
              <w:t>油气处理装置排气口距地平面高度不低于</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m</w:t>
            </w:r>
            <w:r>
              <w:rPr>
                <w:rFonts w:hint="eastAsia"/>
                <w:color w:val="000000"/>
                <w:kern w:val="28"/>
                <w:sz w:val="24"/>
                <w:szCs w:val="24"/>
                <w:lang w:eastAsia="zh-CN"/>
              </w:rPr>
              <w:t>）</w:t>
            </w:r>
          </w:p>
        </w:tc>
        <w:tc>
          <w:tcPr>
            <w:tcW w:w="325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b w:val="0"/>
                <w:bCs/>
                <w:sz w:val="24"/>
                <w:szCs w:val="24"/>
                <w:u w:val="none"/>
              </w:rPr>
              <w:t>《关于全省开展工业企业挥发性有机物专项治理工作中排放建议值的通知》（豫环攻坚办（2017）162号）：</w:t>
            </w:r>
            <w:r>
              <w:rPr>
                <w:rFonts w:hint="eastAsia" w:ascii="Times New Roman" w:hAnsi="Times New Roman" w:cs="Times New Roman"/>
                <w:b w:val="0"/>
                <w:bCs/>
                <w:sz w:val="24"/>
                <w:szCs w:val="24"/>
                <w:u w:val="none"/>
                <w:lang w:val="en-US" w:eastAsia="zh-CN"/>
              </w:rPr>
              <w:t>边界浓度限值</w:t>
            </w:r>
            <w:r>
              <w:rPr>
                <w:rFonts w:hint="default" w:ascii="Times New Roman" w:hAnsi="Times New Roman" w:cs="Times New Roman"/>
                <w:b w:val="0"/>
                <w:bCs/>
                <w:sz w:val="24"/>
                <w:szCs w:val="24"/>
                <w:u w:val="none"/>
              </w:rPr>
              <w:t>2.0mg/m</w:t>
            </w:r>
            <w:r>
              <w:rPr>
                <w:rFonts w:hint="default" w:ascii="Times New Roman" w:hAnsi="Times New Roman" w:cs="Times New Roman"/>
                <w:b w:val="0"/>
                <w:bCs/>
                <w:sz w:val="24"/>
                <w:szCs w:val="24"/>
                <w:u w:val="none"/>
                <w:vertAlign w:val="superscript"/>
              </w:rPr>
              <w:t>3</w:t>
            </w:r>
            <w:r>
              <w:rPr>
                <w:rFonts w:hint="eastAsia" w:ascii="Times New Roman" w:hAnsi="Times New Roman" w:cs="Times New Roman"/>
                <w:b w:val="0"/>
                <w:bCs/>
                <w:sz w:val="24"/>
                <w:szCs w:val="24"/>
                <w:u w:val="none"/>
                <w:lang w:eastAsia="zh-CN"/>
              </w:rPr>
              <w:t>；</w:t>
            </w:r>
            <w:r>
              <w:rPr>
                <w:rFonts w:hint="default" w:ascii="Times New Roman" w:hAnsi="Times New Roman" w:cs="Times New Roman"/>
                <w:b w:val="0"/>
                <w:bCs/>
                <w:color w:val="auto"/>
                <w:sz w:val="24"/>
                <w:szCs w:val="24"/>
                <w:u w:val="none"/>
              </w:rPr>
              <w:t>《加油站大气污染物排放标准》(GB20952-20</w:t>
            </w:r>
            <w:r>
              <w:rPr>
                <w:rFonts w:hint="eastAsia" w:ascii="Times New Roman" w:hAnsi="Times New Roman" w:cs="Times New Roman"/>
                <w:b w:val="0"/>
                <w:bCs/>
                <w:color w:val="auto"/>
                <w:sz w:val="24"/>
                <w:szCs w:val="24"/>
                <w:u w:val="none"/>
                <w:lang w:val="en-US" w:eastAsia="zh-CN"/>
              </w:rPr>
              <w:t>20</w:t>
            </w:r>
            <w:r>
              <w:rPr>
                <w:rFonts w:hint="default" w:ascii="Times New Roman" w:hAnsi="Times New Roman" w:cs="Times New Roman"/>
                <w:b w:val="0"/>
                <w:bCs/>
                <w:color w:val="auto"/>
                <w:sz w:val="24"/>
                <w:szCs w:val="24"/>
                <w:u w:val="none"/>
              </w:rPr>
              <w:t>)油气排放浓度≦25g/m</w:t>
            </w:r>
            <w:r>
              <w:rPr>
                <w:rFonts w:hint="default" w:ascii="Times New Roman" w:hAnsi="Times New Roman" w:cs="Times New Roman"/>
                <w:b w:val="0"/>
                <w:bCs/>
                <w:color w:val="auto"/>
                <w:sz w:val="24"/>
                <w:szCs w:val="24"/>
                <w:u w:val="none"/>
                <w:vertAlign w:val="superscript"/>
              </w:rPr>
              <w:t>3</w:t>
            </w:r>
            <w:r>
              <w:rPr>
                <w:rFonts w:hint="eastAsia" w:ascii="Times New Roman" w:hAnsi="Times New Roman" w:cs="Times New Roman"/>
                <w:b w:val="0"/>
                <w:bCs/>
                <w:color w:val="auto"/>
                <w:sz w:val="24"/>
                <w:szCs w:val="24"/>
                <w:u w:val="none"/>
                <w:vertAlign w:val="baseline"/>
                <w:lang w:eastAsia="zh-CN"/>
              </w:rPr>
              <w:t>；</w:t>
            </w:r>
            <w:r>
              <w:rPr>
                <w:rFonts w:hint="default" w:ascii="Times New Roman" w:hAnsi="Times New Roman" w:cs="Times New Roman"/>
                <w:b w:val="0"/>
                <w:bCs/>
                <w:color w:val="auto"/>
                <w:kern w:val="2"/>
                <w:sz w:val="24"/>
                <w:szCs w:val="24"/>
                <w:u w:val="none"/>
                <w:lang w:val="en-US" w:eastAsia="zh-CN" w:bidi="ar-SA"/>
              </w:rPr>
              <w:t>《挥发性有机物无组织排放控制标准》（GB37822-2019）</w:t>
            </w:r>
            <w:r>
              <w:rPr>
                <w:rFonts w:hint="default" w:ascii="Times New Roman" w:hAnsi="Times New Roman" w:eastAsia="宋体" w:cs="Times New Roman"/>
                <w:color w:val="auto"/>
                <w:sz w:val="24"/>
                <w:szCs w:val="24"/>
                <w:lang w:eastAsia="zh-CN"/>
              </w:rPr>
              <w:t>监控点处1h平均浓度值：6mg/m</w:t>
            </w:r>
            <w:r>
              <w:rPr>
                <w:rFonts w:hint="default" w:ascii="Times New Roman" w:hAnsi="Times New Roman" w:eastAsia="宋体" w:cs="Times New Roman"/>
                <w:color w:val="auto"/>
                <w:sz w:val="24"/>
                <w:szCs w:val="24"/>
                <w:vertAlign w:val="superscript"/>
                <w:lang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143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665" w:type="dxa"/>
            <w:noWrap w:val="0"/>
            <w:vAlign w:val="center"/>
          </w:tcPr>
          <w:p>
            <w:pPr>
              <w:snapToGrid w:val="0"/>
              <w:jc w:val="center"/>
              <w:rPr>
                <w:rFonts w:hint="default" w:ascii="Times New Roman" w:hAnsi="Times New Roman" w:eastAsia="宋体" w:cs="Times New Roman"/>
                <w:color w:val="auto"/>
                <w:sz w:val="24"/>
                <w:szCs w:val="24"/>
                <w:lang w:val="en-US" w:eastAsia="zh-CN"/>
              </w:rPr>
            </w:pPr>
            <w:r>
              <w:rPr>
                <w:color w:val="000000"/>
                <w:sz w:val="24"/>
                <w:szCs w:val="24"/>
              </w:rPr>
              <w:t>生活</w:t>
            </w:r>
            <w:r>
              <w:rPr>
                <w:rFonts w:hint="eastAsia"/>
                <w:color w:val="000000"/>
                <w:sz w:val="24"/>
                <w:szCs w:val="24"/>
                <w:lang w:eastAsia="zh-CN"/>
              </w:rPr>
              <w:t>废</w:t>
            </w:r>
            <w:r>
              <w:rPr>
                <w:color w:val="000000"/>
                <w:sz w:val="24"/>
                <w:szCs w:val="24"/>
              </w:rPr>
              <w:t>水</w:t>
            </w:r>
          </w:p>
        </w:tc>
        <w:tc>
          <w:tcPr>
            <w:tcW w:w="1140"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bCs/>
                <w:color w:val="000000"/>
                <w:sz w:val="24"/>
                <w:szCs w:val="24"/>
              </w:rPr>
              <w:t>COD、SS、</w:t>
            </w:r>
            <w:r>
              <w:rPr>
                <w:rFonts w:hint="eastAsia"/>
                <w:bCs/>
                <w:color w:val="000000"/>
                <w:sz w:val="24"/>
                <w:szCs w:val="24"/>
                <w:lang w:val="en-US" w:eastAsia="zh-CN"/>
              </w:rPr>
              <w:t>TP、</w:t>
            </w:r>
            <w:r>
              <w:rPr>
                <w:bCs/>
                <w:color w:val="000000"/>
                <w:kern w:val="28"/>
                <w:sz w:val="24"/>
                <w:szCs w:val="24"/>
              </w:rPr>
              <w:t>NH</w:t>
            </w:r>
            <w:r>
              <w:rPr>
                <w:bCs/>
                <w:color w:val="000000"/>
                <w:kern w:val="28"/>
                <w:sz w:val="24"/>
                <w:szCs w:val="24"/>
                <w:vertAlign w:val="subscript"/>
              </w:rPr>
              <w:t>3</w:t>
            </w:r>
            <w:r>
              <w:rPr>
                <w:bCs/>
                <w:color w:val="000000"/>
                <w:kern w:val="28"/>
                <w:sz w:val="24"/>
                <w:szCs w:val="24"/>
              </w:rPr>
              <w:t>-N等</w:t>
            </w:r>
          </w:p>
        </w:tc>
        <w:tc>
          <w:tcPr>
            <w:tcW w:w="186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color w:val="000000"/>
                <w:sz w:val="24"/>
                <w:szCs w:val="24"/>
              </w:rPr>
              <w:t>经化粪池处理后</w:t>
            </w:r>
            <w:r>
              <w:rPr>
                <w:rFonts w:hint="eastAsia"/>
                <w:color w:val="000000"/>
                <w:sz w:val="24"/>
                <w:szCs w:val="24"/>
                <w:lang w:eastAsia="zh-CN"/>
              </w:rPr>
              <w:t>定期清运不外排</w:t>
            </w:r>
          </w:p>
        </w:tc>
        <w:tc>
          <w:tcPr>
            <w:tcW w:w="3258"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43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665"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加油机</w:t>
            </w:r>
            <w:r>
              <w:rPr>
                <w:rFonts w:hint="eastAsia" w:cs="Times New Roman"/>
                <w:sz w:val="24"/>
                <w:szCs w:val="24"/>
                <w:lang w:val="en-US" w:eastAsia="zh-CN"/>
              </w:rPr>
              <w:t>等设备运行噪声</w:t>
            </w:r>
            <w:r>
              <w:rPr>
                <w:rFonts w:hint="eastAsia" w:ascii="Times New Roman" w:hAnsi="Times New Roman" w:cs="Times New Roman"/>
                <w:sz w:val="24"/>
                <w:szCs w:val="24"/>
                <w:lang w:val="en-US" w:eastAsia="zh-CN"/>
              </w:rPr>
              <w:t>、</w:t>
            </w:r>
            <w:r>
              <w:rPr>
                <w:rFonts w:hint="eastAsia" w:cs="Times New Roman"/>
                <w:sz w:val="24"/>
                <w:szCs w:val="24"/>
                <w:lang w:val="en-US" w:eastAsia="zh-CN"/>
              </w:rPr>
              <w:t>加油车辆交通噪声</w:t>
            </w:r>
          </w:p>
        </w:tc>
        <w:tc>
          <w:tcPr>
            <w:tcW w:w="114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等效 A 声级</w:t>
            </w:r>
          </w:p>
        </w:tc>
        <w:tc>
          <w:tcPr>
            <w:tcW w:w="1861"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加油机设置减振垫，并加强设备的日常维护管理</w:t>
            </w:r>
            <w:r>
              <w:rPr>
                <w:rFonts w:hint="eastAsia" w:cs="Times New Roman"/>
                <w:sz w:val="24"/>
                <w:szCs w:val="24"/>
                <w:lang w:val="en-US" w:eastAsia="zh-CN"/>
              </w:rPr>
              <w:t>；加强管理，减速慢行，禁止鸣笛，距离衰减</w:t>
            </w:r>
          </w:p>
        </w:tc>
        <w:tc>
          <w:tcPr>
            <w:tcW w:w="3258"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《工业企业厂界环境噪声排放</w:t>
            </w:r>
            <w:r>
              <w:rPr>
                <w:rFonts w:hint="eastAsia" w:ascii="Times New Roman" w:hAnsi="Times New Roman" w:eastAsia="宋体" w:cs="Times New Roman"/>
                <w:sz w:val="24"/>
                <w:szCs w:val="24"/>
                <w:lang w:val="en-US" w:eastAsia="zh-CN"/>
              </w:rPr>
              <w:t>标准》（</w:t>
            </w:r>
            <w:r>
              <w:rPr>
                <w:rFonts w:hint="default" w:ascii="Times New Roman" w:hAnsi="Times New Roman" w:eastAsia="宋体" w:cs="Times New Roman"/>
                <w:sz w:val="24"/>
                <w:szCs w:val="24"/>
                <w:lang w:val="en-US" w:eastAsia="zh-CN"/>
              </w:rPr>
              <w:t>GB12348</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-2008</w:t>
            </w:r>
            <w:r>
              <w:rPr>
                <w:rFonts w:hint="eastAsia" w:ascii="Times New Roman" w:hAnsi="Times New Roman" w:eastAsia="宋体" w:cs="Times New Roman"/>
                <w:sz w:val="24"/>
                <w:szCs w:val="24"/>
                <w:lang w:val="en-US" w:eastAsia="zh-CN"/>
              </w:rPr>
              <w:t>）</w:t>
            </w:r>
            <w:r>
              <w:rPr>
                <w:rFonts w:hint="eastAsia" w:ascii="Times New Roman" w:hAnsi="Times New Roman" w:cs="Times New Roman"/>
                <w:color w:val="auto"/>
                <w:sz w:val="24"/>
                <w:szCs w:val="24"/>
                <w:lang w:val="en-US" w:eastAsia="zh-CN"/>
              </w:rPr>
              <w:t>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43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电磁辐射</w:t>
            </w:r>
          </w:p>
        </w:tc>
        <w:tc>
          <w:tcPr>
            <w:tcW w:w="1665"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14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p>
        </w:tc>
        <w:tc>
          <w:tcPr>
            <w:tcW w:w="1861"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p>
        </w:tc>
        <w:tc>
          <w:tcPr>
            <w:tcW w:w="3258"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143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7924" w:type="dxa"/>
            <w:gridSpan w:val="4"/>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360" w:lineRule="exact"/>
              <w:ind w:firstLine="480" w:firstLineChars="200"/>
              <w:jc w:val="both"/>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清罐油泥、油水烃混合物</w:t>
            </w:r>
            <w:r>
              <w:rPr>
                <w:rFonts w:hint="default" w:ascii="Times New Roman" w:hAnsi="Times New Roman" w:eastAsia="宋体" w:cs="Times New Roman"/>
                <w:color w:val="0C0C0C"/>
                <w:sz w:val="24"/>
                <w:szCs w:val="24"/>
                <w:highlight w:val="none"/>
                <w:u w:val="none"/>
                <w:lang w:val="zh-CN"/>
              </w:rPr>
              <w:t>暂存于危废间，交由</w:t>
            </w:r>
            <w:r>
              <w:rPr>
                <w:rFonts w:hint="eastAsia" w:ascii="Times New Roman" w:hAnsi="Times New Roman" w:cs="Times New Roman"/>
                <w:color w:val="0C0C0C"/>
                <w:sz w:val="24"/>
                <w:szCs w:val="24"/>
                <w:highlight w:val="none"/>
                <w:u w:val="none"/>
                <w:lang w:val="en-US" w:eastAsia="zh-CN"/>
              </w:rPr>
              <w:t>有危险废物处理资质的</w:t>
            </w:r>
            <w:r>
              <w:rPr>
                <w:rFonts w:hint="default" w:ascii="Times New Roman" w:hAnsi="Times New Roman" w:eastAsia="宋体" w:cs="Times New Roman"/>
                <w:color w:val="0C0C0C"/>
                <w:sz w:val="24"/>
                <w:szCs w:val="24"/>
                <w:highlight w:val="none"/>
                <w:u w:val="none"/>
                <w:lang w:val="zh-CN"/>
              </w:rPr>
              <w:t>单位处理</w:t>
            </w:r>
            <w:r>
              <w:rPr>
                <w:rFonts w:hint="eastAsia" w:ascii="Times New Roman" w:hAnsi="Times New Roman" w:cs="Times New Roman"/>
                <w:color w:val="0C0C0C"/>
                <w:sz w:val="24"/>
                <w:szCs w:val="24"/>
                <w:highlight w:val="none"/>
                <w:u w:val="none"/>
                <w:lang w:val="zh-CN"/>
              </w:rPr>
              <w:t>。</w:t>
            </w:r>
            <w:r>
              <w:rPr>
                <w:rFonts w:hint="default" w:ascii="Times New Roman" w:hAnsi="Times New Roman" w:eastAsia="宋体" w:cs="Times New Roman"/>
                <w:color w:val="0C0C0C"/>
                <w:sz w:val="24"/>
                <w:szCs w:val="24"/>
                <w:highlight w:val="none"/>
                <w:u w:val="none"/>
                <w:lang w:val="zh-CN"/>
              </w:rPr>
              <w:t>满足《中华人民共和国固体废物污染环境防治法》（2020年修订）</w:t>
            </w:r>
            <w:r>
              <w:rPr>
                <w:rFonts w:hint="eastAsia" w:cs="Times New Roman"/>
                <w:color w:val="0C0C0C"/>
                <w:sz w:val="24"/>
                <w:szCs w:val="24"/>
                <w:highlight w:val="none"/>
                <w:u w:val="none"/>
                <w:lang w:val="zh-CN"/>
              </w:rPr>
              <w:t>和</w:t>
            </w:r>
            <w:r>
              <w:rPr>
                <w:rFonts w:hint="default" w:ascii="Times New Roman" w:hAnsi="Times New Roman" w:eastAsia="宋体" w:cs="Times New Roman"/>
                <w:color w:val="0C0C0C"/>
                <w:sz w:val="24"/>
                <w:szCs w:val="24"/>
                <w:highlight w:val="none"/>
                <w:u w:val="none"/>
                <w:lang w:val="zh-CN"/>
              </w:rPr>
              <w:t>《危险废物贮存污染控制标准》（GB18597-2001）标准及修改单要求。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4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sz w:val="24"/>
                <w:szCs w:val="24"/>
              </w:rPr>
            </w:pPr>
            <w:r>
              <w:rPr>
                <w:rFonts w:hint="eastAsia" w:ascii="宋体" w:hAnsi="宋体" w:cs="宋体"/>
                <w:sz w:val="24"/>
                <w:szCs w:val="24"/>
              </w:rPr>
              <w:t>土壤及地下水污染防治措施</w:t>
            </w:r>
          </w:p>
        </w:tc>
        <w:tc>
          <w:tcPr>
            <w:tcW w:w="7924" w:type="dxa"/>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480" w:firstLineChars="200"/>
              <w:jc w:val="left"/>
              <w:textAlignment w:val="auto"/>
              <w:rPr>
                <w:rFonts w:hint="eastAsia" w:ascii="宋体" w:hAnsi="宋体" w:eastAsia="宋体" w:cs="宋体"/>
                <w:color w:val="auto"/>
                <w:sz w:val="24"/>
                <w:szCs w:val="24"/>
                <w:lang w:eastAsia="zh-CN"/>
              </w:rPr>
            </w:pPr>
            <w:r>
              <w:rPr>
                <w:rFonts w:hint="default" w:ascii="Times New Roman" w:hAnsi="Times New Roman" w:cs="Times New Roman"/>
                <w:color w:val="auto"/>
                <w:sz w:val="24"/>
                <w:szCs w:val="24"/>
              </w:rPr>
              <w:t>本项目设置的油品储罐为双层罐，油罐配置防溢流阀、液位计和高低液位报警器；加油站场地硬化防渗</w:t>
            </w:r>
            <w:r>
              <w:rPr>
                <w:rFonts w:hint="default" w:ascii="Times New Roman" w:hAnsi="Times New Roman" w:cs="Times New Roman"/>
                <w:color w:val="auto"/>
                <w:sz w:val="24"/>
                <w:szCs w:val="24"/>
                <w:lang w:val="en-US" w:eastAsia="zh-CN"/>
              </w:rPr>
              <w:t>等</w:t>
            </w:r>
            <w:r>
              <w:rPr>
                <w:rFonts w:hint="eastAsia" w:ascii="Times New Roman" w:hAnsi="Times New Roman" w:cs="Times New Roman"/>
                <w:color w:val="auto"/>
                <w:sz w:val="24"/>
                <w:szCs w:val="24"/>
                <w:lang w:val="en-US" w:eastAsia="zh-CN"/>
              </w:rPr>
              <w:t>防治措施</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4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sz w:val="24"/>
                <w:szCs w:val="24"/>
              </w:rPr>
            </w:pPr>
            <w:r>
              <w:rPr>
                <w:rFonts w:hint="eastAsia" w:ascii="宋体" w:hAnsi="宋体" w:cs="宋体"/>
                <w:sz w:val="24"/>
                <w:szCs w:val="24"/>
              </w:rPr>
              <w:t>生态保护</w:t>
            </w:r>
          </w:p>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sz w:val="24"/>
                <w:szCs w:val="24"/>
              </w:rPr>
            </w:pPr>
            <w:r>
              <w:rPr>
                <w:rFonts w:hint="eastAsia" w:ascii="宋体" w:hAnsi="宋体" w:cs="宋体"/>
                <w:sz w:val="24"/>
                <w:szCs w:val="24"/>
              </w:rPr>
              <w:t>措施</w:t>
            </w:r>
          </w:p>
        </w:tc>
        <w:tc>
          <w:tcPr>
            <w:tcW w:w="7924"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本项目是在</w:t>
            </w:r>
            <w:r>
              <w:rPr>
                <w:rFonts w:hint="eastAsia"/>
                <w:color w:val="auto"/>
                <w:sz w:val="24"/>
                <w:szCs w:val="24"/>
              </w:rPr>
              <w:t>现有</w:t>
            </w:r>
            <w:r>
              <w:rPr>
                <w:rFonts w:hint="eastAsia"/>
                <w:color w:val="auto"/>
                <w:sz w:val="24"/>
                <w:szCs w:val="24"/>
                <w:lang w:val="en-US" w:eastAsia="zh-CN"/>
              </w:rPr>
              <w:t>加油站基础上进行改扩建</w:t>
            </w:r>
            <w:r>
              <w:rPr>
                <w:rFonts w:hint="eastAsia"/>
                <w:color w:val="auto"/>
                <w:sz w:val="24"/>
                <w:szCs w:val="24"/>
              </w:rPr>
              <w:t>，对</w:t>
            </w:r>
            <w:r>
              <w:rPr>
                <w:rFonts w:hint="eastAsia"/>
                <w:color w:val="auto"/>
                <w:sz w:val="24"/>
                <w:szCs w:val="24"/>
                <w:lang w:val="en-US" w:eastAsia="zh-CN"/>
              </w:rPr>
              <w:t>周边</w:t>
            </w:r>
            <w:r>
              <w:rPr>
                <w:rFonts w:hint="eastAsia"/>
                <w:color w:val="auto"/>
                <w:sz w:val="24"/>
                <w:szCs w:val="24"/>
              </w:rPr>
              <w:t>生态环境</w:t>
            </w:r>
            <w:r>
              <w:rPr>
                <w:rFonts w:hint="default" w:ascii="Times New Roman" w:hAnsi="Times New Roman" w:eastAsia="宋体" w:cs="Times New Roman"/>
                <w:color w:val="auto"/>
                <w:sz w:val="24"/>
                <w:szCs w:val="24"/>
              </w:rPr>
              <w:t>不会产生明显</w:t>
            </w:r>
            <w:r>
              <w:rPr>
                <w:rFonts w:hint="default" w:ascii="Times New Roman" w:hAnsi="Times New Roman" w:cs="Times New Roman"/>
                <w:color w:val="auto"/>
                <w:sz w:val="24"/>
                <w:szCs w:val="24"/>
                <w:lang w:val="en-US" w:eastAsia="zh-CN"/>
              </w:rPr>
              <w:t>的</w:t>
            </w:r>
            <w:r>
              <w:rPr>
                <w:rFonts w:hint="default" w:ascii="Times New Roman" w:hAnsi="Times New Roman" w:eastAsia="宋体" w:cs="Times New Roman"/>
                <w:color w:val="auto"/>
                <w:sz w:val="24"/>
                <w:szCs w:val="24"/>
              </w:rPr>
              <w:t>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1430" w:type="dxa"/>
            <w:noWrap w:val="0"/>
            <w:vAlign w:val="center"/>
          </w:tcPr>
          <w:p>
            <w:pPr>
              <w:keepNext w:val="0"/>
              <w:keepLines w:val="0"/>
              <w:pageBreakBefore w:val="0"/>
              <w:kinsoku/>
              <w:wordWrap/>
              <w:overflowPunct/>
              <w:topLinePunct w:val="0"/>
              <w:bidi w:val="0"/>
              <w:adjustRightInd w:val="0"/>
              <w:snapToGrid w:val="0"/>
              <w:spacing w:line="400" w:lineRule="exact"/>
              <w:jc w:val="center"/>
              <w:textAlignment w:val="auto"/>
              <w:rPr>
                <w:rFonts w:hint="eastAsia" w:ascii="宋体" w:hAnsi="宋体" w:cs="宋体"/>
                <w:spacing w:val="-8"/>
                <w:sz w:val="24"/>
                <w:szCs w:val="24"/>
              </w:rPr>
            </w:pPr>
            <w:r>
              <w:rPr>
                <w:rFonts w:hint="eastAsia" w:ascii="宋体" w:hAnsi="宋体" w:cs="宋体"/>
                <w:spacing w:val="-8"/>
                <w:sz w:val="24"/>
                <w:szCs w:val="24"/>
              </w:rPr>
              <w:t>环境风险防范措施</w:t>
            </w:r>
          </w:p>
        </w:tc>
        <w:tc>
          <w:tcPr>
            <w:tcW w:w="7924" w:type="dxa"/>
            <w:gridSpan w:val="4"/>
            <w:noWrap w:val="0"/>
            <w:vAlign w:val="center"/>
          </w:tcPr>
          <w:p>
            <w:pPr>
              <w:adjustRightInd w:val="0"/>
              <w:snapToGrid w:val="0"/>
              <w:ind w:firstLine="480" w:firstLineChars="200"/>
              <w:jc w:val="left"/>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szCs w:val="24"/>
              </w:rPr>
              <w:t>本项目汽油储罐为卧式双层</w:t>
            </w:r>
            <w:r>
              <w:rPr>
                <w:rFonts w:hint="eastAsia" w:ascii="Times New Roman" w:hAnsi="Times New Roman" w:cs="Times New Roman"/>
                <w:color w:val="auto"/>
                <w:sz w:val="24"/>
                <w:szCs w:val="24"/>
                <w:lang w:val="en-US" w:eastAsia="zh-CN"/>
              </w:rPr>
              <w:t>地埋式</w:t>
            </w:r>
            <w:r>
              <w:rPr>
                <w:rFonts w:hint="default" w:ascii="Times New Roman" w:hAnsi="Times New Roman" w:cs="Times New Roman"/>
                <w:color w:val="auto"/>
                <w:sz w:val="24"/>
                <w:szCs w:val="24"/>
              </w:rPr>
              <w:t>储油罐，储罐、加油机等需设置防雷防静电接地，加油站的汽油罐车卸车场地需设置罐车卸车时用的防雷电接地装置，并需设置能检测跨接线及监视地装置状态的静电接地仪，以减少发生危险事故的频率。</w:t>
            </w:r>
            <w:r>
              <w:rPr>
                <w:rFonts w:hint="eastAsia" w:ascii="Times New Roman" w:hAnsi="Times New Roman" w:cs="Times New Roman"/>
                <w:color w:val="auto"/>
                <w:sz w:val="24"/>
                <w:szCs w:val="24"/>
                <w:lang w:val="en-US" w:eastAsia="zh-CN"/>
              </w:rPr>
              <w:t>并</w:t>
            </w:r>
            <w:r>
              <w:rPr>
                <w:rFonts w:hint="default" w:ascii="Times New Roman" w:hAnsi="Times New Roman" w:cs="Times New Roman"/>
                <w:sz w:val="24"/>
                <w:szCs w:val="24"/>
              </w:rPr>
              <w:t>严格遵守加油站的设计安全规范与国家已有标准进行设计</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设置防静电接地装置，防雷接地装置，选择防爆电气设备；按规范要求配置足够的灭火器材，要加强维护保养，确保完整好用</w:t>
            </w:r>
            <w:r>
              <w:rPr>
                <w:rFonts w:hint="eastAsia" w:ascii="Times New Roman" w:hAnsi="Times New Roman" w:cs="Times New Roman"/>
                <w:sz w:val="24"/>
                <w:szCs w:val="24"/>
                <w:lang w:eastAsia="zh-CN"/>
              </w:rPr>
              <w:t>；</w:t>
            </w:r>
            <w:r>
              <w:rPr>
                <w:rFonts w:hint="default" w:ascii="Times New Roman" w:hAnsi="Times New Roman" w:cs="Times New Roman"/>
                <w:sz w:val="24"/>
                <w:szCs w:val="24"/>
              </w:rPr>
              <w:t>设置油源紧急切断装置，一旦有事故发生，紧急切断油源，并立即启动应急预案，使事故带来的环境影响降低到最低程度</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站区内应设置醒目的“严禁烟火”、“安全操作”等安全标志。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35" w:hRule="atLeast"/>
          <w:jc w:val="center"/>
        </w:trPr>
        <w:tc>
          <w:tcPr>
            <w:tcW w:w="1430" w:type="dxa"/>
            <w:noWrap w:val="0"/>
            <w:vAlign w:val="center"/>
          </w:tcPr>
          <w:p>
            <w:pPr>
              <w:keepNext w:val="0"/>
              <w:keepLines w:val="0"/>
              <w:pageBreakBefore w:val="0"/>
              <w:kinsoku/>
              <w:wordWrap/>
              <w:overflowPunct/>
              <w:topLinePunct w:val="0"/>
              <w:bidi w:val="0"/>
              <w:adjustRightInd w:val="0"/>
              <w:snapToGrid w:val="0"/>
              <w:spacing w:line="400" w:lineRule="exact"/>
              <w:jc w:val="center"/>
              <w:textAlignment w:val="auto"/>
              <w:rPr>
                <w:rFonts w:ascii="宋体" w:hAnsi="宋体" w:cs="宋体"/>
                <w:spacing w:val="-8"/>
                <w:sz w:val="24"/>
                <w:szCs w:val="24"/>
              </w:rPr>
            </w:pPr>
            <w:r>
              <w:rPr>
                <w:rFonts w:hint="eastAsia" w:ascii="宋体" w:hAnsi="宋体" w:cs="宋体"/>
                <w:spacing w:val="-8"/>
                <w:sz w:val="24"/>
                <w:szCs w:val="24"/>
              </w:rPr>
              <w:t>其他环境</w:t>
            </w:r>
          </w:p>
          <w:p>
            <w:pPr>
              <w:keepNext w:val="0"/>
              <w:keepLines w:val="0"/>
              <w:pageBreakBefore w:val="0"/>
              <w:kinsoku/>
              <w:wordWrap/>
              <w:overflowPunct/>
              <w:topLinePunct w:val="0"/>
              <w:bidi w:val="0"/>
              <w:adjustRightInd w:val="0"/>
              <w:snapToGrid w:val="0"/>
              <w:spacing w:line="400" w:lineRule="exact"/>
              <w:jc w:val="center"/>
              <w:textAlignment w:val="auto"/>
              <w:rPr>
                <w:rFonts w:hint="eastAsia" w:ascii="宋体" w:hAnsi="宋体" w:cs="宋体"/>
                <w:spacing w:val="-8"/>
                <w:sz w:val="24"/>
                <w:szCs w:val="24"/>
              </w:rPr>
            </w:pPr>
            <w:r>
              <w:rPr>
                <w:rFonts w:hint="eastAsia" w:ascii="宋体" w:hAnsi="宋体" w:cs="宋体"/>
                <w:spacing w:val="-8"/>
                <w:sz w:val="24"/>
                <w:szCs w:val="24"/>
              </w:rPr>
              <w:t>管理要求</w:t>
            </w:r>
          </w:p>
        </w:tc>
        <w:tc>
          <w:tcPr>
            <w:tcW w:w="7924"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根据《新乡市生态环境局关于部署安装工业企业用电量监控系统的通知》（新环[2019]154号）文件及环保部门要求在总用电量控制位置、主要生产设施和污染治理设施位置处安装用电量监控系统。</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auto"/>
              <w:outlineLvl w:val="9"/>
              <w:rPr>
                <w:rFonts w:hint="default" w:ascii="Times New Roman" w:hAnsi="Times New Roman" w:cs="Times New Roman"/>
                <w:sz w:val="24"/>
                <w:szCs w:val="24"/>
                <w:lang w:val="en-US" w:eastAsia="zh-CN"/>
              </w:rPr>
            </w:pPr>
          </w:p>
        </w:tc>
      </w:tr>
    </w:tbl>
    <w:p>
      <w:pPr>
        <w:pStyle w:val="21"/>
        <w:jc w:val="center"/>
        <w:outlineLvl w:val="0"/>
        <w:rPr>
          <w:rFonts w:ascii="黑体" w:hAnsi="黑体" w:eastAsia="黑体"/>
          <w:snapToGrid w:val="0"/>
          <w:color w:val="auto"/>
          <w:sz w:val="30"/>
          <w:szCs w:val="30"/>
        </w:rPr>
      </w:pPr>
      <w:r>
        <w:rPr>
          <w:snapToGrid w:val="0"/>
          <w:color w:val="FF0000"/>
        </w:rPr>
        <w:br w:type="page"/>
      </w:r>
      <w:r>
        <w:rPr>
          <w:rFonts w:hint="eastAsia" w:ascii="黑体" w:hAnsi="黑体" w:eastAsia="黑体"/>
          <w:snapToGrid w:val="0"/>
          <w:color w:val="auto"/>
          <w:sz w:val="30"/>
          <w:szCs w:val="30"/>
        </w:rPr>
        <w:t>六、结论</w:t>
      </w:r>
      <w:bookmarkStart w:id="3" w:name="_GoBack"/>
      <w:bookmarkEnd w:id="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4" w:hRule="atLeast"/>
          <w:jc w:val="center"/>
        </w:trPr>
        <w:tc>
          <w:tcPr>
            <w:tcW w:w="8865" w:type="dxa"/>
          </w:tcPr>
          <w:p>
            <w:pPr>
              <w:spacing w:line="360" w:lineRule="auto"/>
              <w:rPr>
                <w:rFonts w:ascii="宋体" w:cs="宋体"/>
                <w:color w:val="FF0000"/>
                <w:sz w:val="24"/>
              </w:rPr>
            </w:pPr>
            <w:r>
              <w:drawing>
                <wp:inline distT="0" distB="0" distL="114300" distR="114300">
                  <wp:extent cx="5587365" cy="7552690"/>
                  <wp:effectExtent l="0" t="0" r="13335" b="1016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8"/>
                          <a:stretch>
                            <a:fillRect/>
                          </a:stretch>
                        </pic:blipFill>
                        <pic:spPr>
                          <a:xfrm>
                            <a:off x="0" y="0"/>
                            <a:ext cx="5587365" cy="7552690"/>
                          </a:xfrm>
                          <a:prstGeom prst="rect">
                            <a:avLst/>
                          </a:prstGeom>
                          <a:noFill/>
                          <a:ln>
                            <a:noFill/>
                          </a:ln>
                        </pic:spPr>
                      </pic:pic>
                    </a:graphicData>
                  </a:graphic>
                </wp:inline>
              </w:drawing>
            </w:r>
          </w:p>
        </w:tc>
      </w:tr>
    </w:tbl>
    <w:p>
      <w:pPr>
        <w:rPr>
          <w:rFonts w:ascii="宋体"/>
          <w:color w:val="FF0000"/>
        </w:rPr>
        <w:sectPr>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line="600"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1"/>
        <w:adjustRightInd w:val="0"/>
        <w:snapToGrid w:val="0"/>
        <w:spacing w:before="0" w:beforeAutospacing="0" w:after="0" w:afterAutospacing="0" w:line="480" w:lineRule="auto"/>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p>
      <w:pPr>
        <w:pStyle w:val="21"/>
        <w:wordWrap w:val="0"/>
        <w:adjustRightInd w:val="0"/>
        <w:snapToGrid w:val="0"/>
        <w:spacing w:before="0" w:beforeAutospacing="0" w:after="0" w:afterAutospacing="0"/>
        <w:jc w:val="right"/>
        <w:outlineLvl w:val="0"/>
        <w:rPr>
          <w:rFonts w:ascii="Times New Roman" w:hAnsi="Times New Roman" w:eastAsia="方正小标宋_GBK"/>
          <w:snapToGrid w:val="0"/>
          <w:color w:val="auto"/>
          <w:sz w:val="21"/>
          <w:szCs w:val="21"/>
        </w:rPr>
      </w:pPr>
      <w:r>
        <w:rPr>
          <w:rFonts w:hint="eastAsia" w:ascii="Times New Roman" w:hAnsi="Times New Roman" w:eastAsia="方正小标宋_GBK"/>
          <w:snapToGrid w:val="0"/>
          <w:color w:val="auto"/>
          <w:sz w:val="21"/>
          <w:szCs w:val="21"/>
        </w:rPr>
        <w:t>单位：t</w:t>
      </w:r>
      <w:r>
        <w:rPr>
          <w:rFonts w:ascii="Times New Roman" w:hAnsi="Times New Roman" w:eastAsia="方正小标宋_GBK"/>
          <w:snapToGrid w:val="0"/>
          <w:color w:val="auto"/>
          <w:sz w:val="21"/>
          <w:szCs w:val="21"/>
        </w:rPr>
        <w:t xml:space="preserve">/a </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521"/>
        <w:gridCol w:w="1456"/>
        <w:gridCol w:w="1521"/>
        <w:gridCol w:w="1559"/>
        <w:gridCol w:w="1560"/>
        <w:gridCol w:w="1701"/>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4"/>
              <w:spacing w:beforeLines="0" w:afterLines="0" w:line="240" w:lineRule="auto"/>
              <w:jc w:val="right"/>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项目</w:t>
            </w:r>
          </w:p>
          <w:p>
            <w:pPr>
              <w:pStyle w:val="44"/>
              <w:spacing w:beforeLines="0" w:afterLines="0" w:line="240" w:lineRule="auto"/>
              <w:jc w:val="left"/>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分类</w:t>
            </w:r>
          </w:p>
        </w:tc>
        <w:tc>
          <w:tcPr>
            <w:tcW w:w="1417"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污染物名称</w:t>
            </w:r>
          </w:p>
        </w:tc>
        <w:tc>
          <w:tcPr>
            <w:tcW w:w="1521"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现有工程</w:t>
            </w:r>
          </w:p>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排放量（固体废物产生量）</w:t>
            </w:r>
            <w:r>
              <w:rPr>
                <w:rFonts w:hint="default" w:ascii="Times New Roman" w:hAnsi="Times New Roman" w:eastAsia="黑体" w:cs="Times New Roman"/>
                <w:snapToGrid w:val="0"/>
                <w:color w:val="auto"/>
                <w:spacing w:val="-6"/>
                <w:kern w:val="21"/>
                <w:szCs w:val="21"/>
                <w:lang w:val="en-US"/>
              </w:rPr>
              <w:fldChar w:fldCharType="begin"/>
            </w:r>
            <w:r>
              <w:rPr>
                <w:rFonts w:hint="default" w:ascii="Times New Roman" w:hAnsi="Times New Roman" w:eastAsia="黑体" w:cs="Times New Roman"/>
                <w:snapToGrid w:val="0"/>
                <w:color w:val="auto"/>
                <w:spacing w:val="-6"/>
                <w:kern w:val="21"/>
                <w:szCs w:val="21"/>
                <w:lang w:val="en-US"/>
              </w:rPr>
              <w:instrText xml:space="preserve"> = 1 \* GB3 \* MERGEFORMAT </w:instrText>
            </w:r>
            <w:r>
              <w:rPr>
                <w:rFonts w:hint="default" w:ascii="Times New Roman" w:hAnsi="Times New Roman" w:eastAsia="黑体" w:cs="Times New Roman"/>
                <w:snapToGrid w:val="0"/>
                <w:color w:val="auto"/>
                <w:spacing w:val="-6"/>
                <w:kern w:val="21"/>
                <w:szCs w:val="21"/>
                <w:lang w:val="en-US"/>
              </w:rPr>
              <w:fldChar w:fldCharType="separate"/>
            </w:r>
            <w:r>
              <w:rPr>
                <w:rFonts w:hint="default" w:ascii="Times New Roman" w:hAnsi="Times New Roman" w:eastAsia="黑体" w:cs="Times New Roman"/>
                <w:color w:val="auto"/>
                <w:kern w:val="2"/>
                <w:szCs w:val="21"/>
                <w:lang w:val="en-US"/>
              </w:rPr>
              <w:t>①</w:t>
            </w:r>
            <w:r>
              <w:rPr>
                <w:rFonts w:hint="default" w:ascii="Times New Roman" w:hAnsi="Times New Roman" w:eastAsia="黑体" w:cs="Times New Roman"/>
                <w:snapToGrid w:val="0"/>
                <w:color w:val="auto"/>
                <w:spacing w:val="-6"/>
                <w:kern w:val="21"/>
                <w:szCs w:val="21"/>
                <w:lang w:val="en-US"/>
              </w:rPr>
              <w:fldChar w:fldCharType="end"/>
            </w:r>
          </w:p>
        </w:tc>
        <w:tc>
          <w:tcPr>
            <w:tcW w:w="1456"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现有工程</w:t>
            </w:r>
          </w:p>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许可排放量</w:t>
            </w:r>
          </w:p>
          <w:p>
            <w:pPr>
              <w:pStyle w:val="44"/>
              <w:spacing w:beforeLines="0" w:afterLines="0"/>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fldChar w:fldCharType="begin"/>
            </w:r>
            <w:r>
              <w:rPr>
                <w:rFonts w:hint="default" w:ascii="Times New Roman" w:hAnsi="Times New Roman" w:eastAsia="黑体" w:cs="Times New Roman"/>
                <w:snapToGrid w:val="0"/>
                <w:color w:val="auto"/>
                <w:spacing w:val="-6"/>
                <w:kern w:val="21"/>
                <w:szCs w:val="21"/>
                <w:lang w:val="en-US"/>
              </w:rPr>
              <w:instrText xml:space="preserve"> = 2 \* GB3 \* MERGEFORMAT </w:instrText>
            </w:r>
            <w:r>
              <w:rPr>
                <w:rFonts w:hint="default" w:ascii="Times New Roman" w:hAnsi="Times New Roman" w:eastAsia="黑体" w:cs="Times New Roman"/>
                <w:snapToGrid w:val="0"/>
                <w:color w:val="auto"/>
                <w:spacing w:val="-6"/>
                <w:kern w:val="21"/>
                <w:szCs w:val="21"/>
                <w:lang w:val="en-US"/>
              </w:rPr>
              <w:fldChar w:fldCharType="separate"/>
            </w:r>
            <w:r>
              <w:rPr>
                <w:rFonts w:hint="default" w:ascii="Times New Roman" w:hAnsi="Times New Roman" w:eastAsia="黑体" w:cs="Times New Roman"/>
                <w:snapToGrid w:val="0"/>
                <w:color w:val="auto"/>
                <w:spacing w:val="-6"/>
                <w:kern w:val="21"/>
                <w:szCs w:val="21"/>
                <w:lang w:val="en-US"/>
              </w:rPr>
              <w:t>②</w:t>
            </w:r>
            <w:r>
              <w:rPr>
                <w:rFonts w:hint="default" w:ascii="Times New Roman" w:hAnsi="Times New Roman" w:eastAsia="黑体" w:cs="Times New Roman"/>
                <w:snapToGrid w:val="0"/>
                <w:color w:val="auto"/>
                <w:spacing w:val="-6"/>
                <w:kern w:val="21"/>
                <w:szCs w:val="21"/>
                <w:lang w:val="en-US"/>
              </w:rPr>
              <w:fldChar w:fldCharType="end"/>
            </w:r>
          </w:p>
        </w:tc>
        <w:tc>
          <w:tcPr>
            <w:tcW w:w="1521"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在建工程</w:t>
            </w:r>
          </w:p>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排放量（固体废物产生量）</w:t>
            </w:r>
            <w:r>
              <w:rPr>
                <w:rFonts w:hint="default" w:ascii="Times New Roman" w:hAnsi="Times New Roman" w:eastAsia="黑体" w:cs="Times New Roman"/>
                <w:snapToGrid w:val="0"/>
                <w:color w:val="auto"/>
                <w:spacing w:val="-6"/>
                <w:kern w:val="21"/>
                <w:szCs w:val="21"/>
                <w:lang w:val="en-US"/>
              </w:rPr>
              <w:fldChar w:fldCharType="begin"/>
            </w:r>
            <w:r>
              <w:rPr>
                <w:rFonts w:hint="default" w:ascii="Times New Roman" w:hAnsi="Times New Roman" w:eastAsia="黑体" w:cs="Times New Roman"/>
                <w:snapToGrid w:val="0"/>
                <w:color w:val="auto"/>
                <w:spacing w:val="-6"/>
                <w:kern w:val="21"/>
                <w:szCs w:val="21"/>
                <w:lang w:val="en-US"/>
              </w:rPr>
              <w:instrText xml:space="preserve"> = 3 \* GB3 \* MERGEFORMAT </w:instrText>
            </w:r>
            <w:r>
              <w:rPr>
                <w:rFonts w:hint="default" w:ascii="Times New Roman" w:hAnsi="Times New Roman" w:eastAsia="黑体" w:cs="Times New Roman"/>
                <w:snapToGrid w:val="0"/>
                <w:color w:val="auto"/>
                <w:spacing w:val="-6"/>
                <w:kern w:val="21"/>
                <w:szCs w:val="21"/>
                <w:lang w:val="en-US"/>
              </w:rPr>
              <w:fldChar w:fldCharType="separate"/>
            </w:r>
            <w:r>
              <w:rPr>
                <w:rFonts w:hint="default" w:ascii="Times New Roman" w:hAnsi="Times New Roman" w:eastAsia="黑体" w:cs="Times New Roman"/>
                <w:color w:val="auto"/>
                <w:kern w:val="2"/>
                <w:szCs w:val="21"/>
                <w:lang w:val="en-US"/>
              </w:rPr>
              <w:t>③</w:t>
            </w:r>
            <w:r>
              <w:rPr>
                <w:rFonts w:hint="default" w:ascii="Times New Roman" w:hAnsi="Times New Roman" w:eastAsia="黑体" w:cs="Times New Roman"/>
                <w:snapToGrid w:val="0"/>
                <w:color w:val="auto"/>
                <w:spacing w:val="-6"/>
                <w:kern w:val="21"/>
                <w:szCs w:val="21"/>
                <w:lang w:val="en-US"/>
              </w:rPr>
              <w:fldChar w:fldCharType="end"/>
            </w:r>
          </w:p>
        </w:tc>
        <w:tc>
          <w:tcPr>
            <w:tcW w:w="1559"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本项目</w:t>
            </w:r>
          </w:p>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排放量（固体废物产生量）</w:t>
            </w:r>
            <w:r>
              <w:rPr>
                <w:rFonts w:hint="default" w:ascii="Times New Roman" w:hAnsi="Times New Roman" w:eastAsia="黑体" w:cs="Times New Roman"/>
                <w:snapToGrid w:val="0"/>
                <w:color w:val="auto"/>
                <w:spacing w:val="-6"/>
                <w:kern w:val="21"/>
                <w:szCs w:val="21"/>
                <w:lang w:val="en-US"/>
              </w:rPr>
              <w:fldChar w:fldCharType="begin"/>
            </w:r>
            <w:r>
              <w:rPr>
                <w:rFonts w:hint="default" w:ascii="Times New Roman" w:hAnsi="Times New Roman" w:eastAsia="黑体" w:cs="Times New Roman"/>
                <w:snapToGrid w:val="0"/>
                <w:color w:val="auto"/>
                <w:spacing w:val="-6"/>
                <w:kern w:val="21"/>
                <w:szCs w:val="21"/>
                <w:lang w:val="en-US"/>
              </w:rPr>
              <w:instrText xml:space="preserve"> = 4 \* GB3 \* MERGEFORMAT </w:instrText>
            </w:r>
            <w:r>
              <w:rPr>
                <w:rFonts w:hint="default" w:ascii="Times New Roman" w:hAnsi="Times New Roman" w:eastAsia="黑体" w:cs="Times New Roman"/>
                <w:snapToGrid w:val="0"/>
                <w:color w:val="auto"/>
                <w:spacing w:val="-6"/>
                <w:kern w:val="21"/>
                <w:szCs w:val="21"/>
                <w:lang w:val="en-US"/>
              </w:rPr>
              <w:fldChar w:fldCharType="separate"/>
            </w:r>
            <w:r>
              <w:rPr>
                <w:rFonts w:hint="default" w:ascii="Times New Roman" w:hAnsi="Times New Roman" w:eastAsia="黑体" w:cs="Times New Roman"/>
                <w:color w:val="auto"/>
                <w:kern w:val="2"/>
                <w:szCs w:val="21"/>
                <w:lang w:val="en-US"/>
              </w:rPr>
              <w:t>④</w:t>
            </w:r>
            <w:r>
              <w:rPr>
                <w:rFonts w:hint="default" w:ascii="Times New Roman" w:hAnsi="Times New Roman" w:eastAsia="黑体" w:cs="Times New Roman"/>
                <w:snapToGrid w:val="0"/>
                <w:color w:val="auto"/>
                <w:spacing w:val="-6"/>
                <w:kern w:val="21"/>
                <w:szCs w:val="21"/>
                <w:lang w:val="en-US"/>
              </w:rPr>
              <w:fldChar w:fldCharType="end"/>
            </w:r>
          </w:p>
        </w:tc>
        <w:tc>
          <w:tcPr>
            <w:tcW w:w="1560"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16"/>
                <w:kern w:val="21"/>
                <w:szCs w:val="21"/>
                <w:lang w:val="en-US"/>
              </w:rPr>
            </w:pPr>
            <w:r>
              <w:rPr>
                <w:rFonts w:hint="default" w:ascii="Times New Roman" w:hAnsi="Times New Roman" w:eastAsia="黑体" w:cs="Times New Roman"/>
                <w:snapToGrid w:val="0"/>
                <w:color w:val="auto"/>
                <w:spacing w:val="-16"/>
                <w:kern w:val="21"/>
                <w:szCs w:val="21"/>
                <w:lang w:val="en-US"/>
              </w:rPr>
              <w:t>以新带老削减量</w:t>
            </w:r>
          </w:p>
          <w:p>
            <w:pPr>
              <w:pStyle w:val="44"/>
              <w:spacing w:beforeLines="0" w:afterLines="0" w:line="240" w:lineRule="auto"/>
              <w:rPr>
                <w:rFonts w:hint="default" w:ascii="Times New Roman" w:hAnsi="Times New Roman" w:eastAsia="黑体" w:cs="Times New Roman"/>
                <w:snapToGrid w:val="0"/>
                <w:color w:val="auto"/>
                <w:spacing w:val="-16"/>
                <w:kern w:val="21"/>
                <w:szCs w:val="21"/>
                <w:lang w:val="en-US"/>
              </w:rPr>
            </w:pPr>
            <w:r>
              <w:rPr>
                <w:rFonts w:hint="default" w:ascii="Times New Roman" w:hAnsi="Times New Roman" w:eastAsia="黑体" w:cs="Times New Roman"/>
                <w:snapToGrid w:val="0"/>
                <w:color w:val="auto"/>
                <w:spacing w:val="-16"/>
                <w:kern w:val="21"/>
                <w:szCs w:val="21"/>
                <w:lang w:val="en-US"/>
              </w:rPr>
              <w:t>（新建项目不填）</w:t>
            </w:r>
            <w:r>
              <w:rPr>
                <w:rFonts w:hint="default" w:ascii="Times New Roman" w:hAnsi="Times New Roman" w:eastAsia="黑体" w:cs="Times New Roman"/>
                <w:snapToGrid w:val="0"/>
                <w:color w:val="auto"/>
                <w:spacing w:val="-16"/>
                <w:kern w:val="21"/>
                <w:szCs w:val="21"/>
                <w:lang w:val="en-US"/>
              </w:rPr>
              <w:fldChar w:fldCharType="begin"/>
            </w:r>
            <w:r>
              <w:rPr>
                <w:rFonts w:hint="default" w:ascii="Times New Roman" w:hAnsi="Times New Roman" w:eastAsia="黑体" w:cs="Times New Roman"/>
                <w:snapToGrid w:val="0"/>
                <w:color w:val="auto"/>
                <w:spacing w:val="-16"/>
                <w:kern w:val="21"/>
                <w:szCs w:val="21"/>
                <w:lang w:val="en-US"/>
              </w:rPr>
              <w:instrText xml:space="preserve"> = 5 \* GB3 \* MERGEFORMAT </w:instrText>
            </w:r>
            <w:r>
              <w:rPr>
                <w:rFonts w:hint="default" w:ascii="Times New Roman" w:hAnsi="Times New Roman" w:eastAsia="黑体" w:cs="Times New Roman"/>
                <w:snapToGrid w:val="0"/>
                <w:color w:val="auto"/>
                <w:spacing w:val="-16"/>
                <w:kern w:val="21"/>
                <w:szCs w:val="21"/>
                <w:lang w:val="en-US"/>
              </w:rPr>
              <w:fldChar w:fldCharType="separate"/>
            </w:r>
            <w:r>
              <w:rPr>
                <w:rFonts w:hint="default" w:ascii="Times New Roman" w:hAnsi="Times New Roman" w:eastAsia="黑体" w:cs="Times New Roman"/>
                <w:color w:val="auto"/>
                <w:kern w:val="2"/>
                <w:szCs w:val="21"/>
                <w:lang w:val="en-US"/>
              </w:rPr>
              <w:t>⑤</w:t>
            </w:r>
            <w:r>
              <w:rPr>
                <w:rFonts w:hint="default" w:ascii="Times New Roman" w:hAnsi="Times New Roman" w:eastAsia="黑体" w:cs="Times New Roman"/>
                <w:snapToGrid w:val="0"/>
                <w:color w:val="auto"/>
                <w:spacing w:val="-16"/>
                <w:kern w:val="21"/>
                <w:szCs w:val="21"/>
                <w:lang w:val="en-US"/>
              </w:rPr>
              <w:fldChar w:fldCharType="end"/>
            </w:r>
          </w:p>
        </w:tc>
        <w:tc>
          <w:tcPr>
            <w:tcW w:w="1701"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16"/>
                <w:kern w:val="21"/>
                <w:szCs w:val="21"/>
                <w:lang w:val="en-US"/>
              </w:rPr>
            </w:pPr>
            <w:r>
              <w:rPr>
                <w:rFonts w:hint="default" w:ascii="Times New Roman" w:hAnsi="Times New Roman" w:eastAsia="黑体" w:cs="Times New Roman"/>
                <w:snapToGrid w:val="0"/>
                <w:color w:val="auto"/>
                <w:spacing w:val="-16"/>
                <w:kern w:val="21"/>
                <w:szCs w:val="21"/>
                <w:lang w:val="en-US"/>
              </w:rPr>
              <w:t>本项目建成后</w:t>
            </w:r>
          </w:p>
          <w:p>
            <w:pPr>
              <w:pStyle w:val="44"/>
              <w:spacing w:beforeLines="0" w:afterLines="0" w:line="240" w:lineRule="auto"/>
              <w:rPr>
                <w:rFonts w:hint="default" w:ascii="Times New Roman" w:hAnsi="Times New Roman" w:eastAsia="黑体" w:cs="Times New Roman"/>
                <w:snapToGrid w:val="0"/>
                <w:color w:val="auto"/>
                <w:spacing w:val="-16"/>
                <w:kern w:val="21"/>
                <w:szCs w:val="21"/>
                <w:lang w:val="en-US"/>
              </w:rPr>
            </w:pPr>
            <w:r>
              <w:rPr>
                <w:rFonts w:hint="default" w:ascii="Times New Roman" w:hAnsi="Times New Roman" w:eastAsia="黑体" w:cs="Times New Roman"/>
                <w:snapToGrid w:val="0"/>
                <w:color w:val="auto"/>
                <w:spacing w:val="-16"/>
                <w:kern w:val="21"/>
                <w:szCs w:val="21"/>
                <w:lang w:val="en-US"/>
              </w:rPr>
              <w:t>全厂排放量（固体废物产生量）</w:t>
            </w:r>
            <w:r>
              <w:rPr>
                <w:rFonts w:hint="default" w:ascii="Times New Roman" w:hAnsi="Times New Roman" w:eastAsia="黑体" w:cs="Times New Roman"/>
                <w:snapToGrid w:val="0"/>
                <w:color w:val="auto"/>
                <w:spacing w:val="-16"/>
                <w:kern w:val="21"/>
                <w:szCs w:val="21"/>
                <w:lang w:val="en-US"/>
              </w:rPr>
              <w:fldChar w:fldCharType="begin"/>
            </w:r>
            <w:r>
              <w:rPr>
                <w:rFonts w:hint="default" w:ascii="Times New Roman" w:hAnsi="Times New Roman" w:eastAsia="黑体" w:cs="Times New Roman"/>
                <w:snapToGrid w:val="0"/>
                <w:color w:val="auto"/>
                <w:spacing w:val="-16"/>
                <w:kern w:val="21"/>
                <w:szCs w:val="21"/>
                <w:lang w:val="en-US"/>
              </w:rPr>
              <w:instrText xml:space="preserve"> = 6 \* GB3 \* MERGEFORMAT </w:instrText>
            </w:r>
            <w:r>
              <w:rPr>
                <w:rFonts w:hint="default" w:ascii="Times New Roman" w:hAnsi="Times New Roman" w:eastAsia="黑体" w:cs="Times New Roman"/>
                <w:snapToGrid w:val="0"/>
                <w:color w:val="auto"/>
                <w:spacing w:val="-16"/>
                <w:kern w:val="21"/>
                <w:szCs w:val="21"/>
                <w:lang w:val="en-US"/>
              </w:rPr>
              <w:fldChar w:fldCharType="separate"/>
            </w:r>
            <w:r>
              <w:rPr>
                <w:rFonts w:hint="default" w:ascii="Times New Roman" w:hAnsi="Times New Roman" w:eastAsia="黑体" w:cs="Times New Roman"/>
                <w:color w:val="auto"/>
                <w:kern w:val="2"/>
                <w:szCs w:val="21"/>
                <w:lang w:val="en-US"/>
              </w:rPr>
              <w:t>⑥</w:t>
            </w:r>
            <w:r>
              <w:rPr>
                <w:rFonts w:hint="default" w:ascii="Times New Roman" w:hAnsi="Times New Roman" w:eastAsia="黑体" w:cs="Times New Roman"/>
                <w:snapToGrid w:val="0"/>
                <w:color w:val="auto"/>
                <w:spacing w:val="-16"/>
                <w:kern w:val="21"/>
                <w:szCs w:val="21"/>
                <w:lang w:val="en-US"/>
              </w:rPr>
              <w:fldChar w:fldCharType="end"/>
            </w:r>
          </w:p>
        </w:tc>
        <w:tc>
          <w:tcPr>
            <w:tcW w:w="1465"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t>变化量</w:t>
            </w:r>
          </w:p>
          <w:p>
            <w:pPr>
              <w:pStyle w:val="44"/>
              <w:spacing w:beforeLines="0" w:afterLines="0" w:line="240" w:lineRule="auto"/>
              <w:rPr>
                <w:rFonts w:hint="default" w:ascii="Times New Roman" w:hAnsi="Times New Roman" w:eastAsia="黑体" w:cs="Times New Roman"/>
                <w:snapToGrid w:val="0"/>
                <w:color w:val="auto"/>
                <w:spacing w:val="-6"/>
                <w:kern w:val="21"/>
                <w:szCs w:val="21"/>
                <w:lang w:val="en-US"/>
              </w:rPr>
            </w:pPr>
            <w:r>
              <w:rPr>
                <w:rFonts w:hint="default" w:ascii="Times New Roman" w:hAnsi="Times New Roman" w:eastAsia="黑体" w:cs="Times New Roman"/>
                <w:snapToGrid w:val="0"/>
                <w:color w:val="auto"/>
                <w:spacing w:val="-6"/>
                <w:kern w:val="21"/>
                <w:szCs w:val="21"/>
                <w:lang w:val="en-US"/>
              </w:rPr>
              <w:fldChar w:fldCharType="begin"/>
            </w:r>
            <w:r>
              <w:rPr>
                <w:rFonts w:hint="default" w:ascii="Times New Roman" w:hAnsi="Times New Roman" w:eastAsia="黑体" w:cs="Times New Roman"/>
                <w:snapToGrid w:val="0"/>
                <w:color w:val="auto"/>
                <w:spacing w:val="-6"/>
                <w:kern w:val="21"/>
                <w:szCs w:val="21"/>
                <w:lang w:val="en-US"/>
              </w:rPr>
              <w:instrText xml:space="preserve"> = 7 \* GB3 \* MERGEFORMAT </w:instrText>
            </w:r>
            <w:r>
              <w:rPr>
                <w:rFonts w:hint="default" w:ascii="Times New Roman" w:hAnsi="Times New Roman" w:eastAsia="黑体" w:cs="Times New Roman"/>
                <w:snapToGrid w:val="0"/>
                <w:color w:val="auto"/>
                <w:spacing w:val="-6"/>
                <w:kern w:val="21"/>
                <w:szCs w:val="21"/>
                <w:lang w:val="en-US"/>
              </w:rPr>
              <w:fldChar w:fldCharType="separate"/>
            </w:r>
            <w:r>
              <w:rPr>
                <w:rFonts w:hint="default" w:ascii="Times New Roman" w:hAnsi="Times New Roman" w:eastAsia="黑体" w:cs="Times New Roman"/>
                <w:color w:val="auto"/>
                <w:kern w:val="2"/>
                <w:szCs w:val="21"/>
                <w:lang w:val="en-US"/>
              </w:rPr>
              <w:t>⑦</w:t>
            </w:r>
            <w:r>
              <w:rPr>
                <w:rFonts w:hint="default" w:ascii="Times New Roman" w:hAnsi="Times New Roman" w:eastAsia="黑体" w:cs="Times New Roman"/>
                <w:snapToGrid w:val="0"/>
                <w:color w:val="auto"/>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rPr>
              <w:t>废气</w:t>
            </w:r>
          </w:p>
        </w:tc>
        <w:tc>
          <w:tcPr>
            <w:tcW w:w="141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color w:val="auto"/>
                <w:szCs w:val="21"/>
              </w:rPr>
              <w:t>非甲烷总烃</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0.0427</w:t>
            </w:r>
          </w:p>
        </w:tc>
        <w:tc>
          <w:tcPr>
            <w:tcW w:w="1456" w:type="dxa"/>
            <w:vAlign w:val="center"/>
          </w:tcPr>
          <w:p>
            <w:pPr>
              <w:pStyle w:val="44"/>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bidi="ar-SA"/>
              </w:rPr>
              <w:t>/</w:t>
            </w:r>
          </w:p>
        </w:tc>
        <w:tc>
          <w:tcPr>
            <w:tcW w:w="1521" w:type="dxa"/>
            <w:vAlign w:val="center"/>
          </w:tcPr>
          <w:p>
            <w:pPr>
              <w:pStyle w:val="44"/>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bidi="ar-SA"/>
              </w:rPr>
              <w:t>/</w:t>
            </w:r>
          </w:p>
        </w:tc>
        <w:tc>
          <w:tcPr>
            <w:tcW w:w="1559"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0.0229</w:t>
            </w:r>
          </w:p>
        </w:tc>
        <w:tc>
          <w:tcPr>
            <w:tcW w:w="156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0.0427</w:t>
            </w:r>
          </w:p>
        </w:tc>
        <w:tc>
          <w:tcPr>
            <w:tcW w:w="1701"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0.0229</w:t>
            </w:r>
          </w:p>
        </w:tc>
        <w:tc>
          <w:tcPr>
            <w:tcW w:w="1465"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rPr>
              <w:t>废水</w:t>
            </w:r>
          </w:p>
        </w:tc>
        <w:tc>
          <w:tcPr>
            <w:tcW w:w="141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bCs/>
                <w:color w:val="auto"/>
                <w:spacing w:val="-4"/>
                <w:szCs w:val="21"/>
              </w:rPr>
              <w:t>COD</w:t>
            </w:r>
          </w:p>
        </w:tc>
        <w:tc>
          <w:tcPr>
            <w:tcW w:w="1521"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59"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56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70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65"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41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bCs/>
                <w:color w:val="auto"/>
                <w:spacing w:val="-4"/>
                <w:szCs w:val="21"/>
              </w:rPr>
              <w:t>NH</w:t>
            </w:r>
            <w:r>
              <w:rPr>
                <w:rFonts w:hint="default" w:ascii="Times New Roman" w:hAnsi="Times New Roman" w:cs="Times New Roman"/>
                <w:bCs/>
                <w:color w:val="auto"/>
                <w:spacing w:val="-4"/>
                <w:szCs w:val="21"/>
                <w:vertAlign w:val="subscript"/>
              </w:rPr>
              <w:t>3</w:t>
            </w:r>
            <w:r>
              <w:rPr>
                <w:rFonts w:hint="default" w:ascii="Times New Roman" w:hAnsi="Times New Roman" w:cs="Times New Roman"/>
                <w:bCs/>
                <w:color w:val="auto"/>
                <w:spacing w:val="-4"/>
                <w:szCs w:val="21"/>
              </w:rPr>
              <w:t>-N</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59"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56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70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65"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41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bCs/>
                <w:color w:val="auto"/>
                <w:spacing w:val="-4"/>
                <w:szCs w:val="21"/>
              </w:rPr>
              <w:t>TP</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59"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56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70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65"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41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bCs/>
                <w:color w:val="auto"/>
                <w:spacing w:val="-4"/>
                <w:szCs w:val="21"/>
              </w:rPr>
              <w:t>TN</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 w:val="21"/>
                <w:szCs w:val="21"/>
                <w:lang w:val="en-US" w:eastAsia="zh-CN" w:bidi="ar-SA"/>
              </w:rPr>
              <w:t>/</w:t>
            </w:r>
          </w:p>
        </w:tc>
        <w:tc>
          <w:tcPr>
            <w:tcW w:w="1559"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56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70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c>
          <w:tcPr>
            <w:tcW w:w="1465"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rPr>
              <w:t>危险废物</w:t>
            </w: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color w:val="auto"/>
                <w:sz w:val="21"/>
                <w:szCs w:val="21"/>
                <w:lang w:val="en-US" w:eastAsia="zh-CN"/>
              </w:rPr>
              <w:t>清罐油泥</w:t>
            </w:r>
          </w:p>
        </w:tc>
        <w:tc>
          <w:tcPr>
            <w:tcW w:w="1521"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0.02</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559" w:type="dxa"/>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0.055</w:t>
            </w:r>
          </w:p>
        </w:tc>
        <w:tc>
          <w:tcPr>
            <w:tcW w:w="1560"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1701" w:type="dxa"/>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0.055</w:t>
            </w:r>
          </w:p>
        </w:tc>
        <w:tc>
          <w:tcPr>
            <w:tcW w:w="1465"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lang w:val="en-US"/>
              </w:rPr>
            </w:pPr>
            <w:r>
              <w:rPr>
                <w:rFonts w:hint="eastAsia" w:ascii="Times New Roman" w:hAnsi="Times New Roman" w:cs="Times New Roman"/>
                <w:color w:val="000000"/>
                <w:sz w:val="21"/>
                <w:szCs w:val="21"/>
                <w:lang w:val="en-US" w:eastAsia="zh-CN"/>
              </w:rPr>
              <w:t>油水烃混合物</w:t>
            </w:r>
          </w:p>
        </w:tc>
        <w:tc>
          <w:tcPr>
            <w:tcW w:w="1521"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c>
          <w:tcPr>
            <w:tcW w:w="145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521"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rPr>
            </w:pPr>
          </w:p>
        </w:tc>
        <w:tc>
          <w:tcPr>
            <w:tcW w:w="1559" w:type="dxa"/>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4"/>
                <w:sz w:val="21"/>
                <w:szCs w:val="21"/>
                <w:highlight w:val="none"/>
                <w:lang w:val="en-US" w:eastAsia="zh-CN"/>
              </w:rPr>
              <w:t>0.84</w:t>
            </w:r>
          </w:p>
        </w:tc>
        <w:tc>
          <w:tcPr>
            <w:tcW w:w="1560"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1701" w:type="dxa"/>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4"/>
                <w:sz w:val="21"/>
                <w:szCs w:val="21"/>
                <w:highlight w:val="none"/>
                <w:lang w:val="en-US" w:eastAsia="zh-CN"/>
              </w:rPr>
              <w:t>0.84</w:t>
            </w:r>
          </w:p>
        </w:tc>
        <w:tc>
          <w:tcPr>
            <w:tcW w:w="1465" w:type="dxa"/>
            <w:vAlign w:val="center"/>
          </w:tcPr>
          <w:p>
            <w:pPr>
              <w:keepNext w:val="0"/>
              <w:keepLines w:val="0"/>
              <w:pageBreakBefore w:val="0"/>
              <w:widowControl/>
              <w:suppressLineNumbers w:val="0"/>
              <w:kinsoku/>
              <w:wordWrap/>
              <w:overflowPunct/>
              <w:topLinePunct w:val="0"/>
              <w:bidi w:val="0"/>
              <w:adjustRightIn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+0.84</w:t>
            </w:r>
          </w:p>
        </w:tc>
      </w:tr>
    </w:tbl>
    <w:p>
      <w:pPr>
        <w:pStyle w:val="44"/>
        <w:spacing w:before="192" w:beforeLines="80" w:after="24"/>
        <w:jc w:val="left"/>
        <w:rPr>
          <w:rFonts w:hAnsi="宋体"/>
          <w:snapToGrid w:val="0"/>
          <w:color w:val="auto"/>
          <w:spacing w:val="-6"/>
          <w:kern w:val="21"/>
          <w:szCs w:val="21"/>
          <w:lang w:val="en-US"/>
        </w:rPr>
        <w:sectPr>
          <w:footerReference r:id="rId4" w:type="default"/>
          <w:pgSz w:w="16838" w:h="11906" w:orient="landscape"/>
          <w:pgMar w:top="1701" w:right="1531" w:bottom="1701" w:left="1531" w:header="851" w:footer="851" w:gutter="0"/>
          <w:cols w:space="720" w:num="1"/>
          <w:docGrid w:linePitch="312" w:charSpace="0"/>
        </w:sectPr>
      </w:pPr>
      <w:r>
        <w:rPr>
          <w:rFonts w:hAnsi="宋体"/>
          <w:snapToGrid w:val="0"/>
          <w:color w:val="auto"/>
          <w:kern w:val="21"/>
          <w:szCs w:val="21"/>
        </w:rPr>
        <w:t>注</w:t>
      </w:r>
      <w:r>
        <w:rPr>
          <w:rFonts w:hAnsi="宋体"/>
          <w:snapToGrid w:val="0"/>
          <w:color w:val="auto"/>
          <w:kern w:val="21"/>
          <w:szCs w:val="21"/>
          <w:lang w:val="en-US"/>
        </w:rPr>
        <w:t>：</w:t>
      </w:r>
      <w:r>
        <w:rPr>
          <w:rFonts w:hAnsi="宋体"/>
          <w:snapToGrid w:val="0"/>
          <w:color w:val="auto"/>
          <w:spacing w:val="-16"/>
          <w:kern w:val="21"/>
          <w:szCs w:val="21"/>
        </w:rPr>
        <w:fldChar w:fldCharType="begin"/>
      </w:r>
      <w:r>
        <w:rPr>
          <w:rFonts w:hAnsi="宋体"/>
          <w:snapToGrid w:val="0"/>
          <w:color w:val="auto"/>
          <w:spacing w:val="-16"/>
          <w:kern w:val="21"/>
          <w:szCs w:val="21"/>
          <w:lang w:val="en-US"/>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lang w:val="en-US"/>
        </w:rPr>
        <w:t>⑥</w:t>
      </w:r>
      <w:r>
        <w:rPr>
          <w:rFonts w:hAnsi="宋体"/>
          <w:snapToGrid w:val="0"/>
          <w:color w:val="auto"/>
          <w:spacing w:val="-16"/>
          <w:kern w:val="21"/>
          <w:szCs w:val="21"/>
        </w:rPr>
        <w:fldChar w:fldCharType="end"/>
      </w:r>
      <w:r>
        <w:rPr>
          <w:rFonts w:hAnsi="宋体"/>
          <w:snapToGrid w:val="0"/>
          <w:color w:val="auto"/>
          <w:spacing w:val="-16"/>
          <w:kern w:val="21"/>
          <w:szCs w:val="21"/>
          <w:lang w:val="en-US"/>
        </w:rPr>
        <w:t>=</w:t>
      </w:r>
      <w:r>
        <w:rPr>
          <w:rFonts w:hAnsi="宋体"/>
          <w:snapToGrid w:val="0"/>
          <w:color w:val="auto"/>
          <w:spacing w:val="-6"/>
          <w:kern w:val="21"/>
          <w:szCs w:val="21"/>
        </w:rPr>
        <w:fldChar w:fldCharType="begin"/>
      </w:r>
      <w:r>
        <w:rPr>
          <w:rFonts w:hAnsi="宋体"/>
          <w:snapToGrid w:val="0"/>
          <w:color w:val="auto"/>
          <w:spacing w:val="-6"/>
          <w:kern w:val="21"/>
          <w:szCs w:val="21"/>
          <w:lang w:val="en-US"/>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lang w:val="en-US"/>
        </w:rPr>
        <w:t>①</w:t>
      </w:r>
      <w:r>
        <w:rPr>
          <w:rFonts w:hAnsi="宋体"/>
          <w:snapToGrid w:val="0"/>
          <w:color w:val="auto"/>
          <w:spacing w:val="-6"/>
          <w:kern w:val="21"/>
          <w:szCs w:val="21"/>
        </w:rPr>
        <w:fldChar w:fldCharType="end"/>
      </w:r>
      <w:r>
        <w:rPr>
          <w:rFonts w:hAnsi="宋体"/>
          <w:snapToGrid w:val="0"/>
          <w:color w:val="auto"/>
          <w:spacing w:val="-6"/>
          <w:kern w:val="21"/>
          <w:szCs w:val="21"/>
          <w:lang w:val="en-US"/>
        </w:rPr>
        <w:t>+</w:t>
      </w:r>
      <w:r>
        <w:rPr>
          <w:rFonts w:hAnsi="宋体"/>
          <w:snapToGrid w:val="0"/>
          <w:color w:val="auto"/>
          <w:spacing w:val="-6"/>
          <w:kern w:val="21"/>
          <w:szCs w:val="21"/>
        </w:rPr>
        <w:fldChar w:fldCharType="begin"/>
      </w:r>
      <w:r>
        <w:rPr>
          <w:rFonts w:hAnsi="宋体"/>
          <w:snapToGrid w:val="0"/>
          <w:color w:val="auto"/>
          <w:spacing w:val="-6"/>
          <w:kern w:val="21"/>
          <w:szCs w:val="21"/>
          <w:lang w:val="en-US"/>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lang w:val="en-US"/>
        </w:rPr>
        <w:t>③</w:t>
      </w:r>
      <w:r>
        <w:rPr>
          <w:rFonts w:hAnsi="宋体"/>
          <w:snapToGrid w:val="0"/>
          <w:color w:val="auto"/>
          <w:spacing w:val="-6"/>
          <w:kern w:val="21"/>
          <w:szCs w:val="21"/>
        </w:rPr>
        <w:fldChar w:fldCharType="end"/>
      </w:r>
      <w:r>
        <w:rPr>
          <w:rFonts w:hAnsi="宋体"/>
          <w:snapToGrid w:val="0"/>
          <w:color w:val="auto"/>
          <w:spacing w:val="-6"/>
          <w:kern w:val="21"/>
          <w:szCs w:val="21"/>
          <w:lang w:val="en-US"/>
        </w:rPr>
        <w:t>+</w:t>
      </w:r>
      <w:r>
        <w:rPr>
          <w:rFonts w:hAnsi="宋体"/>
          <w:snapToGrid w:val="0"/>
          <w:color w:val="auto"/>
          <w:spacing w:val="-6"/>
          <w:kern w:val="21"/>
          <w:szCs w:val="21"/>
        </w:rPr>
        <w:fldChar w:fldCharType="begin"/>
      </w:r>
      <w:r>
        <w:rPr>
          <w:rFonts w:hAnsi="宋体"/>
          <w:snapToGrid w:val="0"/>
          <w:color w:val="auto"/>
          <w:spacing w:val="-6"/>
          <w:kern w:val="21"/>
          <w:szCs w:val="21"/>
          <w:lang w:val="en-US"/>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lang w:val="en-US"/>
        </w:rPr>
        <w:t>④</w:t>
      </w:r>
      <w:r>
        <w:rPr>
          <w:rFonts w:hAnsi="宋体"/>
          <w:snapToGrid w:val="0"/>
          <w:color w:val="auto"/>
          <w:spacing w:val="-6"/>
          <w:kern w:val="21"/>
          <w:szCs w:val="21"/>
        </w:rPr>
        <w:fldChar w:fldCharType="end"/>
      </w:r>
      <w:r>
        <w:rPr>
          <w:rFonts w:hAnsi="宋体"/>
          <w:snapToGrid w:val="0"/>
          <w:color w:val="auto"/>
          <w:spacing w:val="-6"/>
          <w:kern w:val="21"/>
          <w:szCs w:val="21"/>
          <w:lang w:val="en-US"/>
        </w:rPr>
        <w:t>-</w:t>
      </w:r>
      <w:r>
        <w:rPr>
          <w:rFonts w:hAnsi="宋体"/>
          <w:snapToGrid w:val="0"/>
          <w:color w:val="auto"/>
          <w:spacing w:val="-16"/>
          <w:kern w:val="21"/>
          <w:szCs w:val="21"/>
        </w:rPr>
        <w:fldChar w:fldCharType="begin"/>
      </w:r>
      <w:r>
        <w:rPr>
          <w:rFonts w:hAnsi="宋体"/>
          <w:snapToGrid w:val="0"/>
          <w:color w:val="auto"/>
          <w:spacing w:val="-16"/>
          <w:kern w:val="21"/>
          <w:szCs w:val="21"/>
          <w:lang w:val="en-US"/>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lang w:val="en-US"/>
        </w:rPr>
        <w:t>⑤</w:t>
      </w:r>
      <w:r>
        <w:rPr>
          <w:rFonts w:hAnsi="宋体"/>
          <w:snapToGrid w:val="0"/>
          <w:color w:val="auto"/>
          <w:spacing w:val="-16"/>
          <w:kern w:val="21"/>
          <w:szCs w:val="21"/>
        </w:rPr>
        <w:fldChar w:fldCharType="end"/>
      </w:r>
      <w:r>
        <w:rPr>
          <w:rFonts w:hAnsi="宋体"/>
          <w:snapToGrid w:val="0"/>
          <w:color w:val="auto"/>
          <w:spacing w:val="-16"/>
          <w:kern w:val="21"/>
          <w:szCs w:val="21"/>
          <w:lang w:val="en-US"/>
        </w:rPr>
        <w:t>；</w:t>
      </w:r>
      <w:r>
        <w:rPr>
          <w:rFonts w:hAnsi="宋体"/>
          <w:snapToGrid w:val="0"/>
          <w:color w:val="auto"/>
          <w:spacing w:val="-6"/>
          <w:kern w:val="21"/>
          <w:szCs w:val="21"/>
        </w:rPr>
        <w:fldChar w:fldCharType="begin"/>
      </w:r>
      <w:r>
        <w:rPr>
          <w:rFonts w:hAnsi="宋体"/>
          <w:snapToGrid w:val="0"/>
          <w:color w:val="auto"/>
          <w:spacing w:val="-6"/>
          <w:kern w:val="21"/>
          <w:szCs w:val="21"/>
          <w:lang w:val="en-US"/>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lang w:val="en-US"/>
        </w:rPr>
        <w:t>⑦</w:t>
      </w:r>
      <w:r>
        <w:rPr>
          <w:rFonts w:hAnsi="宋体"/>
          <w:snapToGrid w:val="0"/>
          <w:color w:val="auto"/>
          <w:spacing w:val="-6"/>
          <w:kern w:val="21"/>
          <w:szCs w:val="21"/>
        </w:rPr>
        <w:fldChar w:fldCharType="end"/>
      </w:r>
      <w:r>
        <w:rPr>
          <w:rFonts w:hAnsi="宋体"/>
          <w:snapToGrid w:val="0"/>
          <w:color w:val="auto"/>
          <w:spacing w:val="-6"/>
          <w:kern w:val="21"/>
          <w:szCs w:val="21"/>
          <w:lang w:val="en-US"/>
        </w:rPr>
        <w:t>=</w:t>
      </w:r>
      <w:r>
        <w:rPr>
          <w:rFonts w:hAnsi="宋体"/>
          <w:snapToGrid w:val="0"/>
          <w:color w:val="auto"/>
          <w:spacing w:val="-16"/>
          <w:kern w:val="21"/>
          <w:szCs w:val="21"/>
        </w:rPr>
        <w:fldChar w:fldCharType="begin"/>
      </w:r>
      <w:r>
        <w:rPr>
          <w:rFonts w:hAnsi="宋体"/>
          <w:snapToGrid w:val="0"/>
          <w:color w:val="auto"/>
          <w:spacing w:val="-16"/>
          <w:kern w:val="21"/>
          <w:szCs w:val="21"/>
          <w:lang w:val="en-US"/>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lang w:val="en-US"/>
        </w:rPr>
        <w:t>⑥</w:t>
      </w:r>
      <w:r>
        <w:rPr>
          <w:rFonts w:hAnsi="宋体"/>
          <w:snapToGrid w:val="0"/>
          <w:color w:val="auto"/>
          <w:spacing w:val="-16"/>
          <w:kern w:val="21"/>
          <w:szCs w:val="21"/>
        </w:rPr>
        <w:fldChar w:fldCharType="end"/>
      </w:r>
      <w:r>
        <w:rPr>
          <w:rFonts w:hAnsi="宋体"/>
          <w:snapToGrid w:val="0"/>
          <w:color w:val="auto"/>
          <w:spacing w:val="-16"/>
          <w:kern w:val="21"/>
          <w:szCs w:val="21"/>
          <w:lang w:val="en-US"/>
        </w:rPr>
        <w:t>-</w:t>
      </w:r>
      <w:r>
        <w:rPr>
          <w:rFonts w:hAnsi="宋体"/>
          <w:snapToGrid w:val="0"/>
          <w:color w:val="auto"/>
          <w:spacing w:val="-6"/>
          <w:kern w:val="21"/>
          <w:szCs w:val="21"/>
        </w:rPr>
        <w:fldChar w:fldCharType="begin"/>
      </w:r>
      <w:r>
        <w:rPr>
          <w:rFonts w:hAnsi="宋体"/>
          <w:snapToGrid w:val="0"/>
          <w:color w:val="auto"/>
          <w:spacing w:val="-6"/>
          <w:kern w:val="21"/>
          <w:szCs w:val="21"/>
          <w:lang w:val="en-US"/>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lang w:val="en-US"/>
        </w:rPr>
        <w:t>①</w:t>
      </w:r>
      <w:r>
        <w:rPr>
          <w:rFonts w:hAnsi="宋体"/>
          <w:snapToGrid w:val="0"/>
          <w:color w:val="auto"/>
          <w:spacing w:val="-6"/>
          <w:kern w:val="21"/>
          <w:szCs w:val="21"/>
        </w:rPr>
        <w:fldChar w:fldCharType="end"/>
      </w:r>
    </w:p>
    <w:p>
      <w:pPr>
        <w:jc w:val="center"/>
        <w:rPr>
          <w:rFonts w:hint="eastAsia"/>
          <w:color w:val="FF0000"/>
        </w:rPr>
      </w:pPr>
      <w:r>
        <w:rPr>
          <w:color w:val="FF0000"/>
        </w:rPr>
        <mc:AlternateContent>
          <mc:Choice Requires="wps">
            <w:drawing>
              <wp:anchor distT="0" distB="0" distL="114300" distR="114300" simplePos="0" relativeHeight="251663360" behindDoc="0" locked="0" layoutInCell="1" allowOverlap="1">
                <wp:simplePos x="0" y="0"/>
                <wp:positionH relativeFrom="column">
                  <wp:posOffset>1954530</wp:posOffset>
                </wp:positionH>
                <wp:positionV relativeFrom="paragraph">
                  <wp:posOffset>5614670</wp:posOffset>
                </wp:positionV>
                <wp:extent cx="776605" cy="342900"/>
                <wp:effectExtent l="351790" t="9525" r="14605" b="104775"/>
                <wp:wrapNone/>
                <wp:docPr id="12"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86592"/>
                            <a:gd name="adj2" fmla="val 65601"/>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b/>
                                <w:bCs/>
                                <w:color w:val="FF0000"/>
                                <w:sz w:val="28"/>
                                <w:szCs w:val="28"/>
                              </w:rPr>
                            </w:pPr>
                            <w:r>
                              <w:rPr>
                                <w:rFonts w:hint="eastAsia"/>
                                <w:b/>
                                <w:bCs/>
                                <w:color w:val="FF0000"/>
                                <w:sz w:val="28"/>
                                <w:szCs w:val="28"/>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 o:spid="_x0000_s1026" o:spt="61" type="#_x0000_t61" style="position:absolute;left:0pt;margin-left:153.9pt;margin-top:442.1pt;height:27pt;width:61.15pt;z-index:251663360;v-text-anchor:middle;mso-width-relative:page;mso-height-relative:page;" filled="f" stroked="t" coordsize="21600,21600" o:gfxdata="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zktqhNoAAAALAQAADwAAAAAAAAABACAAAAAiAAAAZHJzL2Rv&#10;d25yZXYueG1sUEsBAhQAFAAAAAgAh07iQOctlZSqAgAAOwUAAA4AAAAAAAAAAQAgAAAAKQEAAGRy&#10;cy9lMm9Eb2MueG1sUEsFBgAAAAAGAAYAWQEAAEUGAAAAAA==&#10;" adj="-7904,24970">
                <v:fill on="f" focussize="0,0"/>
                <v:stroke weight="1.5pt" color="#FF0000 [3204]" miterlimit="8" joinstyle="miter"/>
                <v:imagedata o:title=""/>
                <o:lock v:ext="edit" aspectratio="f"/>
                <v:textbox>
                  <w:txbxContent>
                    <w:p>
                      <w:pPr>
                        <w:spacing w:line="360" w:lineRule="exact"/>
                        <w:jc w:val="center"/>
                        <w:rPr>
                          <w:b/>
                          <w:bCs/>
                          <w:color w:val="FF0000"/>
                          <w:sz w:val="28"/>
                          <w:szCs w:val="28"/>
                        </w:rPr>
                      </w:pPr>
                      <w:r>
                        <w:rPr>
                          <w:rFonts w:hint="eastAsia"/>
                          <w:b/>
                          <w:bCs/>
                          <w:color w:val="FF0000"/>
                          <w:sz w:val="28"/>
                          <w:szCs w:val="28"/>
                        </w:rPr>
                        <w:t>本项目</w:t>
                      </w:r>
                    </w:p>
                  </w:txbxContent>
                </v:textbox>
              </v:shape>
            </w:pict>
          </mc:Fallback>
        </mc:AlternateContent>
      </w:r>
      <w:r>
        <w:rPr>
          <w:color w:val="FF0000"/>
        </w:rPr>
        <mc:AlternateContent>
          <mc:Choice Requires="wps">
            <w:drawing>
              <wp:anchor distT="0" distB="0" distL="114300" distR="114300" simplePos="0" relativeHeight="251662336" behindDoc="0" locked="0" layoutInCell="1" allowOverlap="1">
                <wp:simplePos x="0" y="0"/>
                <wp:positionH relativeFrom="column">
                  <wp:posOffset>1509395</wp:posOffset>
                </wp:positionH>
                <wp:positionV relativeFrom="paragraph">
                  <wp:posOffset>6025515</wp:posOffset>
                </wp:positionV>
                <wp:extent cx="102235" cy="85090"/>
                <wp:effectExtent l="6350" t="6350" r="24765" b="22860"/>
                <wp:wrapNone/>
                <wp:docPr id="13" name="椭圆 13"/>
                <wp:cNvGraphicFramePr/>
                <a:graphic xmlns:a="http://schemas.openxmlformats.org/drawingml/2006/main">
                  <a:graphicData uri="http://schemas.microsoft.com/office/word/2010/wordprocessingShape">
                    <wps:wsp>
                      <wps:cNvSpPr/>
                      <wps:spPr>
                        <a:xfrm>
                          <a:off x="0" y="0"/>
                          <a:ext cx="102235" cy="8509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8.85pt;margin-top:474.45pt;height:6.7pt;width:8.05pt;z-index:251662336;v-text-anchor:middle;mso-width-relative:page;mso-height-relative:page;" fillcolor="#FF0000" filled="t" stroked="t" coordsize="21600,21600" o:gfxdata="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KaZmtsAAAALAQAADwAAAAAAAAABACAAAAAiAAAAZHJzL2Rv&#10;d25yZXYueG1sUEsBAhQAFAAAAAgAh07iQBJxMIRwAgAA9wQAAA4AAAAAAAAAAQAgAAAAKgEAAGRy&#10;cy9lMm9Eb2MueG1sUEsFBgAAAAAGAAYAWQEAAAwGAAAAAA==&#10;">
                <v:fill on="t" focussize="0,0"/>
                <v:stroke weight="1pt" color="#000000 [3213]" miterlimit="8" joinstyle="miter"/>
                <v:imagedata o:title=""/>
                <o:lock v:ext="edit" aspectratio="f"/>
              </v:shape>
            </w:pict>
          </mc:Fallback>
        </mc:AlternateContent>
      </w:r>
      <w:r>
        <w:rPr>
          <w:color w:val="FF0000"/>
        </w:rPr>
        <mc:AlternateContent>
          <mc:Choice Requires="wps">
            <w:drawing>
              <wp:anchor distT="0" distB="0" distL="114300" distR="114300" simplePos="0" relativeHeight="251661312" behindDoc="0" locked="0" layoutInCell="1" allowOverlap="1">
                <wp:simplePos x="0" y="0"/>
                <wp:positionH relativeFrom="column">
                  <wp:posOffset>7766050</wp:posOffset>
                </wp:positionH>
                <wp:positionV relativeFrom="paragraph">
                  <wp:posOffset>33655</wp:posOffset>
                </wp:positionV>
                <wp:extent cx="772160" cy="7715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7216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CCE8CF" w:themeColor="background1"/>
                                <w14:textFill>
                                  <w14:noFill/>
                                </w14:textFill>
                              </w:rPr>
                            </w:pPr>
                            <w:r>
                              <w:rPr>
                                <w:rFonts w:hint="eastAsia"/>
                                <w:color w:val="CCE8CF" w:themeColor="background1"/>
                                <w14:textFill>
                                  <w14:noFill/>
                                </w14:textFill>
                              </w:rPr>
                              <w:drawing>
                                <wp:inline distT="0" distB="0" distL="114300" distR="114300">
                                  <wp:extent cx="462915" cy="673735"/>
                                  <wp:effectExtent l="0" t="0" r="13335" b="12065"/>
                                  <wp:docPr id="19" name="图片 1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北针"/>
                                          <pic:cNvPicPr>
                                            <a:picLocks noChangeAspect="1"/>
                                          </pic:cNvPicPr>
                                        </pic:nvPicPr>
                                        <pic:blipFill>
                                          <a:blip r:embed="rId29"/>
                                          <a:stretch>
                                            <a:fillRect/>
                                          </a:stretch>
                                        </pic:blipFill>
                                        <pic:spPr>
                                          <a:xfrm>
                                            <a:off x="0" y="0"/>
                                            <a:ext cx="46291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1.5pt;margin-top:2.65pt;height:60.75pt;width:60.8pt;z-index:251661312;mso-width-relative:page;mso-height-relative:page;" filled="f" stroked="f" coordsize="21600,21600" o:gfxdata="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GdtvNoAAAALAQAADwAAAAAAAAABACAAAAAiAAAAZHJz&#10;L2Rvd25yZXYueG1sUEsBAhQAFAAAAAgAh07iQBBgODs7AgAAZwQAAA4AAAAAAAAAAQAgAAAAKQEA&#10;AGRycy9lMm9Eb2MueG1sUEsFBgAAAAAGAAYAWQEAANYFAAAAAA==&#10;">
                <v:fill on="f" focussize="0,0"/>
                <v:stroke on="f" weight="0.5pt"/>
                <v:imagedata o:title=""/>
                <o:lock v:ext="edit" aspectratio="f"/>
                <v:textbox>
                  <w:txbxContent>
                    <w:p>
                      <w:pPr>
                        <w:rPr>
                          <w:color w:val="CCE8CF" w:themeColor="background1"/>
                          <w14:textFill>
                            <w14:noFill/>
                          </w14:textFill>
                        </w:rPr>
                      </w:pPr>
                      <w:r>
                        <w:rPr>
                          <w:rFonts w:hint="eastAsia"/>
                          <w:color w:val="CCE8CF" w:themeColor="background1"/>
                          <w14:textFill>
                            <w14:noFill/>
                          </w14:textFill>
                        </w:rPr>
                        <w:drawing>
                          <wp:inline distT="0" distB="0" distL="114300" distR="114300">
                            <wp:extent cx="462915" cy="673735"/>
                            <wp:effectExtent l="0" t="0" r="13335" b="12065"/>
                            <wp:docPr id="19" name="图片 1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北针"/>
                                    <pic:cNvPicPr>
                                      <a:picLocks noChangeAspect="1"/>
                                    </pic:cNvPicPr>
                                  </pic:nvPicPr>
                                  <pic:blipFill>
                                    <a:blip r:embed="rId29"/>
                                    <a:stretch>
                                      <a:fillRect/>
                                    </a:stretch>
                                  </pic:blipFill>
                                  <pic:spPr>
                                    <a:xfrm>
                                      <a:off x="0" y="0"/>
                                      <a:ext cx="462915" cy="673735"/>
                                    </a:xfrm>
                                    <a:prstGeom prst="rect">
                                      <a:avLst/>
                                    </a:prstGeom>
                                  </pic:spPr>
                                </pic:pic>
                              </a:graphicData>
                            </a:graphic>
                          </wp:inline>
                        </w:drawing>
                      </w:r>
                    </w:p>
                  </w:txbxContent>
                </v:textbox>
              </v:shape>
            </w:pict>
          </mc:Fallback>
        </mc:AlternateContent>
      </w:r>
      <w:r>
        <w:rPr>
          <w:bdr w:val="single" w:sz="4" w:space="0"/>
        </w:rPr>
        <w:drawing>
          <wp:inline distT="0" distB="0" distL="114300" distR="114300">
            <wp:extent cx="5729605" cy="8282305"/>
            <wp:effectExtent l="0" t="0" r="4445" b="444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729605" cy="8282305"/>
                    </a:xfrm>
                    <a:prstGeom prst="rect">
                      <a:avLst/>
                    </a:prstGeom>
                    <a:noFill/>
                    <a:ln>
                      <a:noFill/>
                    </a:ln>
                  </pic:spPr>
                </pic:pic>
              </a:graphicData>
            </a:graphic>
          </wp:inline>
        </w:drawing>
      </w:r>
    </w:p>
    <w:p>
      <w:pPr>
        <w:jc w:val="center"/>
        <w:rPr>
          <w:rFonts w:eastAsia="黑体"/>
          <w:bCs/>
          <w:sz w:val="24"/>
        </w:rPr>
      </w:pPr>
      <w:r>
        <w:rPr>
          <w:rFonts w:hint="eastAsia" w:eastAsia="黑体"/>
          <w:bCs/>
          <w:sz w:val="24"/>
        </w:rPr>
        <w:t>附图一  本项目地理位置图</w:t>
      </w:r>
    </w:p>
    <w:p>
      <w:pPr>
        <w:jc w:val="center"/>
        <w:rPr>
          <w:color w:val="FF0000"/>
        </w:rPr>
      </w:pPr>
    </w:p>
    <w:p>
      <w:pPr>
        <w:rPr>
          <w:color w:val="FF0000"/>
        </w:rPr>
      </w:pPr>
      <w:r>
        <w:rPr>
          <w:rFonts w:hint="eastAsia"/>
          <w:color w:val="FF0000"/>
        </w:rPr>
        <w:br w:type="page"/>
      </w:r>
    </w:p>
    <w:p>
      <w:pPr>
        <w:jc w:val="center"/>
        <w:rPr>
          <w:color w:val="FF0000"/>
        </w:rPr>
        <w:sectPr>
          <w:pgSz w:w="11906" w:h="16838"/>
          <w:pgMar w:top="1418" w:right="1418" w:bottom="1418" w:left="1418" w:header="851" w:footer="851" w:gutter="0"/>
          <w:cols w:space="720" w:num="1"/>
          <w:docGrid w:linePitch="312" w:charSpace="0"/>
        </w:sectPr>
      </w:pPr>
    </w:p>
    <w:p>
      <w:pPr>
        <w:jc w:val="center"/>
      </w:pPr>
      <w:r>
        <w:rPr>
          <w:color w:val="FF0000"/>
        </w:rPr>
        <mc:AlternateContent>
          <mc:Choice Requires="wps">
            <w:drawing>
              <wp:anchor distT="0" distB="0" distL="114300" distR="114300" simplePos="0" relativeHeight="251669504" behindDoc="0" locked="0" layoutInCell="1" allowOverlap="1">
                <wp:simplePos x="0" y="0"/>
                <wp:positionH relativeFrom="column">
                  <wp:posOffset>4272280</wp:posOffset>
                </wp:positionH>
                <wp:positionV relativeFrom="paragraph">
                  <wp:posOffset>1055370</wp:posOffset>
                </wp:positionV>
                <wp:extent cx="742950" cy="400050"/>
                <wp:effectExtent l="139700" t="9525" r="12700" b="161925"/>
                <wp:wrapNone/>
                <wp:docPr id="22" name="对话气泡: 圆角矩形 3"/>
                <wp:cNvGraphicFramePr/>
                <a:graphic xmlns:a="http://schemas.openxmlformats.org/drawingml/2006/main">
                  <a:graphicData uri="http://schemas.microsoft.com/office/word/2010/wordprocessingShape">
                    <wps:wsp>
                      <wps:cNvSpPr/>
                      <wps:spPr>
                        <a:xfrm>
                          <a:off x="0" y="0"/>
                          <a:ext cx="742950" cy="400050"/>
                        </a:xfrm>
                        <a:prstGeom prst="wedgeRoundRectCallout">
                          <a:avLst>
                            <a:gd name="adj1" fmla="val -59401"/>
                            <a:gd name="adj2" fmla="val 78888"/>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 o:spid="_x0000_s1026" o:spt="62" type="#_x0000_t62" style="position:absolute;left:0pt;margin-left:336.4pt;margin-top:83.1pt;height:31.5pt;width:58.5pt;z-index:251669504;v-text-anchor:middle;mso-width-relative:page;mso-height-relative:page;" filled="f" stroked="t" coordsize="21600,21600" o:gfxdata="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y+gJ0&#10;2wAAAAsBAAAPAAAAAAAAAAEAIAAAACIAAABkcnMvZG93bnJldi54bWxQSwECFAAUAAAACACHTuJA&#10;FvaLOskCAABxBQAADgAAAAAAAAABACAAAAAqAQAAZHJzL2Uyb0RvYy54bWxQSwUGAAAAAAYABgBZ&#10;AQAAZQYAAAAA&#10;" adj="-2031,27840,14400">
                <v:fill on="f" focussize="0,0"/>
                <v:stroke weight="1.5pt" color="#000000 [3213]" miterlimit="8" joinstyle="miter"/>
                <v:imagedata o:title=""/>
                <o:lock v:ext="edit" aspectratio="f"/>
                <v:textbo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本项目</w:t>
                      </w:r>
                    </w:p>
                  </w:txbxContent>
                </v:textbox>
              </v:shape>
            </w:pict>
          </mc:Fallback>
        </mc:AlternateContent>
      </w:r>
      <w:r>
        <w:rPr>
          <w:color w:val="FF0000"/>
        </w:rPr>
        <mc:AlternateContent>
          <mc:Choice Requires="wps">
            <w:drawing>
              <wp:anchor distT="0" distB="0" distL="114300" distR="114300" simplePos="0" relativeHeight="251668480" behindDoc="0" locked="0" layoutInCell="1" allowOverlap="1">
                <wp:simplePos x="0" y="0"/>
                <wp:positionH relativeFrom="column">
                  <wp:posOffset>4102735</wp:posOffset>
                </wp:positionH>
                <wp:positionV relativeFrom="paragraph">
                  <wp:posOffset>1584325</wp:posOffset>
                </wp:positionV>
                <wp:extent cx="45085" cy="45085"/>
                <wp:effectExtent l="6350" t="6350" r="24765" b="24765"/>
                <wp:wrapNone/>
                <wp:docPr id="23" name="椭圆 23"/>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3.05pt;margin-top:124.75pt;height:3.55pt;width:3.55pt;z-index:251668480;v-text-anchor:middle;mso-width-relative:page;mso-height-relative:page;" fillcolor="#000000 [3213]" filled="t" stroked="t" coordsize="21600,21600" o:gfxdata="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fzRdtoAAAALAQAADwAAAAAAAAABACAAAAAiAAAAZHJzL2Rvd25yZXYueG1s&#10;UEsBAhQAFAAAAAgAh07iQOh1xfpoAgAA9gQAAA4AAAAAAAAAAQAgAAAAKQEAAGRycy9lMm9Eb2Mu&#10;eG1sUEsFBgAAAAAGAAYAWQEAAAMGAAAAAA==&#10;">
                <v:fill on="t" focussize="0,0"/>
                <v:stroke weight="1pt" color="#000000 [3213]" miterlimit="8" joinstyle="miter"/>
                <v:imagedata o:title=""/>
                <o:lock v:ext="edit" aspectratio="f"/>
              </v:shape>
            </w:pict>
          </mc:Fallback>
        </mc:AlternateContent>
      </w:r>
      <w:r>
        <w:drawing>
          <wp:anchor distT="0" distB="0" distL="114300" distR="114300" simplePos="0" relativeHeight="251667456" behindDoc="0" locked="0" layoutInCell="1" allowOverlap="1">
            <wp:simplePos x="0" y="0"/>
            <wp:positionH relativeFrom="column">
              <wp:posOffset>2962275</wp:posOffset>
            </wp:positionH>
            <wp:positionV relativeFrom="paragraph">
              <wp:posOffset>1047115</wp:posOffset>
            </wp:positionV>
            <wp:extent cx="2552065" cy="1875155"/>
            <wp:effectExtent l="9525" t="9525" r="10160" b="20320"/>
            <wp:wrapNone/>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1"/>
                    <a:stretch>
                      <a:fillRect/>
                    </a:stretch>
                  </pic:blipFill>
                  <pic:spPr>
                    <a:xfrm>
                      <a:off x="0" y="0"/>
                      <a:ext cx="2552065" cy="1875155"/>
                    </a:xfrm>
                    <a:prstGeom prst="rect">
                      <a:avLst/>
                    </a:prstGeom>
                    <a:noFill/>
                    <a:ln w="3175">
                      <a:solidFill>
                        <a:schemeClr val="tx1"/>
                      </a:solidFill>
                    </a:ln>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2734945</wp:posOffset>
                </wp:positionH>
                <wp:positionV relativeFrom="paragraph">
                  <wp:posOffset>2407285</wp:posOffset>
                </wp:positionV>
                <wp:extent cx="238125" cy="158750"/>
                <wp:effectExtent l="2540" t="0" r="6985" b="12700"/>
                <wp:wrapNone/>
                <wp:docPr id="92" name="直接箭头连接符 92"/>
                <wp:cNvGraphicFramePr/>
                <a:graphic xmlns:a="http://schemas.openxmlformats.org/drawingml/2006/main">
                  <a:graphicData uri="http://schemas.microsoft.com/office/word/2010/wordprocessingShape">
                    <wps:wsp>
                      <wps:cNvCnPr/>
                      <wps:spPr>
                        <a:xfrm flipV="1">
                          <a:off x="3455035" y="3321685"/>
                          <a:ext cx="238125" cy="158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5.35pt;margin-top:189.55pt;height:12.5pt;width:18.75pt;z-index:251666432;mso-width-relative:page;mso-height-relative:page;" filled="f" stroked="t" coordsize="21600,21600" o:gfxdata="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ktnz9sAAAALAQAADwAAAAAAAAABACAAAAAiAAAAZHJzL2Rvd25yZXYueG1sUEsBAhQA&#10;FAAAAAgAh07iQGh1pMsoAgAADAQAAA4AAAAAAAAAAQAgAAAAKgEAAGRycy9lMm9Eb2MueG1sUEsF&#10;BgAAAAAGAAYAWQEAAMQFAAAAAA==&#10;">
                <v:fill on="f" focussize="0,0"/>
                <v:stroke weight="0.5pt" color="#000000 [3200]" miterlimit="8" joinstyle="miter" endarrow="open"/>
                <v:imagedata o:title=""/>
                <o:lock v:ext="edit" aspectratio="f"/>
              </v:shape>
            </w:pict>
          </mc:Fallback>
        </mc:AlternateContent>
      </w:r>
      <w:r>
        <w:rPr>
          <w:color w:val="FF0000"/>
        </w:rPr>
        <mc:AlternateContent>
          <mc:Choice Requires="wps">
            <w:drawing>
              <wp:anchor distT="0" distB="0" distL="114300" distR="114300" simplePos="0" relativeHeight="251665408" behindDoc="0" locked="0" layoutInCell="1" allowOverlap="1">
                <wp:simplePos x="0" y="0"/>
                <wp:positionH relativeFrom="column">
                  <wp:posOffset>1819910</wp:posOffset>
                </wp:positionH>
                <wp:positionV relativeFrom="paragraph">
                  <wp:posOffset>2360295</wp:posOffset>
                </wp:positionV>
                <wp:extent cx="941705" cy="808990"/>
                <wp:effectExtent l="9525" t="9525" r="20320" b="19685"/>
                <wp:wrapNone/>
                <wp:docPr id="89" name="矩形 89"/>
                <wp:cNvGraphicFramePr/>
                <a:graphic xmlns:a="http://schemas.openxmlformats.org/drawingml/2006/main">
                  <a:graphicData uri="http://schemas.microsoft.com/office/word/2010/wordprocessingShape">
                    <wps:wsp>
                      <wps:cNvSpPr/>
                      <wps:spPr>
                        <a:xfrm>
                          <a:off x="0" y="0"/>
                          <a:ext cx="941705" cy="8089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3pt;margin-top:185.85pt;height:63.7pt;width:74.15pt;z-index:251665408;v-text-anchor:middle;mso-width-relative:page;mso-height-relative:page;" filled="f" stroked="t" coordsize="21600,21600" o:gfxdata="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4wMSx3AAAAAsBAAAPAAAAAAAAAAEAIAAAACIAAABkcnMvZG93bnJldi54&#10;bWxQSwECFAAUAAAACACHTuJABf/AwWgCAADMBAAADgAAAAAAAAABACAAAAArAQAAZHJzL2Uyb0Rv&#10;Yy54bWxQSwUGAAAAAAYABgBZAQAABQYAAAAA&#10;">
                <v:fill on="f" focussize="0,0"/>
                <v:stroke weight="1.5pt" color="#000000 [3213]" miterlimit="8" joinstyle="miter"/>
                <v:imagedata o:title=""/>
                <o:lock v:ext="edit" aspectratio="f"/>
              </v:rect>
            </w:pict>
          </mc:Fallback>
        </mc:AlternateContent>
      </w:r>
      <w:r>
        <w:rPr>
          <w:bdr w:val="single" w:sz="4" w:space="0"/>
        </w:rPr>
        <w:drawing>
          <wp:inline distT="0" distB="0" distL="114300" distR="114300">
            <wp:extent cx="5936615" cy="7430135"/>
            <wp:effectExtent l="0" t="0" r="6985" b="184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2"/>
                    <a:stretch>
                      <a:fillRect/>
                    </a:stretch>
                  </pic:blipFill>
                  <pic:spPr>
                    <a:xfrm>
                      <a:off x="0" y="0"/>
                      <a:ext cx="5936615" cy="7430135"/>
                    </a:xfrm>
                    <a:prstGeom prst="rect">
                      <a:avLst/>
                    </a:prstGeom>
                    <a:noFill/>
                    <a:ln>
                      <a:noFill/>
                    </a:ln>
                  </pic:spPr>
                </pic:pic>
              </a:graphicData>
            </a:graphic>
          </wp:inline>
        </w:drawing>
      </w:r>
    </w:p>
    <w:p>
      <w:pPr>
        <w:snapToGrid w:val="0"/>
        <w:jc w:val="center"/>
        <w:rPr>
          <w:rFonts w:eastAsia="黑体"/>
          <w:sz w:val="24"/>
        </w:rPr>
      </w:pPr>
      <w:r>
        <w:rPr>
          <w:rFonts w:hint="eastAsia" w:eastAsia="黑体"/>
          <w:sz w:val="24"/>
        </w:rPr>
        <w:t xml:space="preserve">附图二 </w:t>
      </w:r>
      <w:r>
        <w:rPr>
          <w:rFonts w:eastAsia="黑体"/>
          <w:sz w:val="24"/>
        </w:rPr>
        <w:t xml:space="preserve"> </w:t>
      </w:r>
      <w:r>
        <w:rPr>
          <w:rFonts w:hint="eastAsia" w:eastAsia="黑体"/>
          <w:sz w:val="24"/>
        </w:rPr>
        <w:t>本项目用地规划图</w:t>
      </w:r>
    </w:p>
    <w:p>
      <w:pPr>
        <w:pStyle w:val="2"/>
      </w:pPr>
    </w:p>
    <w:p>
      <w:pPr>
        <w:jc w:val="center"/>
        <w:rPr>
          <w:color w:val="FF0000"/>
        </w:rPr>
      </w:pPr>
    </w:p>
    <w:p>
      <w:pPr>
        <w:jc w:val="center"/>
        <w:rPr>
          <w:color w:val="FF0000"/>
        </w:rPr>
      </w:pPr>
      <w:r>
        <w:rPr>
          <w:rFonts w:hint="eastAsia"/>
          <w:color w:val="FF0000"/>
        </w:rPr>
        <w:t xml:space="preserve"> </w:t>
      </w:r>
    </w:p>
    <w:p>
      <w:pPr>
        <w:rPr>
          <w:color w:val="FF0000"/>
        </w:rPr>
      </w:pPr>
      <w:r>
        <w:rPr>
          <w:rFonts w:hint="eastAsia"/>
          <w:color w:val="FF0000"/>
        </w:rPr>
        <w:br w:type="page"/>
      </w:r>
    </w:p>
    <w:p>
      <w:pPr>
        <w:jc w:val="both"/>
        <w:rPr>
          <w:color w:val="FF0000"/>
        </w:rPr>
        <w:sectPr>
          <w:pgSz w:w="11906" w:h="16838"/>
          <w:pgMar w:top="1440" w:right="1418" w:bottom="1440" w:left="1134" w:header="851" w:footer="992" w:gutter="0"/>
          <w:cols w:space="425" w:num="1"/>
          <w:docGrid w:type="linesAndChars" w:linePitch="312" w:charSpace="0"/>
        </w:sectPr>
      </w:pPr>
    </w:p>
    <w:p>
      <w:pPr>
        <w:snapToGrid w:val="0"/>
        <w:jc w:val="center"/>
      </w:pPr>
      <w:r>
        <w:rPr>
          <w:color w:val="FF0000"/>
        </w:rPr>
        <mc:AlternateContent>
          <mc:Choice Requires="wps">
            <w:drawing>
              <wp:anchor distT="0" distB="0" distL="114300" distR="114300" simplePos="0" relativeHeight="251672576" behindDoc="0" locked="0" layoutInCell="1" allowOverlap="1">
                <wp:simplePos x="0" y="0"/>
                <wp:positionH relativeFrom="column">
                  <wp:posOffset>3046095</wp:posOffset>
                </wp:positionH>
                <wp:positionV relativeFrom="paragraph">
                  <wp:posOffset>2473325</wp:posOffset>
                </wp:positionV>
                <wp:extent cx="776605" cy="342900"/>
                <wp:effectExtent l="351790" t="9525" r="14605" b="104775"/>
                <wp:wrapNone/>
                <wp:docPr id="35"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86592"/>
                            <a:gd name="adj2" fmla="val 65601"/>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b/>
                                <w:bCs/>
                                <w:color w:val="FF0000"/>
                                <w:sz w:val="28"/>
                                <w:szCs w:val="28"/>
                              </w:rPr>
                            </w:pPr>
                            <w:r>
                              <w:rPr>
                                <w:rFonts w:hint="eastAsia"/>
                                <w:b/>
                                <w:bCs/>
                                <w:color w:val="FF0000"/>
                                <w:sz w:val="28"/>
                                <w:szCs w:val="28"/>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 o:spid="_x0000_s1026" o:spt="61" type="#_x0000_t61" style="position:absolute;left:0pt;margin-left:239.85pt;margin-top:194.75pt;height:27pt;width:61.15pt;z-index:251672576;v-text-anchor:middle;mso-width-relative:page;mso-height-relative:page;" filled="f" stroked="t" coordsize="21600,21600" o:gfxdata="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Szq69oAAAALAQAADwAAAAAAAAABACAAAAAiAAAAZHJzL2Rv&#10;d25yZXYueG1sUEsBAhQAFAAAAAgAh07iQKjKfZyqAgAAOwUAAA4AAAAAAAAAAQAgAAAAKQEAAGRy&#10;cy9lMm9Eb2MueG1sUEsFBgAAAAAGAAYAWQEAAEUGAAAAAA==&#10;" adj="-7904,24970">
                <v:fill on="f" focussize="0,0"/>
                <v:stroke weight="1.5pt" color="#FF0000 [3204]" miterlimit="8" joinstyle="miter"/>
                <v:imagedata o:title=""/>
                <o:lock v:ext="edit" aspectratio="f"/>
                <v:textbox>
                  <w:txbxContent>
                    <w:p>
                      <w:pPr>
                        <w:spacing w:line="360" w:lineRule="exact"/>
                        <w:jc w:val="center"/>
                        <w:rPr>
                          <w:b/>
                          <w:bCs/>
                          <w:color w:val="FF0000"/>
                          <w:sz w:val="28"/>
                          <w:szCs w:val="28"/>
                        </w:rPr>
                      </w:pPr>
                      <w:r>
                        <w:rPr>
                          <w:rFonts w:hint="eastAsia"/>
                          <w:b/>
                          <w:bCs/>
                          <w:color w:val="FF0000"/>
                          <w:sz w:val="28"/>
                          <w:szCs w:val="28"/>
                        </w:rPr>
                        <w:t>本项目</w:t>
                      </w:r>
                    </w:p>
                  </w:txbxContent>
                </v:textbox>
              </v:shape>
            </w:pict>
          </mc:Fallback>
        </mc:AlternateContent>
      </w:r>
      <w:r>
        <w:rPr>
          <w:color w:val="FF0000"/>
        </w:rPr>
        <mc:AlternateContent>
          <mc:Choice Requires="wps">
            <w:drawing>
              <wp:anchor distT="0" distB="0" distL="114300" distR="114300" simplePos="0" relativeHeight="251671552" behindDoc="0" locked="0" layoutInCell="1" allowOverlap="1">
                <wp:simplePos x="0" y="0"/>
                <wp:positionH relativeFrom="column">
                  <wp:posOffset>2693670</wp:posOffset>
                </wp:positionH>
                <wp:positionV relativeFrom="paragraph">
                  <wp:posOffset>2860040</wp:posOffset>
                </wp:positionV>
                <wp:extent cx="102235" cy="85090"/>
                <wp:effectExtent l="6350" t="6350" r="24765" b="22860"/>
                <wp:wrapNone/>
                <wp:docPr id="34" name="椭圆 34"/>
                <wp:cNvGraphicFramePr/>
                <a:graphic xmlns:a="http://schemas.openxmlformats.org/drawingml/2006/main">
                  <a:graphicData uri="http://schemas.microsoft.com/office/word/2010/wordprocessingShape">
                    <wps:wsp>
                      <wps:cNvSpPr/>
                      <wps:spPr>
                        <a:xfrm>
                          <a:off x="0" y="0"/>
                          <a:ext cx="102235" cy="8509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2.1pt;margin-top:225.2pt;height:6.7pt;width:8.05pt;z-index:251671552;v-text-anchor:middle;mso-width-relative:page;mso-height-relative:page;" fillcolor="#FF0000" filled="t" stroked="t" coordsize="21600,21600" o:gfxdata="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Y0eR2QAAAAsBAAAPAAAAAAAAAAEAIAAAACIAAABkcnMvZG93&#10;bnJldi54bWxQSwECFAAUAAAACACHTuJA4ImPgnECAAD3BAAADgAAAAAAAAABACAAAAAoAQAAZHJz&#10;L2Uyb0RvYy54bWxQSwUGAAAAAAYABgBZAQAACwYAAAAA&#10;">
                <v:fill on="t" focussize="0,0"/>
                <v:stroke weight="1pt" color="#000000 [3213]" miterlimit="8" joinstyle="miter"/>
                <v:imagedata o:title=""/>
                <o:lock v:ext="edit" aspectratio="f"/>
              </v:shape>
            </w:pict>
          </mc:Fallback>
        </mc:AlternateContent>
      </w:r>
      <w:r>
        <w:drawing>
          <wp:anchor distT="0" distB="0" distL="114300" distR="114300" simplePos="0" relativeHeight="251670528" behindDoc="0" locked="0" layoutInCell="1" allowOverlap="1">
            <wp:simplePos x="0" y="0"/>
            <wp:positionH relativeFrom="column">
              <wp:posOffset>4862195</wp:posOffset>
            </wp:positionH>
            <wp:positionV relativeFrom="paragraph">
              <wp:posOffset>3654425</wp:posOffset>
            </wp:positionV>
            <wp:extent cx="2252980" cy="1669415"/>
            <wp:effectExtent l="9525" t="9525" r="23495" b="16510"/>
            <wp:wrapNone/>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3"/>
                    <a:stretch>
                      <a:fillRect/>
                    </a:stretch>
                  </pic:blipFill>
                  <pic:spPr>
                    <a:xfrm>
                      <a:off x="0" y="0"/>
                      <a:ext cx="2252980" cy="1669415"/>
                    </a:xfrm>
                    <a:prstGeom prst="rect">
                      <a:avLst/>
                    </a:prstGeom>
                    <a:noFill/>
                    <a:ln>
                      <a:solidFill>
                        <a:schemeClr val="tx1"/>
                      </a:solidFill>
                    </a:ln>
                  </pic:spPr>
                </pic:pic>
              </a:graphicData>
            </a:graphic>
          </wp:anchor>
        </w:drawing>
      </w:r>
      <w:r>
        <w:drawing>
          <wp:inline distT="0" distB="0" distL="114300" distR="114300">
            <wp:extent cx="7369175" cy="5589270"/>
            <wp:effectExtent l="0" t="0" r="3175" b="1143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4"/>
                    <a:stretch>
                      <a:fillRect/>
                    </a:stretch>
                  </pic:blipFill>
                  <pic:spPr>
                    <a:xfrm>
                      <a:off x="0" y="0"/>
                      <a:ext cx="7369175" cy="5589270"/>
                    </a:xfrm>
                    <a:prstGeom prst="rect">
                      <a:avLst/>
                    </a:prstGeom>
                    <a:noFill/>
                    <a:ln>
                      <a:noFill/>
                    </a:ln>
                  </pic:spPr>
                </pic:pic>
              </a:graphicData>
            </a:graphic>
          </wp:inline>
        </w:drawing>
      </w:r>
    </w:p>
    <w:p>
      <w:pPr>
        <w:snapToGrid w:val="0"/>
        <w:jc w:val="center"/>
        <w:rPr>
          <w:rFonts w:hint="default" w:eastAsia="黑体"/>
          <w:sz w:val="24"/>
          <w:lang w:val="en-US" w:eastAsia="zh-CN"/>
        </w:rPr>
      </w:pPr>
      <w:r>
        <w:rPr>
          <w:rFonts w:hint="eastAsia" w:eastAsia="黑体"/>
          <w:sz w:val="24"/>
        </w:rPr>
        <w:t>附图</w:t>
      </w:r>
      <w:r>
        <w:rPr>
          <w:rFonts w:hint="eastAsia" w:eastAsia="黑体"/>
          <w:sz w:val="24"/>
          <w:lang w:val="en-US" w:eastAsia="zh-CN"/>
        </w:rPr>
        <w:t>三</w:t>
      </w:r>
      <w:r>
        <w:rPr>
          <w:rFonts w:hint="eastAsia" w:eastAsia="黑体"/>
          <w:sz w:val="24"/>
        </w:rPr>
        <w:t xml:space="preserve"> </w:t>
      </w:r>
      <w:r>
        <w:rPr>
          <w:rFonts w:eastAsia="黑体"/>
          <w:sz w:val="24"/>
        </w:rPr>
        <w:t xml:space="preserve"> </w:t>
      </w:r>
      <w:r>
        <w:rPr>
          <w:rFonts w:hint="eastAsia" w:eastAsia="黑体"/>
          <w:sz w:val="24"/>
          <w:lang w:val="en-US" w:eastAsia="zh-CN"/>
        </w:rPr>
        <w:t>新乡县建成区范围图</w:t>
      </w:r>
    </w:p>
    <w:p>
      <w:pPr>
        <w:snapToGrid w:val="0"/>
        <w:jc w:val="center"/>
        <w:rPr>
          <w:rFonts w:hint="eastAsia" w:eastAsia="宋体"/>
          <w:color w:val="FF0000"/>
          <w:lang w:eastAsia="zh-CN"/>
        </w:rPr>
      </w:pPr>
      <w:r>
        <w:rPr>
          <w:rFonts w:hint="eastAsia" w:eastAsia="宋体"/>
          <w:color w:val="FF0000"/>
          <w:bdr w:val="single" w:sz="4" w:space="0"/>
          <w:lang w:eastAsia="zh-CN"/>
        </w:rPr>
        <w:drawing>
          <wp:inline distT="0" distB="0" distL="114300" distR="114300">
            <wp:extent cx="7205980" cy="5752465"/>
            <wp:effectExtent l="0" t="0" r="13970" b="635"/>
            <wp:docPr id="95" name="图片 95"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平面布置图"/>
                    <pic:cNvPicPr>
                      <a:picLocks noChangeAspect="1"/>
                    </pic:cNvPicPr>
                  </pic:nvPicPr>
                  <pic:blipFill>
                    <a:blip r:embed="rId35"/>
                    <a:stretch>
                      <a:fillRect/>
                    </a:stretch>
                  </pic:blipFill>
                  <pic:spPr>
                    <a:xfrm>
                      <a:off x="0" y="0"/>
                      <a:ext cx="7205980" cy="5752465"/>
                    </a:xfrm>
                    <a:prstGeom prst="rect">
                      <a:avLst/>
                    </a:prstGeom>
                  </pic:spPr>
                </pic:pic>
              </a:graphicData>
            </a:graphic>
          </wp:inline>
        </w:drawing>
      </w:r>
    </w:p>
    <w:p>
      <w:pPr>
        <w:snapToGrid w:val="0"/>
        <w:jc w:val="center"/>
        <w:rPr>
          <w:rFonts w:eastAsia="黑体"/>
          <w:sz w:val="24"/>
        </w:rPr>
      </w:pPr>
      <w:r>
        <w:rPr>
          <w:rFonts w:hint="eastAsia" w:eastAsia="黑体"/>
          <w:sz w:val="24"/>
        </w:rPr>
        <w:t>附图</w:t>
      </w:r>
      <w:r>
        <w:rPr>
          <w:rFonts w:hint="eastAsia" w:eastAsia="黑体"/>
          <w:sz w:val="24"/>
          <w:lang w:val="en-US" w:eastAsia="zh-CN"/>
        </w:rPr>
        <w:t>四</w:t>
      </w:r>
      <w:r>
        <w:rPr>
          <w:rFonts w:hint="eastAsia" w:eastAsia="黑体"/>
          <w:sz w:val="24"/>
        </w:rPr>
        <w:t xml:space="preserve"> </w:t>
      </w:r>
      <w:r>
        <w:rPr>
          <w:rFonts w:eastAsia="黑体"/>
          <w:sz w:val="24"/>
        </w:rPr>
        <w:t xml:space="preserve"> </w:t>
      </w:r>
      <w:r>
        <w:rPr>
          <w:rFonts w:hint="eastAsia" w:eastAsia="黑体"/>
          <w:sz w:val="24"/>
        </w:rPr>
        <w:t>本项目</w:t>
      </w:r>
      <w:r>
        <w:rPr>
          <w:rFonts w:hint="eastAsia" w:eastAsia="黑体"/>
          <w:sz w:val="24"/>
          <w:lang w:eastAsia="zh-CN"/>
        </w:rPr>
        <w:t>平面布置</w:t>
      </w:r>
      <w:r>
        <w:rPr>
          <w:rFonts w:hint="eastAsia" w:eastAsia="黑体"/>
          <w:sz w:val="24"/>
        </w:rPr>
        <w:t>图</w:t>
      </w:r>
    </w:p>
    <w:p>
      <w:pPr>
        <w:jc w:val="center"/>
        <w:rPr>
          <w:rFonts w:hint="eastAsia" w:eastAsia="宋体"/>
          <w:color w:val="FF0000"/>
          <w:lang w:eastAsia="zh-CN"/>
        </w:rPr>
        <w:sectPr>
          <w:pgSz w:w="16838" w:h="11906" w:orient="landscape"/>
          <w:pgMar w:top="1191" w:right="1531" w:bottom="1191" w:left="1531" w:header="851" w:footer="851" w:gutter="0"/>
          <w:cols w:space="720" w:num="1"/>
          <w:docGrid w:linePitch="312" w:charSpace="0"/>
        </w:sectPr>
      </w:pPr>
    </w:p>
    <w:p>
      <w:pPr>
        <w:pStyle w:val="2"/>
        <w:keepNext w:val="0"/>
        <w:keepLines w:val="0"/>
        <w:pageBreakBefore w:val="0"/>
        <w:widowControl w:val="0"/>
        <w:kinsoku/>
        <w:wordWrap/>
        <w:overflowPunct/>
        <w:topLinePunct w:val="0"/>
        <w:autoSpaceDE/>
        <w:autoSpaceDN/>
        <w:bidi w:val="0"/>
        <w:adjustRightInd/>
        <w:snapToGrid w:val="0"/>
        <w:ind w:left="0" w:right="0" w:firstLine="0"/>
        <w:jc w:val="center"/>
        <w:textAlignment w:val="auto"/>
      </w:pPr>
      <w:r>
        <w:drawing>
          <wp:inline distT="0" distB="0" distL="114300" distR="114300">
            <wp:extent cx="7853045" cy="5632450"/>
            <wp:effectExtent l="0" t="0" r="14605" b="6350"/>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36"/>
                    <a:stretch>
                      <a:fillRect/>
                    </a:stretch>
                  </pic:blipFill>
                  <pic:spPr>
                    <a:xfrm>
                      <a:off x="0" y="0"/>
                      <a:ext cx="7853045" cy="5632450"/>
                    </a:xfrm>
                    <a:prstGeom prst="rect">
                      <a:avLst/>
                    </a:prstGeom>
                    <a:noFill/>
                    <a:ln>
                      <a:noFill/>
                    </a:ln>
                  </pic:spPr>
                </pic:pic>
              </a:graphicData>
            </a:graphic>
          </wp:inline>
        </w:drawing>
      </w:r>
    </w:p>
    <w:p>
      <w:pPr>
        <w:jc w:val="center"/>
        <w:rPr>
          <w:rFonts w:eastAsia="黑体"/>
          <w:sz w:val="24"/>
        </w:rPr>
      </w:pPr>
      <w:r>
        <w:rPr>
          <w:rFonts w:hint="eastAsia" w:eastAsia="黑体"/>
          <w:sz w:val="24"/>
        </w:rPr>
        <w:t xml:space="preserve">附图五 </w:t>
      </w:r>
      <w:r>
        <w:rPr>
          <w:rFonts w:eastAsia="黑体"/>
          <w:sz w:val="24"/>
        </w:rPr>
        <w:t xml:space="preserve"> </w:t>
      </w:r>
      <w:r>
        <w:rPr>
          <w:rFonts w:hint="eastAsia" w:eastAsia="黑体"/>
          <w:sz w:val="24"/>
        </w:rPr>
        <w:t>本项目</w:t>
      </w:r>
      <w:r>
        <w:rPr>
          <w:rFonts w:hint="eastAsia" w:eastAsia="黑体"/>
          <w:sz w:val="24"/>
          <w:lang w:eastAsia="zh-CN"/>
        </w:rPr>
        <w:t>周边环境</w:t>
      </w:r>
      <w:r>
        <w:rPr>
          <w:rFonts w:hint="eastAsia" w:eastAsia="黑体"/>
          <w:sz w:val="24"/>
        </w:rPr>
        <w:t>图</w:t>
      </w:r>
    </w:p>
    <w:p>
      <w:pPr>
        <w:jc w:val="center"/>
      </w:pPr>
      <w:r>
        <w:drawing>
          <wp:inline distT="0" distB="0" distL="114300" distR="114300">
            <wp:extent cx="7458075" cy="5124450"/>
            <wp:effectExtent l="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7458075" cy="5124450"/>
                    </a:xfrm>
                    <a:prstGeom prst="rect">
                      <a:avLst/>
                    </a:prstGeom>
                    <a:noFill/>
                    <a:ln>
                      <a:noFill/>
                    </a:ln>
                  </pic:spPr>
                </pic:pic>
              </a:graphicData>
            </a:graphic>
          </wp:inline>
        </w:drawing>
      </w:r>
    </w:p>
    <w:p>
      <w:pPr>
        <w:jc w:val="center"/>
        <w:rPr>
          <w:rFonts w:eastAsia="黑体"/>
          <w:sz w:val="24"/>
        </w:rPr>
      </w:pPr>
      <w:r>
        <w:rPr>
          <w:rFonts w:hint="eastAsia" w:eastAsia="黑体"/>
          <w:sz w:val="24"/>
        </w:rPr>
        <w:t>附图</w:t>
      </w:r>
      <w:r>
        <w:rPr>
          <w:rFonts w:hint="eastAsia" w:eastAsia="黑体"/>
          <w:sz w:val="24"/>
          <w:lang w:eastAsia="zh-CN"/>
        </w:rPr>
        <w:t>六</w:t>
      </w:r>
      <w:r>
        <w:rPr>
          <w:rFonts w:hint="eastAsia" w:eastAsia="黑体"/>
          <w:sz w:val="24"/>
        </w:rPr>
        <w:t xml:space="preserve"> </w:t>
      </w:r>
      <w:r>
        <w:rPr>
          <w:rFonts w:eastAsia="黑体"/>
          <w:sz w:val="24"/>
        </w:rPr>
        <w:t xml:space="preserve"> </w:t>
      </w:r>
      <w:r>
        <w:rPr>
          <w:rFonts w:hint="eastAsia" w:eastAsia="黑体"/>
          <w:sz w:val="24"/>
        </w:rPr>
        <w:t>本项目</w:t>
      </w:r>
      <w:r>
        <w:rPr>
          <w:rFonts w:hint="eastAsia" w:eastAsia="黑体"/>
          <w:sz w:val="24"/>
          <w:lang w:eastAsia="zh-CN"/>
        </w:rPr>
        <w:t>周边环境敏感点分布</w:t>
      </w:r>
      <w:r>
        <w:rPr>
          <w:rFonts w:hint="eastAsia" w:eastAsia="黑体"/>
          <w:sz w:val="24"/>
        </w:rPr>
        <w:t>图</w:t>
      </w:r>
    </w:p>
    <w:p>
      <w:pPr>
        <w:jc w:val="center"/>
        <w:rPr>
          <w:color w:val="FF0000"/>
        </w:rPr>
      </w:pPr>
    </w:p>
    <w:p>
      <w:pPr>
        <w:rPr>
          <w:rFonts w:hint="eastAsia"/>
          <w:color w:val="FF0000"/>
        </w:rPr>
        <w:sectPr>
          <w:pgSz w:w="16838" w:h="11906" w:orient="landscape"/>
          <w:pgMar w:top="1191" w:right="1531" w:bottom="1191" w:left="1531" w:header="851" w:footer="851" w:gutter="0"/>
          <w:cols w:space="720" w:num="1"/>
          <w:docGrid w:linePitch="312" w:charSpace="0"/>
        </w:sectPr>
      </w:pPr>
      <w:r>
        <w:rPr>
          <w:rFonts w:hint="eastAsia"/>
          <w:color w:val="FF0000"/>
        </w:rPr>
        <w:br w:type="page"/>
      </w:r>
    </w:p>
    <w:p>
      <w:pPr>
        <w:jc w:val="both"/>
        <w:rPr>
          <w:rFonts w:hint="default"/>
          <w:color w:val="auto"/>
          <w:sz w:val="28"/>
          <w:szCs w:val="28"/>
          <w:lang w:val="en-US" w:eastAsia="zh-CN"/>
        </w:rPr>
      </w:pPr>
      <w:r>
        <w:rPr>
          <w:rFonts w:hint="eastAsia"/>
          <w:color w:val="auto"/>
          <w:sz w:val="28"/>
          <w:szCs w:val="28"/>
          <w:lang w:val="en-US" w:eastAsia="zh-CN"/>
        </w:rPr>
        <w:t>附件1 委托书</w:t>
      </w:r>
    </w:p>
    <w:p>
      <w:pPr>
        <w:jc w:val="center"/>
        <w:rPr>
          <w:rFonts w:hint="eastAsia" w:eastAsia="宋体"/>
          <w:color w:val="FF0000"/>
          <w:lang w:eastAsia="zh-CN"/>
        </w:rPr>
      </w:pPr>
      <w:r>
        <w:rPr>
          <w:rFonts w:hint="eastAsia" w:eastAsia="宋体"/>
          <w:color w:val="FF0000"/>
          <w:lang w:eastAsia="zh-CN"/>
        </w:rPr>
        <w:drawing>
          <wp:inline distT="0" distB="0" distL="114300" distR="114300">
            <wp:extent cx="6047105" cy="8316595"/>
            <wp:effectExtent l="0" t="0" r="10795" b="8255"/>
            <wp:docPr id="14" name="图片 14"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委托书"/>
                    <pic:cNvPicPr>
                      <a:picLocks noChangeAspect="1"/>
                    </pic:cNvPicPr>
                  </pic:nvPicPr>
                  <pic:blipFill>
                    <a:blip r:embed="rId38"/>
                    <a:stretch>
                      <a:fillRect/>
                    </a:stretch>
                  </pic:blipFill>
                  <pic:spPr>
                    <a:xfrm>
                      <a:off x="0" y="0"/>
                      <a:ext cx="6047105" cy="8316595"/>
                    </a:xfrm>
                    <a:prstGeom prst="rect">
                      <a:avLst/>
                    </a:prstGeom>
                  </pic:spPr>
                </pic:pic>
              </a:graphicData>
            </a:graphic>
          </wp:inline>
        </w:drawing>
      </w:r>
    </w:p>
    <w:p>
      <w:pPr>
        <w:jc w:val="center"/>
        <w:rPr>
          <w:color w:val="FF0000"/>
        </w:rPr>
        <w:sectPr>
          <w:pgSz w:w="11906" w:h="16838"/>
          <w:pgMar w:top="1531" w:right="1191" w:bottom="1531" w:left="1191" w:header="851" w:footer="851" w:gutter="0"/>
          <w:cols w:space="720" w:num="1"/>
          <w:docGrid w:linePitch="312" w:charSpace="0"/>
        </w:sectPr>
      </w:pPr>
    </w:p>
    <w:p>
      <w:pPr>
        <w:jc w:val="both"/>
        <w:rPr>
          <w:rFonts w:hint="eastAsia"/>
          <w:color w:val="auto"/>
          <w:sz w:val="28"/>
          <w:szCs w:val="28"/>
          <w:lang w:val="en-US" w:eastAsia="zh-CN"/>
        </w:rPr>
      </w:pPr>
      <w:r>
        <w:rPr>
          <w:rFonts w:hint="eastAsia"/>
          <w:color w:val="auto"/>
          <w:sz w:val="28"/>
          <w:szCs w:val="28"/>
          <w:lang w:eastAsia="zh-CN"/>
        </w:rPr>
        <w:t>附件</w:t>
      </w:r>
      <w:r>
        <w:rPr>
          <w:rFonts w:hint="eastAsia"/>
          <w:color w:val="auto"/>
          <w:sz w:val="28"/>
          <w:szCs w:val="28"/>
          <w:lang w:val="en-US" w:eastAsia="zh-CN"/>
        </w:rPr>
        <w:t>2 备案</w:t>
      </w:r>
    </w:p>
    <w:p>
      <w:pPr>
        <w:jc w:val="both"/>
        <w:rPr>
          <w:rFonts w:hint="default"/>
          <w:color w:val="auto"/>
          <w:sz w:val="28"/>
          <w:szCs w:val="28"/>
          <w:lang w:val="en-US" w:eastAsia="zh-CN"/>
        </w:rPr>
      </w:pPr>
      <w:r>
        <w:rPr>
          <w:rFonts w:hint="default"/>
          <w:color w:val="auto"/>
          <w:sz w:val="28"/>
          <w:szCs w:val="28"/>
          <w:lang w:val="en-US" w:eastAsia="zh-CN"/>
        </w:rPr>
        <w:drawing>
          <wp:inline distT="0" distB="0" distL="114300" distR="114300">
            <wp:extent cx="5761990" cy="8220710"/>
            <wp:effectExtent l="0" t="0" r="10160" b="8890"/>
            <wp:docPr id="15" name="图片 15"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备案"/>
                    <pic:cNvPicPr>
                      <a:picLocks noChangeAspect="1"/>
                    </pic:cNvPicPr>
                  </pic:nvPicPr>
                  <pic:blipFill>
                    <a:blip r:embed="rId39"/>
                    <a:stretch>
                      <a:fillRect/>
                    </a:stretch>
                  </pic:blipFill>
                  <pic:spPr>
                    <a:xfrm>
                      <a:off x="0" y="0"/>
                      <a:ext cx="5761990" cy="8220710"/>
                    </a:xfrm>
                    <a:prstGeom prst="rect">
                      <a:avLst/>
                    </a:prstGeom>
                  </pic:spPr>
                </pic:pic>
              </a:graphicData>
            </a:graphic>
          </wp:inline>
        </w:drawing>
      </w:r>
    </w:p>
    <w:p>
      <w:pPr>
        <w:jc w:val="center"/>
        <w:rPr>
          <w:color w:val="FF0000"/>
        </w:rPr>
      </w:pPr>
    </w:p>
    <w:p>
      <w:pPr>
        <w:jc w:val="both"/>
        <w:rPr>
          <w:rFonts w:hint="eastAsia"/>
          <w:color w:val="auto"/>
          <w:sz w:val="28"/>
          <w:szCs w:val="28"/>
          <w:lang w:val="en-US" w:eastAsia="zh-CN"/>
        </w:rPr>
      </w:pPr>
      <w:r>
        <w:rPr>
          <w:rFonts w:hint="eastAsia"/>
          <w:color w:val="auto"/>
          <w:sz w:val="28"/>
          <w:szCs w:val="28"/>
          <w:lang w:eastAsia="zh-CN"/>
        </w:rPr>
        <w:t>附件</w:t>
      </w:r>
      <w:r>
        <w:rPr>
          <w:rFonts w:hint="eastAsia"/>
          <w:color w:val="auto"/>
          <w:sz w:val="28"/>
          <w:szCs w:val="28"/>
          <w:lang w:val="en-US" w:eastAsia="zh-CN"/>
        </w:rPr>
        <w:t>3 租赁协议</w:t>
      </w:r>
    </w:p>
    <w:p>
      <w:pPr>
        <w:jc w:val="both"/>
        <w:rPr>
          <w:rFonts w:hint="eastAsia"/>
          <w:color w:val="auto"/>
          <w:sz w:val="28"/>
          <w:szCs w:val="28"/>
          <w:lang w:val="en-US" w:eastAsia="zh-CN"/>
        </w:rPr>
      </w:pPr>
      <w:r>
        <w:rPr>
          <w:rFonts w:hint="eastAsia"/>
          <w:color w:val="auto"/>
          <w:sz w:val="28"/>
          <w:szCs w:val="28"/>
          <w:lang w:val="en-US" w:eastAsia="zh-CN"/>
        </w:rPr>
        <w:drawing>
          <wp:inline distT="0" distB="0" distL="114300" distR="114300">
            <wp:extent cx="6040120" cy="8306435"/>
            <wp:effectExtent l="0" t="0" r="17780" b="18415"/>
            <wp:docPr id="17" name="图片 17" descr="土地租赁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土地租赁协议"/>
                    <pic:cNvPicPr>
                      <a:picLocks noChangeAspect="1"/>
                    </pic:cNvPicPr>
                  </pic:nvPicPr>
                  <pic:blipFill>
                    <a:blip r:embed="rId40"/>
                    <a:stretch>
                      <a:fillRect/>
                    </a:stretch>
                  </pic:blipFill>
                  <pic:spPr>
                    <a:xfrm>
                      <a:off x="0" y="0"/>
                      <a:ext cx="6040120" cy="8306435"/>
                    </a:xfrm>
                    <a:prstGeom prst="rect">
                      <a:avLst/>
                    </a:prstGeom>
                  </pic:spPr>
                </pic:pic>
              </a:graphicData>
            </a:graphic>
          </wp:inline>
        </w:drawing>
      </w:r>
    </w:p>
    <w:p>
      <w:pPr>
        <w:jc w:val="both"/>
        <w:rPr>
          <w:color w:val="FF0000"/>
        </w:rPr>
      </w:pPr>
    </w:p>
    <w:p>
      <w:pPr>
        <w:jc w:val="both"/>
        <w:rPr>
          <w:rFonts w:hint="eastAsia"/>
          <w:color w:val="auto"/>
          <w:sz w:val="28"/>
          <w:szCs w:val="28"/>
          <w:lang w:val="en-US" w:eastAsia="zh-CN"/>
        </w:rPr>
      </w:pPr>
      <w:r>
        <w:rPr>
          <w:rFonts w:hint="eastAsia"/>
          <w:color w:val="auto"/>
          <w:sz w:val="28"/>
          <w:szCs w:val="28"/>
          <w:lang w:eastAsia="zh-CN"/>
        </w:rPr>
        <w:t>附件</w:t>
      </w:r>
      <w:r>
        <w:rPr>
          <w:rFonts w:hint="eastAsia"/>
          <w:color w:val="auto"/>
          <w:sz w:val="28"/>
          <w:szCs w:val="28"/>
          <w:lang w:val="en-US" w:eastAsia="zh-CN"/>
        </w:rPr>
        <w:t>4 处罚决定书及罚款缴纳证明</w:t>
      </w:r>
    </w:p>
    <w:p>
      <w:pPr>
        <w:jc w:val="both"/>
        <w:rPr>
          <w:color w:val="FF0000"/>
        </w:rPr>
      </w:pPr>
      <w:r>
        <w:rPr>
          <w:rFonts w:hint="eastAsia"/>
          <w:color w:val="auto"/>
          <w:sz w:val="28"/>
          <w:szCs w:val="28"/>
          <w:lang w:val="en-US" w:eastAsia="zh-CN"/>
        </w:rPr>
        <w:drawing>
          <wp:inline distT="0" distB="0" distL="114300" distR="114300">
            <wp:extent cx="5598160" cy="7987030"/>
            <wp:effectExtent l="0" t="0" r="2540" b="13970"/>
            <wp:docPr id="24" name="图片 24" descr="处罚决定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处罚决定书1"/>
                    <pic:cNvPicPr>
                      <a:picLocks noChangeAspect="1"/>
                    </pic:cNvPicPr>
                  </pic:nvPicPr>
                  <pic:blipFill>
                    <a:blip r:embed="rId41"/>
                    <a:stretch>
                      <a:fillRect/>
                    </a:stretch>
                  </pic:blipFill>
                  <pic:spPr>
                    <a:xfrm>
                      <a:off x="0" y="0"/>
                      <a:ext cx="5598160" cy="7987030"/>
                    </a:xfrm>
                    <a:prstGeom prst="rect">
                      <a:avLst/>
                    </a:prstGeom>
                  </pic:spPr>
                </pic:pic>
              </a:graphicData>
            </a:graphic>
          </wp:inline>
        </w:drawing>
      </w:r>
      <w:r>
        <w:rPr>
          <w:rFonts w:hint="eastAsia"/>
          <w:color w:val="auto"/>
          <w:sz w:val="28"/>
          <w:szCs w:val="28"/>
          <w:lang w:val="en-US" w:eastAsia="zh-CN"/>
        </w:rPr>
        <w:drawing>
          <wp:inline distT="0" distB="0" distL="114300" distR="114300">
            <wp:extent cx="6035040" cy="8609965"/>
            <wp:effectExtent l="0" t="0" r="3810" b="635"/>
            <wp:docPr id="25" name="图片 25" descr="处罚决定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处罚决定书2"/>
                    <pic:cNvPicPr>
                      <a:picLocks noChangeAspect="1"/>
                    </pic:cNvPicPr>
                  </pic:nvPicPr>
                  <pic:blipFill>
                    <a:blip r:embed="rId42"/>
                    <a:stretch>
                      <a:fillRect/>
                    </a:stretch>
                  </pic:blipFill>
                  <pic:spPr>
                    <a:xfrm>
                      <a:off x="0" y="0"/>
                      <a:ext cx="6035040" cy="8609965"/>
                    </a:xfrm>
                    <a:prstGeom prst="rect">
                      <a:avLst/>
                    </a:prstGeom>
                  </pic:spPr>
                </pic:pic>
              </a:graphicData>
            </a:graphic>
          </wp:inline>
        </w:drawing>
      </w:r>
      <w:r>
        <w:rPr>
          <w:rFonts w:hint="eastAsia"/>
          <w:color w:val="auto"/>
          <w:sz w:val="28"/>
          <w:szCs w:val="28"/>
          <w:lang w:val="en-US" w:eastAsia="zh-CN"/>
        </w:rPr>
        <w:drawing>
          <wp:inline distT="0" distB="0" distL="114300" distR="114300">
            <wp:extent cx="6035040" cy="8609965"/>
            <wp:effectExtent l="0" t="0" r="3810" b="635"/>
            <wp:docPr id="26" name="图片 26" descr="处罚决定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处罚决定书3"/>
                    <pic:cNvPicPr>
                      <a:picLocks noChangeAspect="1"/>
                    </pic:cNvPicPr>
                  </pic:nvPicPr>
                  <pic:blipFill>
                    <a:blip r:embed="rId43"/>
                    <a:stretch>
                      <a:fillRect/>
                    </a:stretch>
                  </pic:blipFill>
                  <pic:spPr>
                    <a:xfrm>
                      <a:off x="0" y="0"/>
                      <a:ext cx="6035040" cy="8609965"/>
                    </a:xfrm>
                    <a:prstGeom prst="rect">
                      <a:avLst/>
                    </a:prstGeom>
                  </pic:spPr>
                </pic:pic>
              </a:graphicData>
            </a:graphic>
          </wp:inline>
        </w:drawing>
      </w:r>
      <w:r>
        <w:rPr>
          <w:rFonts w:hint="eastAsia"/>
          <w:color w:val="auto"/>
          <w:sz w:val="28"/>
          <w:szCs w:val="28"/>
          <w:lang w:val="en-US" w:eastAsia="zh-CN"/>
        </w:rPr>
        <w:drawing>
          <wp:inline distT="0" distB="0" distL="114300" distR="114300">
            <wp:extent cx="6035040" cy="8609965"/>
            <wp:effectExtent l="0" t="0" r="3810" b="635"/>
            <wp:docPr id="27" name="图片 27" descr="未批先建罚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未批先建罚款"/>
                    <pic:cNvPicPr>
                      <a:picLocks noChangeAspect="1"/>
                    </pic:cNvPicPr>
                  </pic:nvPicPr>
                  <pic:blipFill>
                    <a:blip r:embed="rId44"/>
                    <a:stretch>
                      <a:fillRect/>
                    </a:stretch>
                  </pic:blipFill>
                  <pic:spPr>
                    <a:xfrm>
                      <a:off x="0" y="0"/>
                      <a:ext cx="6035040" cy="8609965"/>
                    </a:xfrm>
                    <a:prstGeom prst="rect">
                      <a:avLst/>
                    </a:prstGeom>
                  </pic:spPr>
                </pic:pic>
              </a:graphicData>
            </a:graphic>
          </wp:inline>
        </w:drawing>
      </w:r>
    </w:p>
    <w:sectPr>
      <w:pgSz w:w="11906" w:h="16838"/>
      <w:pgMar w:top="1531" w:right="1191" w:bottom="1531" w:left="119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44</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FF13B"/>
    <w:multiLevelType w:val="singleLevel"/>
    <w:tmpl w:val="A4FFF13B"/>
    <w:lvl w:ilvl="0" w:tentative="0">
      <w:start w:val="4"/>
      <w:numFmt w:val="decimal"/>
      <w:suff w:val="nothing"/>
      <w:lvlText w:val="（%1）"/>
      <w:lvlJc w:val="left"/>
    </w:lvl>
  </w:abstractNum>
  <w:abstractNum w:abstractNumId="1">
    <w:nsid w:val="CE1F5FB0"/>
    <w:multiLevelType w:val="singleLevel"/>
    <w:tmpl w:val="CE1F5FB0"/>
    <w:lvl w:ilvl="0" w:tentative="0">
      <w:start w:val="1"/>
      <w:numFmt w:val="decimal"/>
      <w:suff w:val="nothing"/>
      <w:lvlText w:val="%1、"/>
      <w:lvlJc w:val="left"/>
    </w:lvl>
  </w:abstractNum>
  <w:abstractNum w:abstractNumId="2">
    <w:nsid w:val="2A007224"/>
    <w:multiLevelType w:val="singleLevel"/>
    <w:tmpl w:val="2A007224"/>
    <w:lvl w:ilvl="0" w:tentative="0">
      <w:start w:val="1"/>
      <w:numFmt w:val="decimal"/>
      <w:pStyle w:val="9"/>
      <w:lvlText w:val="表%1 "/>
      <w:lvlJc w:val="left"/>
      <w:pPr>
        <w:tabs>
          <w:tab w:val="left" w:pos="397"/>
        </w:tabs>
        <w:ind w:left="454" w:hanging="454"/>
      </w:pPr>
      <w:rPr>
        <w:rFonts w:hint="default"/>
      </w:rPr>
    </w:lvl>
  </w:abstractNum>
  <w:abstractNum w:abstractNumId="3">
    <w:nsid w:val="47891E63"/>
    <w:multiLevelType w:val="multilevel"/>
    <w:tmpl w:val="47891E63"/>
    <w:lvl w:ilvl="0" w:tentative="0">
      <w:start w:val="1"/>
      <w:numFmt w:val="decimal"/>
      <w:pStyle w:val="17"/>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6AA317E2"/>
    <w:multiLevelType w:val="multilevel"/>
    <w:tmpl w:val="6AA317E2"/>
    <w:lvl w:ilvl="0" w:tentative="0">
      <w:start w:val="1"/>
      <w:numFmt w:val="chineseCounting"/>
      <w:suff w:val="space"/>
      <w:lvlText w:val="第%1章 "/>
      <w:lvlJc w:val="left"/>
      <w:pPr>
        <w:tabs>
          <w:tab w:val="left" w:pos="0"/>
        </w:tabs>
        <w:ind w:left="0" w:firstLine="0"/>
      </w:pPr>
      <w:rPr>
        <w:rFonts w:hint="eastAsia" w:ascii="宋体" w:hAnsi="宋体" w:eastAsia="宋体" w:cs="宋体"/>
        <w:color w:val="auto"/>
        <w:u w:val="none"/>
      </w:rPr>
    </w:lvl>
    <w:lvl w:ilvl="1" w:tentative="0">
      <w:start w:val="1"/>
      <w:numFmt w:val="decimal"/>
      <w:pStyle w:val="4"/>
      <w:suff w:val="space"/>
      <w:lvlText w:val="%2 "/>
      <w:lvlJc w:val="left"/>
      <w:pPr>
        <w:tabs>
          <w:tab w:val="left" w:pos="0"/>
        </w:tabs>
        <w:ind w:left="0" w:firstLine="0"/>
      </w:pPr>
      <w:rPr>
        <w:rFonts w:hint="eastAsia" w:ascii="宋体" w:hAnsi="宋体" w:eastAsia="宋体" w:cs="宋体"/>
      </w:rPr>
    </w:lvl>
    <w:lvl w:ilvl="2" w:tentative="0">
      <w:start w:val="1"/>
      <w:numFmt w:val="decimal"/>
      <w:lvlRestart w:val="0"/>
      <w:suff w:val="space"/>
      <w:lvlText w:val="1.%3 "/>
      <w:lvlJc w:val="left"/>
      <w:pPr>
        <w:tabs>
          <w:tab w:val="left" w:pos="0"/>
        </w:tabs>
        <w:ind w:left="0" w:firstLine="0"/>
      </w:pPr>
      <w:rPr>
        <w:rFonts w:hint="eastAsia" w:ascii="Times New Roman" w:hAnsi="Times New Roman" w:eastAsia="宋体" w:cs="宋体"/>
      </w:rPr>
    </w:lvl>
    <w:lvl w:ilvl="3" w:tentative="0">
      <w:start w:val="1"/>
      <w:numFmt w:val="decimal"/>
      <w:pStyle w:val="6"/>
      <w:isLgl/>
      <w:suff w:val="space"/>
      <w:lvlText w:val="%1.%2.%3.%4 "/>
      <w:lvlJc w:val="left"/>
      <w:pPr>
        <w:tabs>
          <w:tab w:val="left" w:pos="0"/>
        </w:tabs>
        <w:ind w:left="0" w:firstLine="0"/>
      </w:pPr>
      <w:rPr>
        <w:rFonts w:hint="eastAsia" w:ascii="宋体" w:hAnsi="宋体" w:eastAsia="宋体" w:cs="宋体"/>
      </w:rPr>
    </w:lvl>
    <w:lvl w:ilvl="4" w:tentative="0">
      <w:start w:val="1"/>
      <w:numFmt w:val="decimal"/>
      <w:lvlRestart w:val="2"/>
      <w:isLgl/>
      <w:suff w:val="space"/>
      <w:lvlText w:val="表%1.%2-%5 "/>
      <w:lvlJc w:val="left"/>
      <w:pPr>
        <w:tabs>
          <w:tab w:val="left" w:pos="2410"/>
        </w:tabs>
        <w:ind w:left="2410" w:firstLine="0"/>
      </w:pPr>
      <w:rPr>
        <w:rFonts w:hint="eastAsia" w:ascii="宋体" w:hAnsi="宋体" w:eastAsia="宋体" w:cs="宋体"/>
      </w:rPr>
    </w:lvl>
    <w:lvl w:ilvl="5" w:tentative="0">
      <w:start w:val="1"/>
      <w:numFmt w:val="decimal"/>
      <w:lvlRestart w:val="1"/>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Restart w:val="1"/>
      <w:suff w:val="space"/>
      <w:lvlText w:val="第%1章 %7"/>
      <w:lvlJc w:val="left"/>
      <w:pPr>
        <w:tabs>
          <w:tab w:val="left" w:pos="420"/>
        </w:tabs>
        <w:ind w:left="0" w:firstLine="0"/>
      </w:pPr>
      <w:rPr>
        <w:rFonts w:hint="eastAsia" w:ascii="Times New Roman" w:hAnsi="Times New Roman" w:eastAsia="宋体" w:cs="宋体"/>
      </w:rPr>
    </w:lvl>
    <w:lvl w:ilvl="7" w:tentative="0">
      <w:start w:val="1"/>
      <w:numFmt w:val="decimal"/>
      <w:lvlRestart w:val="4"/>
      <w:suff w:val="nothing"/>
      <w:lvlText w:val="（%8）"/>
      <w:lvlJc w:val="left"/>
      <w:pPr>
        <w:tabs>
          <w:tab w:val="left" w:pos="420"/>
        </w:tabs>
        <w:ind w:left="0" w:firstLine="40"/>
      </w:pPr>
      <w:rPr>
        <w:rFonts w:hint="eastAsia" w:ascii="Times New Roman" w:hAnsi="Times New Roman" w:eastAsia="宋体" w:cs="宋体"/>
      </w:rPr>
    </w:lvl>
    <w:lvl w:ilvl="8" w:tentative="0">
      <w:start w:val="1"/>
      <w:numFmt w:val="decimalEnclosedCircleChinese"/>
      <w:suff w:val="nothing"/>
      <w:lvlText w:val="%9"/>
      <w:lvlJc w:val="left"/>
      <w:pPr>
        <w:tabs>
          <w:tab w:val="left" w:pos="0"/>
        </w:tabs>
        <w:ind w:left="0" w:firstLine="40"/>
      </w:pPr>
      <w:rPr>
        <w:rFonts w:hint="eastAsia" w:ascii="Times New Roman" w:hAnsi="Times New Roman" w:eastAsia="宋体" w:cs="宋体"/>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I1ZWJiODAyMDgyZGE1MjU5YzdhMzYyODQxMTdhODIifQ=="/>
  </w:docVars>
  <w:rsids>
    <w:rsidRoot w:val="00172A27"/>
    <w:rsid w:val="000032E4"/>
    <w:rsid w:val="000060B3"/>
    <w:rsid w:val="0000712F"/>
    <w:rsid w:val="000115BC"/>
    <w:rsid w:val="00011727"/>
    <w:rsid w:val="00013695"/>
    <w:rsid w:val="00014EC9"/>
    <w:rsid w:val="000156A0"/>
    <w:rsid w:val="00023616"/>
    <w:rsid w:val="00024C61"/>
    <w:rsid w:val="00032717"/>
    <w:rsid w:val="00033863"/>
    <w:rsid w:val="00033FDA"/>
    <w:rsid w:val="00034578"/>
    <w:rsid w:val="00036D14"/>
    <w:rsid w:val="00037005"/>
    <w:rsid w:val="0003711F"/>
    <w:rsid w:val="00037532"/>
    <w:rsid w:val="00041532"/>
    <w:rsid w:val="00041E38"/>
    <w:rsid w:val="0004364B"/>
    <w:rsid w:val="00043CB0"/>
    <w:rsid w:val="00043CC5"/>
    <w:rsid w:val="00044437"/>
    <w:rsid w:val="000458A8"/>
    <w:rsid w:val="00051F7F"/>
    <w:rsid w:val="00053931"/>
    <w:rsid w:val="000557EF"/>
    <w:rsid w:val="00057F34"/>
    <w:rsid w:val="00061B1F"/>
    <w:rsid w:val="00070550"/>
    <w:rsid w:val="00072A85"/>
    <w:rsid w:val="000733C4"/>
    <w:rsid w:val="00074783"/>
    <w:rsid w:val="00075E05"/>
    <w:rsid w:val="00077010"/>
    <w:rsid w:val="0008070B"/>
    <w:rsid w:val="000810AC"/>
    <w:rsid w:val="000816DF"/>
    <w:rsid w:val="00081A02"/>
    <w:rsid w:val="00081FFB"/>
    <w:rsid w:val="00082231"/>
    <w:rsid w:val="00082A74"/>
    <w:rsid w:val="0008342C"/>
    <w:rsid w:val="00083DEF"/>
    <w:rsid w:val="0008511C"/>
    <w:rsid w:val="00085426"/>
    <w:rsid w:val="00090BC5"/>
    <w:rsid w:val="00091828"/>
    <w:rsid w:val="0009244D"/>
    <w:rsid w:val="00092D38"/>
    <w:rsid w:val="0009377B"/>
    <w:rsid w:val="000969AD"/>
    <w:rsid w:val="000A1AA8"/>
    <w:rsid w:val="000A20C9"/>
    <w:rsid w:val="000A3187"/>
    <w:rsid w:val="000A4D2B"/>
    <w:rsid w:val="000A588C"/>
    <w:rsid w:val="000A62F2"/>
    <w:rsid w:val="000A7759"/>
    <w:rsid w:val="000B058F"/>
    <w:rsid w:val="000B17C0"/>
    <w:rsid w:val="000B3344"/>
    <w:rsid w:val="000B4467"/>
    <w:rsid w:val="000B4DB9"/>
    <w:rsid w:val="000B6964"/>
    <w:rsid w:val="000B6DBE"/>
    <w:rsid w:val="000C04D8"/>
    <w:rsid w:val="000C09AC"/>
    <w:rsid w:val="000C0CE5"/>
    <w:rsid w:val="000C2BED"/>
    <w:rsid w:val="000C47A0"/>
    <w:rsid w:val="000C66B0"/>
    <w:rsid w:val="000C71A3"/>
    <w:rsid w:val="000C767F"/>
    <w:rsid w:val="000C768D"/>
    <w:rsid w:val="000D148F"/>
    <w:rsid w:val="000D1E57"/>
    <w:rsid w:val="000D4FE7"/>
    <w:rsid w:val="000D55A6"/>
    <w:rsid w:val="000D5A44"/>
    <w:rsid w:val="000D6754"/>
    <w:rsid w:val="000E2358"/>
    <w:rsid w:val="000E274A"/>
    <w:rsid w:val="000E2DEC"/>
    <w:rsid w:val="000E3ED2"/>
    <w:rsid w:val="000F0265"/>
    <w:rsid w:val="000F0346"/>
    <w:rsid w:val="000F154D"/>
    <w:rsid w:val="000F421A"/>
    <w:rsid w:val="000F5C02"/>
    <w:rsid w:val="000F662D"/>
    <w:rsid w:val="000F76FC"/>
    <w:rsid w:val="000F7892"/>
    <w:rsid w:val="001006A7"/>
    <w:rsid w:val="001010E8"/>
    <w:rsid w:val="001023D5"/>
    <w:rsid w:val="00103625"/>
    <w:rsid w:val="0010385A"/>
    <w:rsid w:val="00103BD7"/>
    <w:rsid w:val="00106D9A"/>
    <w:rsid w:val="00107C33"/>
    <w:rsid w:val="00113E7F"/>
    <w:rsid w:val="001140C8"/>
    <w:rsid w:val="00114277"/>
    <w:rsid w:val="00115A8F"/>
    <w:rsid w:val="00115DCA"/>
    <w:rsid w:val="00117105"/>
    <w:rsid w:val="001210BD"/>
    <w:rsid w:val="00125AC6"/>
    <w:rsid w:val="00125E44"/>
    <w:rsid w:val="00125F66"/>
    <w:rsid w:val="001304BD"/>
    <w:rsid w:val="00130A76"/>
    <w:rsid w:val="001319FD"/>
    <w:rsid w:val="00131F42"/>
    <w:rsid w:val="001332BC"/>
    <w:rsid w:val="00133CBE"/>
    <w:rsid w:val="001357F1"/>
    <w:rsid w:val="001358DF"/>
    <w:rsid w:val="001370AA"/>
    <w:rsid w:val="001401E5"/>
    <w:rsid w:val="0014076A"/>
    <w:rsid w:val="0014090A"/>
    <w:rsid w:val="00140FA8"/>
    <w:rsid w:val="001410D9"/>
    <w:rsid w:val="001422CF"/>
    <w:rsid w:val="00142E40"/>
    <w:rsid w:val="00142FEB"/>
    <w:rsid w:val="00143A2D"/>
    <w:rsid w:val="00145A41"/>
    <w:rsid w:val="00146A90"/>
    <w:rsid w:val="00150D66"/>
    <w:rsid w:val="00151675"/>
    <w:rsid w:val="00154977"/>
    <w:rsid w:val="00156C74"/>
    <w:rsid w:val="00156DAA"/>
    <w:rsid w:val="00157435"/>
    <w:rsid w:val="0016026D"/>
    <w:rsid w:val="00160F84"/>
    <w:rsid w:val="0016197A"/>
    <w:rsid w:val="001620D8"/>
    <w:rsid w:val="00164C26"/>
    <w:rsid w:val="00164E1E"/>
    <w:rsid w:val="001675C7"/>
    <w:rsid w:val="001676B2"/>
    <w:rsid w:val="001679BD"/>
    <w:rsid w:val="00167B0C"/>
    <w:rsid w:val="00170346"/>
    <w:rsid w:val="001720FA"/>
    <w:rsid w:val="0017504D"/>
    <w:rsid w:val="0017671A"/>
    <w:rsid w:val="00177422"/>
    <w:rsid w:val="00180DB5"/>
    <w:rsid w:val="0018116E"/>
    <w:rsid w:val="00182208"/>
    <w:rsid w:val="00182756"/>
    <w:rsid w:val="00184590"/>
    <w:rsid w:val="001855CD"/>
    <w:rsid w:val="00186E97"/>
    <w:rsid w:val="001870D1"/>
    <w:rsid w:val="0018714E"/>
    <w:rsid w:val="0018781E"/>
    <w:rsid w:val="0019262D"/>
    <w:rsid w:val="00196750"/>
    <w:rsid w:val="001A1B35"/>
    <w:rsid w:val="001A2056"/>
    <w:rsid w:val="001A48A2"/>
    <w:rsid w:val="001A57CC"/>
    <w:rsid w:val="001A6F61"/>
    <w:rsid w:val="001A7180"/>
    <w:rsid w:val="001B091F"/>
    <w:rsid w:val="001B24CD"/>
    <w:rsid w:val="001B56E2"/>
    <w:rsid w:val="001B72B8"/>
    <w:rsid w:val="001C0D28"/>
    <w:rsid w:val="001C0E81"/>
    <w:rsid w:val="001C15B0"/>
    <w:rsid w:val="001C652C"/>
    <w:rsid w:val="001C676F"/>
    <w:rsid w:val="001C69B3"/>
    <w:rsid w:val="001C74B4"/>
    <w:rsid w:val="001C7715"/>
    <w:rsid w:val="001D5595"/>
    <w:rsid w:val="001D62E3"/>
    <w:rsid w:val="001D64D5"/>
    <w:rsid w:val="001D6803"/>
    <w:rsid w:val="001D6F8D"/>
    <w:rsid w:val="001D72CC"/>
    <w:rsid w:val="001D7874"/>
    <w:rsid w:val="001D7916"/>
    <w:rsid w:val="001D7F22"/>
    <w:rsid w:val="001E08FC"/>
    <w:rsid w:val="001E0A9E"/>
    <w:rsid w:val="001E35B8"/>
    <w:rsid w:val="001E4595"/>
    <w:rsid w:val="001E49C9"/>
    <w:rsid w:val="001E5C65"/>
    <w:rsid w:val="001E6C23"/>
    <w:rsid w:val="001E7864"/>
    <w:rsid w:val="001F0F17"/>
    <w:rsid w:val="001F3347"/>
    <w:rsid w:val="001F3809"/>
    <w:rsid w:val="001F39F9"/>
    <w:rsid w:val="001F69E4"/>
    <w:rsid w:val="001F6C91"/>
    <w:rsid w:val="00201769"/>
    <w:rsid w:val="00203362"/>
    <w:rsid w:val="00203E02"/>
    <w:rsid w:val="002048CD"/>
    <w:rsid w:val="0020562F"/>
    <w:rsid w:val="00206B6C"/>
    <w:rsid w:val="002109F9"/>
    <w:rsid w:val="00210C78"/>
    <w:rsid w:val="00211DB3"/>
    <w:rsid w:val="002125B4"/>
    <w:rsid w:val="0021455D"/>
    <w:rsid w:val="002148E2"/>
    <w:rsid w:val="00214F43"/>
    <w:rsid w:val="002155B8"/>
    <w:rsid w:val="0021767F"/>
    <w:rsid w:val="00221EC2"/>
    <w:rsid w:val="00224839"/>
    <w:rsid w:val="002249B2"/>
    <w:rsid w:val="00225D27"/>
    <w:rsid w:val="002264CA"/>
    <w:rsid w:val="00226574"/>
    <w:rsid w:val="00226C00"/>
    <w:rsid w:val="0022700C"/>
    <w:rsid w:val="002278EC"/>
    <w:rsid w:val="0023280E"/>
    <w:rsid w:val="00233951"/>
    <w:rsid w:val="00233AC0"/>
    <w:rsid w:val="00234198"/>
    <w:rsid w:val="00234FE0"/>
    <w:rsid w:val="00236F07"/>
    <w:rsid w:val="002377D1"/>
    <w:rsid w:val="00241158"/>
    <w:rsid w:val="00241B2E"/>
    <w:rsid w:val="00241F6B"/>
    <w:rsid w:val="00242DA7"/>
    <w:rsid w:val="002433F1"/>
    <w:rsid w:val="002434A9"/>
    <w:rsid w:val="00246ECD"/>
    <w:rsid w:val="002506BC"/>
    <w:rsid w:val="00254345"/>
    <w:rsid w:val="002562C9"/>
    <w:rsid w:val="00257E3C"/>
    <w:rsid w:val="002623F1"/>
    <w:rsid w:val="002643E6"/>
    <w:rsid w:val="00264557"/>
    <w:rsid w:val="00270F48"/>
    <w:rsid w:val="0027170F"/>
    <w:rsid w:val="00276249"/>
    <w:rsid w:val="00276FA5"/>
    <w:rsid w:val="002805AB"/>
    <w:rsid w:val="00282069"/>
    <w:rsid w:val="00283737"/>
    <w:rsid w:val="00283A26"/>
    <w:rsid w:val="00284204"/>
    <w:rsid w:val="00285ABA"/>
    <w:rsid w:val="00286191"/>
    <w:rsid w:val="0028714C"/>
    <w:rsid w:val="00287402"/>
    <w:rsid w:val="00287FD4"/>
    <w:rsid w:val="00291550"/>
    <w:rsid w:val="00291773"/>
    <w:rsid w:val="00291BC7"/>
    <w:rsid w:val="0029396B"/>
    <w:rsid w:val="00293A0A"/>
    <w:rsid w:val="00295B99"/>
    <w:rsid w:val="002968E4"/>
    <w:rsid w:val="002A0541"/>
    <w:rsid w:val="002A168C"/>
    <w:rsid w:val="002A2A87"/>
    <w:rsid w:val="002A3784"/>
    <w:rsid w:val="002A3DC7"/>
    <w:rsid w:val="002A6800"/>
    <w:rsid w:val="002B2F56"/>
    <w:rsid w:val="002B4927"/>
    <w:rsid w:val="002B49E2"/>
    <w:rsid w:val="002B5D81"/>
    <w:rsid w:val="002B6236"/>
    <w:rsid w:val="002B7B00"/>
    <w:rsid w:val="002B7C44"/>
    <w:rsid w:val="002C1118"/>
    <w:rsid w:val="002C2B17"/>
    <w:rsid w:val="002C2C77"/>
    <w:rsid w:val="002C3A8A"/>
    <w:rsid w:val="002C6757"/>
    <w:rsid w:val="002C7478"/>
    <w:rsid w:val="002C7F92"/>
    <w:rsid w:val="002D18F8"/>
    <w:rsid w:val="002D2E67"/>
    <w:rsid w:val="002D3DD0"/>
    <w:rsid w:val="002D4641"/>
    <w:rsid w:val="002D5103"/>
    <w:rsid w:val="002D6656"/>
    <w:rsid w:val="002E152A"/>
    <w:rsid w:val="002E1F3A"/>
    <w:rsid w:val="002E2259"/>
    <w:rsid w:val="002E298A"/>
    <w:rsid w:val="002E52CF"/>
    <w:rsid w:val="002E7666"/>
    <w:rsid w:val="002F2FAB"/>
    <w:rsid w:val="002F3D31"/>
    <w:rsid w:val="002F6970"/>
    <w:rsid w:val="003004D4"/>
    <w:rsid w:val="00300697"/>
    <w:rsid w:val="003009FD"/>
    <w:rsid w:val="003015AD"/>
    <w:rsid w:val="00301978"/>
    <w:rsid w:val="0030332C"/>
    <w:rsid w:val="003039E4"/>
    <w:rsid w:val="00304AF8"/>
    <w:rsid w:val="00304C88"/>
    <w:rsid w:val="003051C2"/>
    <w:rsid w:val="00305BEC"/>
    <w:rsid w:val="00306B06"/>
    <w:rsid w:val="00307029"/>
    <w:rsid w:val="00307B78"/>
    <w:rsid w:val="003101DA"/>
    <w:rsid w:val="00312296"/>
    <w:rsid w:val="00313448"/>
    <w:rsid w:val="00313E7C"/>
    <w:rsid w:val="00314F0E"/>
    <w:rsid w:val="003178CD"/>
    <w:rsid w:val="00321D8E"/>
    <w:rsid w:val="00323F56"/>
    <w:rsid w:val="003248CA"/>
    <w:rsid w:val="00325928"/>
    <w:rsid w:val="003262FE"/>
    <w:rsid w:val="00332670"/>
    <w:rsid w:val="00332863"/>
    <w:rsid w:val="00333216"/>
    <w:rsid w:val="00333387"/>
    <w:rsid w:val="0033482A"/>
    <w:rsid w:val="00335282"/>
    <w:rsid w:val="003366AB"/>
    <w:rsid w:val="0033684D"/>
    <w:rsid w:val="00337312"/>
    <w:rsid w:val="00337B42"/>
    <w:rsid w:val="003401BF"/>
    <w:rsid w:val="00341B42"/>
    <w:rsid w:val="00342895"/>
    <w:rsid w:val="00343264"/>
    <w:rsid w:val="0034348F"/>
    <w:rsid w:val="00346FC9"/>
    <w:rsid w:val="00350126"/>
    <w:rsid w:val="0035095A"/>
    <w:rsid w:val="003512DF"/>
    <w:rsid w:val="0035202B"/>
    <w:rsid w:val="00356653"/>
    <w:rsid w:val="00356D0F"/>
    <w:rsid w:val="0035743F"/>
    <w:rsid w:val="00357BE2"/>
    <w:rsid w:val="0036170C"/>
    <w:rsid w:val="00361D73"/>
    <w:rsid w:val="0036259A"/>
    <w:rsid w:val="00362718"/>
    <w:rsid w:val="00363D0A"/>
    <w:rsid w:val="003642D6"/>
    <w:rsid w:val="003651DF"/>
    <w:rsid w:val="00365236"/>
    <w:rsid w:val="0036663C"/>
    <w:rsid w:val="00366E0F"/>
    <w:rsid w:val="00375846"/>
    <w:rsid w:val="003768F4"/>
    <w:rsid w:val="003769FE"/>
    <w:rsid w:val="00377299"/>
    <w:rsid w:val="00380BC3"/>
    <w:rsid w:val="00381706"/>
    <w:rsid w:val="00381A72"/>
    <w:rsid w:val="00383440"/>
    <w:rsid w:val="003836AB"/>
    <w:rsid w:val="00384676"/>
    <w:rsid w:val="00386B47"/>
    <w:rsid w:val="00390857"/>
    <w:rsid w:val="003912EE"/>
    <w:rsid w:val="00392560"/>
    <w:rsid w:val="00392C1F"/>
    <w:rsid w:val="00393CAC"/>
    <w:rsid w:val="003958C9"/>
    <w:rsid w:val="003A0712"/>
    <w:rsid w:val="003A4BF3"/>
    <w:rsid w:val="003A5229"/>
    <w:rsid w:val="003A615F"/>
    <w:rsid w:val="003A756B"/>
    <w:rsid w:val="003B420D"/>
    <w:rsid w:val="003B4802"/>
    <w:rsid w:val="003B6075"/>
    <w:rsid w:val="003B60D1"/>
    <w:rsid w:val="003B66DD"/>
    <w:rsid w:val="003B7042"/>
    <w:rsid w:val="003C07DF"/>
    <w:rsid w:val="003C5168"/>
    <w:rsid w:val="003C5B4A"/>
    <w:rsid w:val="003C5F44"/>
    <w:rsid w:val="003C6320"/>
    <w:rsid w:val="003C6C16"/>
    <w:rsid w:val="003D0101"/>
    <w:rsid w:val="003D03BE"/>
    <w:rsid w:val="003D130C"/>
    <w:rsid w:val="003D165F"/>
    <w:rsid w:val="003D794D"/>
    <w:rsid w:val="003E1014"/>
    <w:rsid w:val="003E14BE"/>
    <w:rsid w:val="003E3058"/>
    <w:rsid w:val="003E67F4"/>
    <w:rsid w:val="003E72D7"/>
    <w:rsid w:val="003E76A9"/>
    <w:rsid w:val="003F0809"/>
    <w:rsid w:val="003F0B4C"/>
    <w:rsid w:val="003F275B"/>
    <w:rsid w:val="003F2E69"/>
    <w:rsid w:val="003F3DF2"/>
    <w:rsid w:val="003F457A"/>
    <w:rsid w:val="003F6A8C"/>
    <w:rsid w:val="003F755C"/>
    <w:rsid w:val="00401365"/>
    <w:rsid w:val="004032AF"/>
    <w:rsid w:val="004037BC"/>
    <w:rsid w:val="00403D1D"/>
    <w:rsid w:val="00404EAE"/>
    <w:rsid w:val="00406843"/>
    <w:rsid w:val="00406F01"/>
    <w:rsid w:val="0041545F"/>
    <w:rsid w:val="004158C1"/>
    <w:rsid w:val="00416D50"/>
    <w:rsid w:val="00416FD5"/>
    <w:rsid w:val="00417772"/>
    <w:rsid w:val="00417B12"/>
    <w:rsid w:val="00420522"/>
    <w:rsid w:val="00420E6A"/>
    <w:rsid w:val="00421487"/>
    <w:rsid w:val="00423D5B"/>
    <w:rsid w:val="00425A9E"/>
    <w:rsid w:val="004269EF"/>
    <w:rsid w:val="00426D6B"/>
    <w:rsid w:val="004319F0"/>
    <w:rsid w:val="00431CC2"/>
    <w:rsid w:val="00431DF5"/>
    <w:rsid w:val="00431E6C"/>
    <w:rsid w:val="004327B5"/>
    <w:rsid w:val="00432BFA"/>
    <w:rsid w:val="004332EE"/>
    <w:rsid w:val="00433CE7"/>
    <w:rsid w:val="00434179"/>
    <w:rsid w:val="0043529A"/>
    <w:rsid w:val="00435396"/>
    <w:rsid w:val="0043647F"/>
    <w:rsid w:val="00441B93"/>
    <w:rsid w:val="004422C8"/>
    <w:rsid w:val="004425DB"/>
    <w:rsid w:val="00444734"/>
    <w:rsid w:val="00447162"/>
    <w:rsid w:val="00447AC0"/>
    <w:rsid w:val="00447E64"/>
    <w:rsid w:val="004523B9"/>
    <w:rsid w:val="00452738"/>
    <w:rsid w:val="00456091"/>
    <w:rsid w:val="00460B19"/>
    <w:rsid w:val="00464B8A"/>
    <w:rsid w:val="0046603E"/>
    <w:rsid w:val="00466321"/>
    <w:rsid w:val="004672A2"/>
    <w:rsid w:val="004677D1"/>
    <w:rsid w:val="00467D05"/>
    <w:rsid w:val="0047011E"/>
    <w:rsid w:val="00470499"/>
    <w:rsid w:val="0047318C"/>
    <w:rsid w:val="004733A4"/>
    <w:rsid w:val="00474CD4"/>
    <w:rsid w:val="00477321"/>
    <w:rsid w:val="00477A2B"/>
    <w:rsid w:val="00477AAE"/>
    <w:rsid w:val="004800EF"/>
    <w:rsid w:val="00481166"/>
    <w:rsid w:val="004814CB"/>
    <w:rsid w:val="004833F2"/>
    <w:rsid w:val="00483DB5"/>
    <w:rsid w:val="00484B9B"/>
    <w:rsid w:val="004855F6"/>
    <w:rsid w:val="00485B3F"/>
    <w:rsid w:val="004864E4"/>
    <w:rsid w:val="0048661E"/>
    <w:rsid w:val="004874D5"/>
    <w:rsid w:val="004877E7"/>
    <w:rsid w:val="00490C18"/>
    <w:rsid w:val="00494670"/>
    <w:rsid w:val="004967EB"/>
    <w:rsid w:val="00497F98"/>
    <w:rsid w:val="004A01BB"/>
    <w:rsid w:val="004A2F5F"/>
    <w:rsid w:val="004A3823"/>
    <w:rsid w:val="004A5F31"/>
    <w:rsid w:val="004A6388"/>
    <w:rsid w:val="004A76D8"/>
    <w:rsid w:val="004B0757"/>
    <w:rsid w:val="004B0B57"/>
    <w:rsid w:val="004B3270"/>
    <w:rsid w:val="004B4CA0"/>
    <w:rsid w:val="004B55D1"/>
    <w:rsid w:val="004B68A4"/>
    <w:rsid w:val="004B6DE1"/>
    <w:rsid w:val="004B76F0"/>
    <w:rsid w:val="004C1A9E"/>
    <w:rsid w:val="004C5483"/>
    <w:rsid w:val="004C6632"/>
    <w:rsid w:val="004C72C6"/>
    <w:rsid w:val="004C76DD"/>
    <w:rsid w:val="004C79E9"/>
    <w:rsid w:val="004D13C8"/>
    <w:rsid w:val="004D2AB8"/>
    <w:rsid w:val="004D390E"/>
    <w:rsid w:val="004E2113"/>
    <w:rsid w:val="004E2611"/>
    <w:rsid w:val="004E417A"/>
    <w:rsid w:val="004E53D4"/>
    <w:rsid w:val="004E6946"/>
    <w:rsid w:val="004E7AA4"/>
    <w:rsid w:val="004F016C"/>
    <w:rsid w:val="004F0AA3"/>
    <w:rsid w:val="004F1AD8"/>
    <w:rsid w:val="004F1D70"/>
    <w:rsid w:val="004F545F"/>
    <w:rsid w:val="00503681"/>
    <w:rsid w:val="005039CB"/>
    <w:rsid w:val="0050558F"/>
    <w:rsid w:val="00506286"/>
    <w:rsid w:val="00506B8B"/>
    <w:rsid w:val="005079A2"/>
    <w:rsid w:val="00510437"/>
    <w:rsid w:val="00510813"/>
    <w:rsid w:val="00511990"/>
    <w:rsid w:val="00511DE0"/>
    <w:rsid w:val="00513F02"/>
    <w:rsid w:val="00514870"/>
    <w:rsid w:val="00514B9B"/>
    <w:rsid w:val="005153A3"/>
    <w:rsid w:val="00517CAE"/>
    <w:rsid w:val="00517CD2"/>
    <w:rsid w:val="00517F02"/>
    <w:rsid w:val="00521C03"/>
    <w:rsid w:val="00524303"/>
    <w:rsid w:val="005258A2"/>
    <w:rsid w:val="005278A9"/>
    <w:rsid w:val="005307A6"/>
    <w:rsid w:val="0053455A"/>
    <w:rsid w:val="00535620"/>
    <w:rsid w:val="00536AC4"/>
    <w:rsid w:val="00536F33"/>
    <w:rsid w:val="00537D49"/>
    <w:rsid w:val="005401AE"/>
    <w:rsid w:val="00542E07"/>
    <w:rsid w:val="00545424"/>
    <w:rsid w:val="005476CF"/>
    <w:rsid w:val="00550678"/>
    <w:rsid w:val="005506BD"/>
    <w:rsid w:val="00550CDC"/>
    <w:rsid w:val="00554A7B"/>
    <w:rsid w:val="0055572C"/>
    <w:rsid w:val="0055590C"/>
    <w:rsid w:val="00557633"/>
    <w:rsid w:val="00557A27"/>
    <w:rsid w:val="0056106A"/>
    <w:rsid w:val="00561D9F"/>
    <w:rsid w:val="005626D8"/>
    <w:rsid w:val="005672F2"/>
    <w:rsid w:val="005720AE"/>
    <w:rsid w:val="00572BEE"/>
    <w:rsid w:val="00574267"/>
    <w:rsid w:val="0058067E"/>
    <w:rsid w:val="00580A88"/>
    <w:rsid w:val="0058147D"/>
    <w:rsid w:val="0058297A"/>
    <w:rsid w:val="0058456F"/>
    <w:rsid w:val="00584878"/>
    <w:rsid w:val="00584A49"/>
    <w:rsid w:val="005864D1"/>
    <w:rsid w:val="005866DA"/>
    <w:rsid w:val="0059272E"/>
    <w:rsid w:val="00594D77"/>
    <w:rsid w:val="00595731"/>
    <w:rsid w:val="005960D5"/>
    <w:rsid w:val="005969E4"/>
    <w:rsid w:val="005A06B7"/>
    <w:rsid w:val="005A07AD"/>
    <w:rsid w:val="005A0B08"/>
    <w:rsid w:val="005A0CDB"/>
    <w:rsid w:val="005A1759"/>
    <w:rsid w:val="005A207B"/>
    <w:rsid w:val="005A2DC2"/>
    <w:rsid w:val="005A67F1"/>
    <w:rsid w:val="005A68A7"/>
    <w:rsid w:val="005A7F86"/>
    <w:rsid w:val="005B05DF"/>
    <w:rsid w:val="005B235B"/>
    <w:rsid w:val="005B29A0"/>
    <w:rsid w:val="005B3E23"/>
    <w:rsid w:val="005B5B93"/>
    <w:rsid w:val="005C3AFC"/>
    <w:rsid w:val="005C65C8"/>
    <w:rsid w:val="005C7420"/>
    <w:rsid w:val="005C7E27"/>
    <w:rsid w:val="005D36AB"/>
    <w:rsid w:val="005D4A4B"/>
    <w:rsid w:val="005D69B4"/>
    <w:rsid w:val="005E1B8F"/>
    <w:rsid w:val="005E3136"/>
    <w:rsid w:val="005E6926"/>
    <w:rsid w:val="005F2A21"/>
    <w:rsid w:val="005F35C8"/>
    <w:rsid w:val="005F4FBC"/>
    <w:rsid w:val="005F5ACE"/>
    <w:rsid w:val="005F6447"/>
    <w:rsid w:val="005F6822"/>
    <w:rsid w:val="00601259"/>
    <w:rsid w:val="00603E8A"/>
    <w:rsid w:val="006079DA"/>
    <w:rsid w:val="00610534"/>
    <w:rsid w:val="00610992"/>
    <w:rsid w:val="00611501"/>
    <w:rsid w:val="00612343"/>
    <w:rsid w:val="00613354"/>
    <w:rsid w:val="00613576"/>
    <w:rsid w:val="006156B5"/>
    <w:rsid w:val="00617158"/>
    <w:rsid w:val="0061790B"/>
    <w:rsid w:val="00617CC3"/>
    <w:rsid w:val="0062084F"/>
    <w:rsid w:val="006208EC"/>
    <w:rsid w:val="00631119"/>
    <w:rsid w:val="00631B41"/>
    <w:rsid w:val="00632698"/>
    <w:rsid w:val="00634E77"/>
    <w:rsid w:val="006359DE"/>
    <w:rsid w:val="0063619D"/>
    <w:rsid w:val="00636E02"/>
    <w:rsid w:val="006377A6"/>
    <w:rsid w:val="00637A3D"/>
    <w:rsid w:val="00640F7D"/>
    <w:rsid w:val="006411EF"/>
    <w:rsid w:val="0064139B"/>
    <w:rsid w:val="0064179B"/>
    <w:rsid w:val="0064259A"/>
    <w:rsid w:val="00643FA2"/>
    <w:rsid w:val="006522B1"/>
    <w:rsid w:val="00653FE7"/>
    <w:rsid w:val="006629E6"/>
    <w:rsid w:val="00665A45"/>
    <w:rsid w:val="0066728F"/>
    <w:rsid w:val="0067003F"/>
    <w:rsid w:val="006709DC"/>
    <w:rsid w:val="00672CB5"/>
    <w:rsid w:val="006748B8"/>
    <w:rsid w:val="00675128"/>
    <w:rsid w:val="006751D0"/>
    <w:rsid w:val="00675D9B"/>
    <w:rsid w:val="006775C3"/>
    <w:rsid w:val="00680919"/>
    <w:rsid w:val="00684697"/>
    <w:rsid w:val="00685810"/>
    <w:rsid w:val="00687546"/>
    <w:rsid w:val="00691892"/>
    <w:rsid w:val="006927AC"/>
    <w:rsid w:val="0069290A"/>
    <w:rsid w:val="00692967"/>
    <w:rsid w:val="0069327F"/>
    <w:rsid w:val="00693B1C"/>
    <w:rsid w:val="00694A58"/>
    <w:rsid w:val="00696956"/>
    <w:rsid w:val="006969FA"/>
    <w:rsid w:val="00697005"/>
    <w:rsid w:val="00697261"/>
    <w:rsid w:val="00697408"/>
    <w:rsid w:val="0069775A"/>
    <w:rsid w:val="00697813"/>
    <w:rsid w:val="006A27E7"/>
    <w:rsid w:val="006A2E55"/>
    <w:rsid w:val="006A3EE8"/>
    <w:rsid w:val="006A4005"/>
    <w:rsid w:val="006A72BF"/>
    <w:rsid w:val="006B03F2"/>
    <w:rsid w:val="006B315B"/>
    <w:rsid w:val="006B31C3"/>
    <w:rsid w:val="006B37DC"/>
    <w:rsid w:val="006B4F68"/>
    <w:rsid w:val="006B5758"/>
    <w:rsid w:val="006C0592"/>
    <w:rsid w:val="006C1F71"/>
    <w:rsid w:val="006C272E"/>
    <w:rsid w:val="006C5479"/>
    <w:rsid w:val="006C61E5"/>
    <w:rsid w:val="006C7DB4"/>
    <w:rsid w:val="006C7FCD"/>
    <w:rsid w:val="006D079D"/>
    <w:rsid w:val="006D13B5"/>
    <w:rsid w:val="006D4B28"/>
    <w:rsid w:val="006D74A5"/>
    <w:rsid w:val="006E0097"/>
    <w:rsid w:val="006E12FF"/>
    <w:rsid w:val="006E2498"/>
    <w:rsid w:val="006E41AA"/>
    <w:rsid w:val="006E4D83"/>
    <w:rsid w:val="006E557F"/>
    <w:rsid w:val="006E5782"/>
    <w:rsid w:val="006E5F96"/>
    <w:rsid w:val="006E607E"/>
    <w:rsid w:val="006E7498"/>
    <w:rsid w:val="006E7533"/>
    <w:rsid w:val="006F22E0"/>
    <w:rsid w:val="006F2692"/>
    <w:rsid w:val="006F2794"/>
    <w:rsid w:val="006F2F3D"/>
    <w:rsid w:val="006F5794"/>
    <w:rsid w:val="0070102F"/>
    <w:rsid w:val="00702039"/>
    <w:rsid w:val="007029E6"/>
    <w:rsid w:val="00704329"/>
    <w:rsid w:val="00704DA2"/>
    <w:rsid w:val="00704FE7"/>
    <w:rsid w:val="00706C5D"/>
    <w:rsid w:val="00706FEC"/>
    <w:rsid w:val="00710221"/>
    <w:rsid w:val="00712003"/>
    <w:rsid w:val="00716E4F"/>
    <w:rsid w:val="007207E0"/>
    <w:rsid w:val="00720C72"/>
    <w:rsid w:val="00720D7E"/>
    <w:rsid w:val="00720FD4"/>
    <w:rsid w:val="00723A60"/>
    <w:rsid w:val="00723AD5"/>
    <w:rsid w:val="0072489D"/>
    <w:rsid w:val="007273F3"/>
    <w:rsid w:val="007274FC"/>
    <w:rsid w:val="00727A04"/>
    <w:rsid w:val="00730538"/>
    <w:rsid w:val="007311FD"/>
    <w:rsid w:val="007319EE"/>
    <w:rsid w:val="0073259F"/>
    <w:rsid w:val="00732922"/>
    <w:rsid w:val="00733266"/>
    <w:rsid w:val="00734EEC"/>
    <w:rsid w:val="0073620A"/>
    <w:rsid w:val="0073662E"/>
    <w:rsid w:val="00740839"/>
    <w:rsid w:val="00746CEE"/>
    <w:rsid w:val="0075162E"/>
    <w:rsid w:val="007516FA"/>
    <w:rsid w:val="00752914"/>
    <w:rsid w:val="0075303F"/>
    <w:rsid w:val="00754034"/>
    <w:rsid w:val="00754436"/>
    <w:rsid w:val="00754E97"/>
    <w:rsid w:val="00755F0D"/>
    <w:rsid w:val="0075638C"/>
    <w:rsid w:val="00756556"/>
    <w:rsid w:val="00756B06"/>
    <w:rsid w:val="00756D79"/>
    <w:rsid w:val="007618C4"/>
    <w:rsid w:val="007630D5"/>
    <w:rsid w:val="00764248"/>
    <w:rsid w:val="007647F3"/>
    <w:rsid w:val="007666F3"/>
    <w:rsid w:val="007678F5"/>
    <w:rsid w:val="00767980"/>
    <w:rsid w:val="00770B19"/>
    <w:rsid w:val="00771B68"/>
    <w:rsid w:val="00773221"/>
    <w:rsid w:val="0077463F"/>
    <w:rsid w:val="007756C4"/>
    <w:rsid w:val="00775A00"/>
    <w:rsid w:val="00780496"/>
    <w:rsid w:val="00781FC3"/>
    <w:rsid w:val="007829F5"/>
    <w:rsid w:val="007836EA"/>
    <w:rsid w:val="00783E52"/>
    <w:rsid w:val="0078480D"/>
    <w:rsid w:val="007848C8"/>
    <w:rsid w:val="00784CDA"/>
    <w:rsid w:val="007865D8"/>
    <w:rsid w:val="00787AC2"/>
    <w:rsid w:val="00790443"/>
    <w:rsid w:val="007906C4"/>
    <w:rsid w:val="00790848"/>
    <w:rsid w:val="007920DD"/>
    <w:rsid w:val="007928DC"/>
    <w:rsid w:val="007930B1"/>
    <w:rsid w:val="007940EA"/>
    <w:rsid w:val="0079558B"/>
    <w:rsid w:val="00795882"/>
    <w:rsid w:val="007967E8"/>
    <w:rsid w:val="00797D2C"/>
    <w:rsid w:val="007A02FF"/>
    <w:rsid w:val="007A15E4"/>
    <w:rsid w:val="007A2170"/>
    <w:rsid w:val="007A22BF"/>
    <w:rsid w:val="007A2D2A"/>
    <w:rsid w:val="007A3323"/>
    <w:rsid w:val="007B0CF3"/>
    <w:rsid w:val="007B0CFC"/>
    <w:rsid w:val="007B0D39"/>
    <w:rsid w:val="007B111E"/>
    <w:rsid w:val="007B1138"/>
    <w:rsid w:val="007B1710"/>
    <w:rsid w:val="007B58C9"/>
    <w:rsid w:val="007B72B8"/>
    <w:rsid w:val="007B7A58"/>
    <w:rsid w:val="007C21B5"/>
    <w:rsid w:val="007C257F"/>
    <w:rsid w:val="007C7AA5"/>
    <w:rsid w:val="007C7AE2"/>
    <w:rsid w:val="007D29AA"/>
    <w:rsid w:val="007D3922"/>
    <w:rsid w:val="007D3AA0"/>
    <w:rsid w:val="007D48DB"/>
    <w:rsid w:val="007D5766"/>
    <w:rsid w:val="007D6A53"/>
    <w:rsid w:val="007E18B7"/>
    <w:rsid w:val="007E3158"/>
    <w:rsid w:val="007E4BD2"/>
    <w:rsid w:val="007E4CD8"/>
    <w:rsid w:val="007E50BC"/>
    <w:rsid w:val="007E560F"/>
    <w:rsid w:val="007E6635"/>
    <w:rsid w:val="007F19EB"/>
    <w:rsid w:val="007F2BCA"/>
    <w:rsid w:val="007F4911"/>
    <w:rsid w:val="007F4D00"/>
    <w:rsid w:val="00800D6D"/>
    <w:rsid w:val="00801393"/>
    <w:rsid w:val="00801450"/>
    <w:rsid w:val="008016D3"/>
    <w:rsid w:val="008017D5"/>
    <w:rsid w:val="008025EA"/>
    <w:rsid w:val="00802C50"/>
    <w:rsid w:val="00802C75"/>
    <w:rsid w:val="00802F88"/>
    <w:rsid w:val="00804BC6"/>
    <w:rsid w:val="008076DB"/>
    <w:rsid w:val="00810173"/>
    <w:rsid w:val="0081293E"/>
    <w:rsid w:val="00815465"/>
    <w:rsid w:val="00817024"/>
    <w:rsid w:val="00817B53"/>
    <w:rsid w:val="00817E9A"/>
    <w:rsid w:val="008202F4"/>
    <w:rsid w:val="00821907"/>
    <w:rsid w:val="00823113"/>
    <w:rsid w:val="008252CF"/>
    <w:rsid w:val="0083020B"/>
    <w:rsid w:val="008306BD"/>
    <w:rsid w:val="00831A80"/>
    <w:rsid w:val="008321BB"/>
    <w:rsid w:val="00833743"/>
    <w:rsid w:val="008340A4"/>
    <w:rsid w:val="0084024E"/>
    <w:rsid w:val="0084375C"/>
    <w:rsid w:val="0084678A"/>
    <w:rsid w:val="00847341"/>
    <w:rsid w:val="00851A9D"/>
    <w:rsid w:val="00853CB6"/>
    <w:rsid w:val="008569CE"/>
    <w:rsid w:val="0086177C"/>
    <w:rsid w:val="00863953"/>
    <w:rsid w:val="00864C9E"/>
    <w:rsid w:val="00864CD7"/>
    <w:rsid w:val="00865778"/>
    <w:rsid w:val="008665F4"/>
    <w:rsid w:val="00866BB3"/>
    <w:rsid w:val="0087135F"/>
    <w:rsid w:val="00871F50"/>
    <w:rsid w:val="00872CB8"/>
    <w:rsid w:val="00872D94"/>
    <w:rsid w:val="00874450"/>
    <w:rsid w:val="00874C51"/>
    <w:rsid w:val="00876D9C"/>
    <w:rsid w:val="00876E6A"/>
    <w:rsid w:val="00880364"/>
    <w:rsid w:val="00880E0D"/>
    <w:rsid w:val="00886794"/>
    <w:rsid w:val="0089065E"/>
    <w:rsid w:val="00891592"/>
    <w:rsid w:val="00891594"/>
    <w:rsid w:val="008915E3"/>
    <w:rsid w:val="00891E9E"/>
    <w:rsid w:val="00892822"/>
    <w:rsid w:val="008930C2"/>
    <w:rsid w:val="00894EF9"/>
    <w:rsid w:val="00895938"/>
    <w:rsid w:val="0089625A"/>
    <w:rsid w:val="008962B6"/>
    <w:rsid w:val="008A0039"/>
    <w:rsid w:val="008A13D3"/>
    <w:rsid w:val="008A1524"/>
    <w:rsid w:val="008A195E"/>
    <w:rsid w:val="008A1A95"/>
    <w:rsid w:val="008A2D8A"/>
    <w:rsid w:val="008A2F68"/>
    <w:rsid w:val="008A4668"/>
    <w:rsid w:val="008A5429"/>
    <w:rsid w:val="008A757B"/>
    <w:rsid w:val="008B00A5"/>
    <w:rsid w:val="008B03D5"/>
    <w:rsid w:val="008B10ED"/>
    <w:rsid w:val="008B30F2"/>
    <w:rsid w:val="008B4FA6"/>
    <w:rsid w:val="008B5282"/>
    <w:rsid w:val="008B6ECE"/>
    <w:rsid w:val="008B7788"/>
    <w:rsid w:val="008B7C17"/>
    <w:rsid w:val="008C0936"/>
    <w:rsid w:val="008C1CDA"/>
    <w:rsid w:val="008C1E5D"/>
    <w:rsid w:val="008C2D01"/>
    <w:rsid w:val="008C40E6"/>
    <w:rsid w:val="008C5DD8"/>
    <w:rsid w:val="008C7781"/>
    <w:rsid w:val="008D009E"/>
    <w:rsid w:val="008D05B0"/>
    <w:rsid w:val="008D0F7A"/>
    <w:rsid w:val="008D4A4E"/>
    <w:rsid w:val="008D68E4"/>
    <w:rsid w:val="008E0506"/>
    <w:rsid w:val="008E062C"/>
    <w:rsid w:val="008E0CFF"/>
    <w:rsid w:val="008E1052"/>
    <w:rsid w:val="008E4C8B"/>
    <w:rsid w:val="008E5D6B"/>
    <w:rsid w:val="008E69D6"/>
    <w:rsid w:val="008E76F0"/>
    <w:rsid w:val="008E7B57"/>
    <w:rsid w:val="008F0A89"/>
    <w:rsid w:val="008F111B"/>
    <w:rsid w:val="008F15FE"/>
    <w:rsid w:val="008F2D29"/>
    <w:rsid w:val="008F3284"/>
    <w:rsid w:val="008F5187"/>
    <w:rsid w:val="008F60D8"/>
    <w:rsid w:val="008F7CF9"/>
    <w:rsid w:val="0090025A"/>
    <w:rsid w:val="00902052"/>
    <w:rsid w:val="00902328"/>
    <w:rsid w:val="00902727"/>
    <w:rsid w:val="0090312B"/>
    <w:rsid w:val="00904223"/>
    <w:rsid w:val="00904268"/>
    <w:rsid w:val="00904846"/>
    <w:rsid w:val="00905557"/>
    <w:rsid w:val="009063D0"/>
    <w:rsid w:val="0090769D"/>
    <w:rsid w:val="00907921"/>
    <w:rsid w:val="00913D6C"/>
    <w:rsid w:val="0091477F"/>
    <w:rsid w:val="00915710"/>
    <w:rsid w:val="0091736D"/>
    <w:rsid w:val="00920388"/>
    <w:rsid w:val="0092238F"/>
    <w:rsid w:val="00925F05"/>
    <w:rsid w:val="0092653A"/>
    <w:rsid w:val="0093037A"/>
    <w:rsid w:val="00933169"/>
    <w:rsid w:val="0093482C"/>
    <w:rsid w:val="00935EB0"/>
    <w:rsid w:val="00937C82"/>
    <w:rsid w:val="0094154D"/>
    <w:rsid w:val="00945D57"/>
    <w:rsid w:val="00946053"/>
    <w:rsid w:val="009465B5"/>
    <w:rsid w:val="00947B10"/>
    <w:rsid w:val="00947B77"/>
    <w:rsid w:val="00947C0B"/>
    <w:rsid w:val="00947F45"/>
    <w:rsid w:val="00950240"/>
    <w:rsid w:val="0095101F"/>
    <w:rsid w:val="0095155F"/>
    <w:rsid w:val="009538DE"/>
    <w:rsid w:val="00954429"/>
    <w:rsid w:val="009563CE"/>
    <w:rsid w:val="00961D1E"/>
    <w:rsid w:val="009624DC"/>
    <w:rsid w:val="00962536"/>
    <w:rsid w:val="0096551D"/>
    <w:rsid w:val="009706C2"/>
    <w:rsid w:val="00972276"/>
    <w:rsid w:val="00973235"/>
    <w:rsid w:val="00973339"/>
    <w:rsid w:val="00973EF4"/>
    <w:rsid w:val="00974B7F"/>
    <w:rsid w:val="00975D45"/>
    <w:rsid w:val="00976328"/>
    <w:rsid w:val="00976378"/>
    <w:rsid w:val="0097680D"/>
    <w:rsid w:val="009773F7"/>
    <w:rsid w:val="00982438"/>
    <w:rsid w:val="0098404C"/>
    <w:rsid w:val="0098410A"/>
    <w:rsid w:val="00984647"/>
    <w:rsid w:val="00985283"/>
    <w:rsid w:val="009858BF"/>
    <w:rsid w:val="009933D5"/>
    <w:rsid w:val="009936D1"/>
    <w:rsid w:val="00994002"/>
    <w:rsid w:val="00995992"/>
    <w:rsid w:val="00996CC9"/>
    <w:rsid w:val="00997A70"/>
    <w:rsid w:val="009A03E5"/>
    <w:rsid w:val="009A0D13"/>
    <w:rsid w:val="009A0F3B"/>
    <w:rsid w:val="009A1BB4"/>
    <w:rsid w:val="009A2628"/>
    <w:rsid w:val="009A3200"/>
    <w:rsid w:val="009A5432"/>
    <w:rsid w:val="009A6D2C"/>
    <w:rsid w:val="009A70D9"/>
    <w:rsid w:val="009B0897"/>
    <w:rsid w:val="009B3A82"/>
    <w:rsid w:val="009B5CA9"/>
    <w:rsid w:val="009B6F11"/>
    <w:rsid w:val="009B7BD9"/>
    <w:rsid w:val="009C0C08"/>
    <w:rsid w:val="009C0EA3"/>
    <w:rsid w:val="009C1644"/>
    <w:rsid w:val="009C2258"/>
    <w:rsid w:val="009C2D19"/>
    <w:rsid w:val="009C35A7"/>
    <w:rsid w:val="009C4E04"/>
    <w:rsid w:val="009C5B3C"/>
    <w:rsid w:val="009C65DD"/>
    <w:rsid w:val="009C66CD"/>
    <w:rsid w:val="009C71E0"/>
    <w:rsid w:val="009C7DD5"/>
    <w:rsid w:val="009D4E0C"/>
    <w:rsid w:val="009D6474"/>
    <w:rsid w:val="009E227D"/>
    <w:rsid w:val="009E3450"/>
    <w:rsid w:val="009E35D6"/>
    <w:rsid w:val="009E3BA4"/>
    <w:rsid w:val="009E4DCB"/>
    <w:rsid w:val="009E5019"/>
    <w:rsid w:val="009E54D2"/>
    <w:rsid w:val="009E6DE3"/>
    <w:rsid w:val="009E72C4"/>
    <w:rsid w:val="009F2B61"/>
    <w:rsid w:val="009F3C64"/>
    <w:rsid w:val="009F534D"/>
    <w:rsid w:val="00A016C7"/>
    <w:rsid w:val="00A0197B"/>
    <w:rsid w:val="00A03B33"/>
    <w:rsid w:val="00A03FD9"/>
    <w:rsid w:val="00A04F1B"/>
    <w:rsid w:val="00A0501B"/>
    <w:rsid w:val="00A10E97"/>
    <w:rsid w:val="00A11A27"/>
    <w:rsid w:val="00A12A1B"/>
    <w:rsid w:val="00A12F44"/>
    <w:rsid w:val="00A14947"/>
    <w:rsid w:val="00A163C2"/>
    <w:rsid w:val="00A200DC"/>
    <w:rsid w:val="00A203CA"/>
    <w:rsid w:val="00A274F5"/>
    <w:rsid w:val="00A27BA5"/>
    <w:rsid w:val="00A32A83"/>
    <w:rsid w:val="00A34362"/>
    <w:rsid w:val="00A368DB"/>
    <w:rsid w:val="00A36AFB"/>
    <w:rsid w:val="00A407FD"/>
    <w:rsid w:val="00A409E0"/>
    <w:rsid w:val="00A419CA"/>
    <w:rsid w:val="00A42202"/>
    <w:rsid w:val="00A423AA"/>
    <w:rsid w:val="00A45EEC"/>
    <w:rsid w:val="00A53EC6"/>
    <w:rsid w:val="00A5501C"/>
    <w:rsid w:val="00A55C0F"/>
    <w:rsid w:val="00A65FA9"/>
    <w:rsid w:val="00A67B02"/>
    <w:rsid w:val="00A67D0A"/>
    <w:rsid w:val="00A70C25"/>
    <w:rsid w:val="00A749BC"/>
    <w:rsid w:val="00A752C7"/>
    <w:rsid w:val="00A75472"/>
    <w:rsid w:val="00A761BE"/>
    <w:rsid w:val="00A77A0E"/>
    <w:rsid w:val="00A77E1B"/>
    <w:rsid w:val="00A849C3"/>
    <w:rsid w:val="00A8713F"/>
    <w:rsid w:val="00A90269"/>
    <w:rsid w:val="00A906A7"/>
    <w:rsid w:val="00A90BA1"/>
    <w:rsid w:val="00A90BE4"/>
    <w:rsid w:val="00A92F85"/>
    <w:rsid w:val="00A94AF8"/>
    <w:rsid w:val="00A97A9A"/>
    <w:rsid w:val="00A97E1F"/>
    <w:rsid w:val="00AA0671"/>
    <w:rsid w:val="00AA09C8"/>
    <w:rsid w:val="00AA108F"/>
    <w:rsid w:val="00AA1AFF"/>
    <w:rsid w:val="00AA2531"/>
    <w:rsid w:val="00AA2A63"/>
    <w:rsid w:val="00AA7478"/>
    <w:rsid w:val="00AA7DA8"/>
    <w:rsid w:val="00AA7EFF"/>
    <w:rsid w:val="00AB1E09"/>
    <w:rsid w:val="00AB4C45"/>
    <w:rsid w:val="00AB5330"/>
    <w:rsid w:val="00AB5A43"/>
    <w:rsid w:val="00AB70E4"/>
    <w:rsid w:val="00AB7747"/>
    <w:rsid w:val="00AC14CE"/>
    <w:rsid w:val="00AC273D"/>
    <w:rsid w:val="00AC2A56"/>
    <w:rsid w:val="00AC4B06"/>
    <w:rsid w:val="00AC5B9E"/>
    <w:rsid w:val="00AC5C88"/>
    <w:rsid w:val="00AC6229"/>
    <w:rsid w:val="00AC7B25"/>
    <w:rsid w:val="00AC7E31"/>
    <w:rsid w:val="00AD02DD"/>
    <w:rsid w:val="00AD03BE"/>
    <w:rsid w:val="00AD055E"/>
    <w:rsid w:val="00AD3E8D"/>
    <w:rsid w:val="00AD4734"/>
    <w:rsid w:val="00AD47A7"/>
    <w:rsid w:val="00AD51BD"/>
    <w:rsid w:val="00AE035A"/>
    <w:rsid w:val="00AE03D9"/>
    <w:rsid w:val="00AE2907"/>
    <w:rsid w:val="00AE2BB7"/>
    <w:rsid w:val="00AE2BDB"/>
    <w:rsid w:val="00AE2D03"/>
    <w:rsid w:val="00AE3BC8"/>
    <w:rsid w:val="00AE6A57"/>
    <w:rsid w:val="00AE6D50"/>
    <w:rsid w:val="00AF0CBF"/>
    <w:rsid w:val="00AF257F"/>
    <w:rsid w:val="00AF33CF"/>
    <w:rsid w:val="00AF4631"/>
    <w:rsid w:val="00AF4D50"/>
    <w:rsid w:val="00AF5473"/>
    <w:rsid w:val="00AF6179"/>
    <w:rsid w:val="00B00E97"/>
    <w:rsid w:val="00B05309"/>
    <w:rsid w:val="00B078E3"/>
    <w:rsid w:val="00B10EAB"/>
    <w:rsid w:val="00B1148C"/>
    <w:rsid w:val="00B1295A"/>
    <w:rsid w:val="00B17D43"/>
    <w:rsid w:val="00B20A45"/>
    <w:rsid w:val="00B216EC"/>
    <w:rsid w:val="00B21C6E"/>
    <w:rsid w:val="00B2238B"/>
    <w:rsid w:val="00B22C5C"/>
    <w:rsid w:val="00B2478D"/>
    <w:rsid w:val="00B247A2"/>
    <w:rsid w:val="00B24F30"/>
    <w:rsid w:val="00B252AA"/>
    <w:rsid w:val="00B27330"/>
    <w:rsid w:val="00B31035"/>
    <w:rsid w:val="00B31ABF"/>
    <w:rsid w:val="00B33BE3"/>
    <w:rsid w:val="00B34405"/>
    <w:rsid w:val="00B35262"/>
    <w:rsid w:val="00B40253"/>
    <w:rsid w:val="00B4157D"/>
    <w:rsid w:val="00B42685"/>
    <w:rsid w:val="00B44A1C"/>
    <w:rsid w:val="00B450B4"/>
    <w:rsid w:val="00B454B7"/>
    <w:rsid w:val="00B46AC8"/>
    <w:rsid w:val="00B47447"/>
    <w:rsid w:val="00B47CD1"/>
    <w:rsid w:val="00B51C53"/>
    <w:rsid w:val="00B53B5D"/>
    <w:rsid w:val="00B55868"/>
    <w:rsid w:val="00B6055E"/>
    <w:rsid w:val="00B60FFF"/>
    <w:rsid w:val="00B61E80"/>
    <w:rsid w:val="00B6317D"/>
    <w:rsid w:val="00B65084"/>
    <w:rsid w:val="00B70FFA"/>
    <w:rsid w:val="00B712B8"/>
    <w:rsid w:val="00B71312"/>
    <w:rsid w:val="00B71920"/>
    <w:rsid w:val="00B73D9B"/>
    <w:rsid w:val="00B75181"/>
    <w:rsid w:val="00B7723F"/>
    <w:rsid w:val="00B77D2C"/>
    <w:rsid w:val="00B803A5"/>
    <w:rsid w:val="00B80534"/>
    <w:rsid w:val="00B8312D"/>
    <w:rsid w:val="00B8433C"/>
    <w:rsid w:val="00B85D8A"/>
    <w:rsid w:val="00B8652B"/>
    <w:rsid w:val="00B8730B"/>
    <w:rsid w:val="00B87491"/>
    <w:rsid w:val="00B87FCF"/>
    <w:rsid w:val="00B915FD"/>
    <w:rsid w:val="00B916DF"/>
    <w:rsid w:val="00B91FBD"/>
    <w:rsid w:val="00B92973"/>
    <w:rsid w:val="00B95631"/>
    <w:rsid w:val="00B9662F"/>
    <w:rsid w:val="00BA143A"/>
    <w:rsid w:val="00BA29E9"/>
    <w:rsid w:val="00BA305A"/>
    <w:rsid w:val="00BA3F98"/>
    <w:rsid w:val="00BA4D43"/>
    <w:rsid w:val="00BA56CA"/>
    <w:rsid w:val="00BA7142"/>
    <w:rsid w:val="00BA724E"/>
    <w:rsid w:val="00BB0323"/>
    <w:rsid w:val="00BB044E"/>
    <w:rsid w:val="00BB237C"/>
    <w:rsid w:val="00BB268A"/>
    <w:rsid w:val="00BB294F"/>
    <w:rsid w:val="00BB41A3"/>
    <w:rsid w:val="00BB4F93"/>
    <w:rsid w:val="00BB5A15"/>
    <w:rsid w:val="00BC2685"/>
    <w:rsid w:val="00BC32DC"/>
    <w:rsid w:val="00BC35B6"/>
    <w:rsid w:val="00BD0186"/>
    <w:rsid w:val="00BD06DF"/>
    <w:rsid w:val="00BD10A1"/>
    <w:rsid w:val="00BD1960"/>
    <w:rsid w:val="00BD1B51"/>
    <w:rsid w:val="00BD1EE6"/>
    <w:rsid w:val="00BD4596"/>
    <w:rsid w:val="00BD4D6C"/>
    <w:rsid w:val="00BD6DB9"/>
    <w:rsid w:val="00BE0C7A"/>
    <w:rsid w:val="00BE1405"/>
    <w:rsid w:val="00BE312D"/>
    <w:rsid w:val="00BE4BC3"/>
    <w:rsid w:val="00BE748C"/>
    <w:rsid w:val="00BE7797"/>
    <w:rsid w:val="00BF1C20"/>
    <w:rsid w:val="00BF33ED"/>
    <w:rsid w:val="00BF747E"/>
    <w:rsid w:val="00C000A4"/>
    <w:rsid w:val="00C04ECC"/>
    <w:rsid w:val="00C0505F"/>
    <w:rsid w:val="00C1017B"/>
    <w:rsid w:val="00C10578"/>
    <w:rsid w:val="00C11368"/>
    <w:rsid w:val="00C1143A"/>
    <w:rsid w:val="00C135BC"/>
    <w:rsid w:val="00C150B3"/>
    <w:rsid w:val="00C15C95"/>
    <w:rsid w:val="00C165E1"/>
    <w:rsid w:val="00C21521"/>
    <w:rsid w:val="00C23ED6"/>
    <w:rsid w:val="00C2596A"/>
    <w:rsid w:val="00C266A1"/>
    <w:rsid w:val="00C26B06"/>
    <w:rsid w:val="00C26BB8"/>
    <w:rsid w:val="00C27537"/>
    <w:rsid w:val="00C318E0"/>
    <w:rsid w:val="00C328FE"/>
    <w:rsid w:val="00C33507"/>
    <w:rsid w:val="00C3391F"/>
    <w:rsid w:val="00C36296"/>
    <w:rsid w:val="00C37292"/>
    <w:rsid w:val="00C37D8E"/>
    <w:rsid w:val="00C41ED6"/>
    <w:rsid w:val="00C4409D"/>
    <w:rsid w:val="00C4441C"/>
    <w:rsid w:val="00C44702"/>
    <w:rsid w:val="00C44E72"/>
    <w:rsid w:val="00C45A06"/>
    <w:rsid w:val="00C465F5"/>
    <w:rsid w:val="00C47E5B"/>
    <w:rsid w:val="00C56377"/>
    <w:rsid w:val="00C57C3D"/>
    <w:rsid w:val="00C61E4B"/>
    <w:rsid w:val="00C6249C"/>
    <w:rsid w:val="00C64BB7"/>
    <w:rsid w:val="00C64BFF"/>
    <w:rsid w:val="00C66E39"/>
    <w:rsid w:val="00C704E9"/>
    <w:rsid w:val="00C70ECB"/>
    <w:rsid w:val="00C71739"/>
    <w:rsid w:val="00C754F1"/>
    <w:rsid w:val="00C75842"/>
    <w:rsid w:val="00C75C68"/>
    <w:rsid w:val="00C763C9"/>
    <w:rsid w:val="00C76AFB"/>
    <w:rsid w:val="00C80057"/>
    <w:rsid w:val="00C82232"/>
    <w:rsid w:val="00C82913"/>
    <w:rsid w:val="00C83710"/>
    <w:rsid w:val="00C83CBD"/>
    <w:rsid w:val="00C8477E"/>
    <w:rsid w:val="00C85397"/>
    <w:rsid w:val="00C90869"/>
    <w:rsid w:val="00C913FB"/>
    <w:rsid w:val="00C92F14"/>
    <w:rsid w:val="00C95F70"/>
    <w:rsid w:val="00C9681E"/>
    <w:rsid w:val="00C972B1"/>
    <w:rsid w:val="00C9792C"/>
    <w:rsid w:val="00C97EE3"/>
    <w:rsid w:val="00CA00B6"/>
    <w:rsid w:val="00CA0ACD"/>
    <w:rsid w:val="00CA0B21"/>
    <w:rsid w:val="00CA2CCE"/>
    <w:rsid w:val="00CA2FCB"/>
    <w:rsid w:val="00CA43FD"/>
    <w:rsid w:val="00CA4CD9"/>
    <w:rsid w:val="00CA7EF8"/>
    <w:rsid w:val="00CB5E1C"/>
    <w:rsid w:val="00CB5F4E"/>
    <w:rsid w:val="00CB7E46"/>
    <w:rsid w:val="00CC17E6"/>
    <w:rsid w:val="00CC255F"/>
    <w:rsid w:val="00CC322B"/>
    <w:rsid w:val="00CC42BF"/>
    <w:rsid w:val="00CC4869"/>
    <w:rsid w:val="00CC489B"/>
    <w:rsid w:val="00CC61D5"/>
    <w:rsid w:val="00CD1D0E"/>
    <w:rsid w:val="00CD2BCD"/>
    <w:rsid w:val="00CD3177"/>
    <w:rsid w:val="00CD3A4C"/>
    <w:rsid w:val="00CD3E53"/>
    <w:rsid w:val="00CD5B65"/>
    <w:rsid w:val="00CD6607"/>
    <w:rsid w:val="00CD67E7"/>
    <w:rsid w:val="00CD6825"/>
    <w:rsid w:val="00CD723A"/>
    <w:rsid w:val="00CE10E9"/>
    <w:rsid w:val="00CE2910"/>
    <w:rsid w:val="00CE5267"/>
    <w:rsid w:val="00CE5393"/>
    <w:rsid w:val="00CE6FBB"/>
    <w:rsid w:val="00CE7560"/>
    <w:rsid w:val="00CF0197"/>
    <w:rsid w:val="00CF27E8"/>
    <w:rsid w:val="00CF36BE"/>
    <w:rsid w:val="00CF6000"/>
    <w:rsid w:val="00CF6E07"/>
    <w:rsid w:val="00CF7625"/>
    <w:rsid w:val="00D003F3"/>
    <w:rsid w:val="00D00481"/>
    <w:rsid w:val="00D019BA"/>
    <w:rsid w:val="00D01BDC"/>
    <w:rsid w:val="00D03147"/>
    <w:rsid w:val="00D0364F"/>
    <w:rsid w:val="00D03FA8"/>
    <w:rsid w:val="00D06834"/>
    <w:rsid w:val="00D06C98"/>
    <w:rsid w:val="00D107EB"/>
    <w:rsid w:val="00D11AEE"/>
    <w:rsid w:val="00D137D1"/>
    <w:rsid w:val="00D14081"/>
    <w:rsid w:val="00D159CF"/>
    <w:rsid w:val="00D16A1A"/>
    <w:rsid w:val="00D17371"/>
    <w:rsid w:val="00D20165"/>
    <w:rsid w:val="00D2043E"/>
    <w:rsid w:val="00D20DAE"/>
    <w:rsid w:val="00D21564"/>
    <w:rsid w:val="00D23A57"/>
    <w:rsid w:val="00D265B3"/>
    <w:rsid w:val="00D308ED"/>
    <w:rsid w:val="00D31388"/>
    <w:rsid w:val="00D338A1"/>
    <w:rsid w:val="00D3458E"/>
    <w:rsid w:val="00D36D86"/>
    <w:rsid w:val="00D428AA"/>
    <w:rsid w:val="00D434DE"/>
    <w:rsid w:val="00D45E5E"/>
    <w:rsid w:val="00D502A8"/>
    <w:rsid w:val="00D508FD"/>
    <w:rsid w:val="00D50A34"/>
    <w:rsid w:val="00D50CD2"/>
    <w:rsid w:val="00D5294B"/>
    <w:rsid w:val="00D52C89"/>
    <w:rsid w:val="00D53EFA"/>
    <w:rsid w:val="00D56EB5"/>
    <w:rsid w:val="00D64AE1"/>
    <w:rsid w:val="00D66375"/>
    <w:rsid w:val="00D66A34"/>
    <w:rsid w:val="00D67BBE"/>
    <w:rsid w:val="00D7023A"/>
    <w:rsid w:val="00D71164"/>
    <w:rsid w:val="00D73884"/>
    <w:rsid w:val="00D7393D"/>
    <w:rsid w:val="00D77596"/>
    <w:rsid w:val="00D81265"/>
    <w:rsid w:val="00D81F8A"/>
    <w:rsid w:val="00D83178"/>
    <w:rsid w:val="00D85DBA"/>
    <w:rsid w:val="00D86270"/>
    <w:rsid w:val="00D877F7"/>
    <w:rsid w:val="00D9004C"/>
    <w:rsid w:val="00D902B9"/>
    <w:rsid w:val="00D91A9F"/>
    <w:rsid w:val="00D931F2"/>
    <w:rsid w:val="00D93B45"/>
    <w:rsid w:val="00D93F0E"/>
    <w:rsid w:val="00D94A7C"/>
    <w:rsid w:val="00D94CD6"/>
    <w:rsid w:val="00D95896"/>
    <w:rsid w:val="00D974E3"/>
    <w:rsid w:val="00DA0877"/>
    <w:rsid w:val="00DA24E4"/>
    <w:rsid w:val="00DA750F"/>
    <w:rsid w:val="00DB05AF"/>
    <w:rsid w:val="00DB11CB"/>
    <w:rsid w:val="00DB28BC"/>
    <w:rsid w:val="00DB2983"/>
    <w:rsid w:val="00DB3871"/>
    <w:rsid w:val="00DB3947"/>
    <w:rsid w:val="00DC1257"/>
    <w:rsid w:val="00DC19CB"/>
    <w:rsid w:val="00DC223D"/>
    <w:rsid w:val="00DC3DC0"/>
    <w:rsid w:val="00DC44B4"/>
    <w:rsid w:val="00DC5B2B"/>
    <w:rsid w:val="00DC600D"/>
    <w:rsid w:val="00DC60B7"/>
    <w:rsid w:val="00DD01DD"/>
    <w:rsid w:val="00DD1681"/>
    <w:rsid w:val="00DD318D"/>
    <w:rsid w:val="00DD3A0C"/>
    <w:rsid w:val="00DD400A"/>
    <w:rsid w:val="00DD5368"/>
    <w:rsid w:val="00DD722C"/>
    <w:rsid w:val="00DE03F2"/>
    <w:rsid w:val="00DE04C7"/>
    <w:rsid w:val="00DE627B"/>
    <w:rsid w:val="00DE7546"/>
    <w:rsid w:val="00DE7B6F"/>
    <w:rsid w:val="00DF2E12"/>
    <w:rsid w:val="00DF46F8"/>
    <w:rsid w:val="00DF4893"/>
    <w:rsid w:val="00DF514A"/>
    <w:rsid w:val="00DF6690"/>
    <w:rsid w:val="00DF6804"/>
    <w:rsid w:val="00E00AE9"/>
    <w:rsid w:val="00E0298D"/>
    <w:rsid w:val="00E0358D"/>
    <w:rsid w:val="00E04323"/>
    <w:rsid w:val="00E04C0D"/>
    <w:rsid w:val="00E04DD8"/>
    <w:rsid w:val="00E05788"/>
    <w:rsid w:val="00E05BDC"/>
    <w:rsid w:val="00E06C93"/>
    <w:rsid w:val="00E070A2"/>
    <w:rsid w:val="00E0770D"/>
    <w:rsid w:val="00E14EF1"/>
    <w:rsid w:val="00E151AD"/>
    <w:rsid w:val="00E156E2"/>
    <w:rsid w:val="00E16A2E"/>
    <w:rsid w:val="00E17040"/>
    <w:rsid w:val="00E171D5"/>
    <w:rsid w:val="00E20EE1"/>
    <w:rsid w:val="00E21499"/>
    <w:rsid w:val="00E22FDB"/>
    <w:rsid w:val="00E235DB"/>
    <w:rsid w:val="00E2656A"/>
    <w:rsid w:val="00E30998"/>
    <w:rsid w:val="00E319F5"/>
    <w:rsid w:val="00E328B4"/>
    <w:rsid w:val="00E40465"/>
    <w:rsid w:val="00E4083F"/>
    <w:rsid w:val="00E412D0"/>
    <w:rsid w:val="00E447A6"/>
    <w:rsid w:val="00E46758"/>
    <w:rsid w:val="00E50DA8"/>
    <w:rsid w:val="00E520B8"/>
    <w:rsid w:val="00E52D29"/>
    <w:rsid w:val="00E53DC3"/>
    <w:rsid w:val="00E56322"/>
    <w:rsid w:val="00E60982"/>
    <w:rsid w:val="00E61361"/>
    <w:rsid w:val="00E62C62"/>
    <w:rsid w:val="00E640EC"/>
    <w:rsid w:val="00E654C1"/>
    <w:rsid w:val="00E65D97"/>
    <w:rsid w:val="00E66393"/>
    <w:rsid w:val="00E7089F"/>
    <w:rsid w:val="00E71093"/>
    <w:rsid w:val="00E72A5A"/>
    <w:rsid w:val="00E73354"/>
    <w:rsid w:val="00E73529"/>
    <w:rsid w:val="00E76A82"/>
    <w:rsid w:val="00E77A66"/>
    <w:rsid w:val="00E77CB0"/>
    <w:rsid w:val="00E80C9D"/>
    <w:rsid w:val="00E81218"/>
    <w:rsid w:val="00E81791"/>
    <w:rsid w:val="00E84114"/>
    <w:rsid w:val="00E85834"/>
    <w:rsid w:val="00E9242D"/>
    <w:rsid w:val="00E92796"/>
    <w:rsid w:val="00E93268"/>
    <w:rsid w:val="00E9397C"/>
    <w:rsid w:val="00E93A4D"/>
    <w:rsid w:val="00E945BD"/>
    <w:rsid w:val="00E956B3"/>
    <w:rsid w:val="00E95752"/>
    <w:rsid w:val="00EA0481"/>
    <w:rsid w:val="00EA0893"/>
    <w:rsid w:val="00EA211B"/>
    <w:rsid w:val="00EA28B8"/>
    <w:rsid w:val="00EA5075"/>
    <w:rsid w:val="00EA5813"/>
    <w:rsid w:val="00EA7471"/>
    <w:rsid w:val="00EB1254"/>
    <w:rsid w:val="00EB286F"/>
    <w:rsid w:val="00EB34FD"/>
    <w:rsid w:val="00EB5255"/>
    <w:rsid w:val="00EB5C47"/>
    <w:rsid w:val="00EC0A7B"/>
    <w:rsid w:val="00EC152C"/>
    <w:rsid w:val="00EC2E2E"/>
    <w:rsid w:val="00EC48D1"/>
    <w:rsid w:val="00EC4BEB"/>
    <w:rsid w:val="00EC69B6"/>
    <w:rsid w:val="00EC70A9"/>
    <w:rsid w:val="00EC7ED2"/>
    <w:rsid w:val="00ED01D1"/>
    <w:rsid w:val="00ED027C"/>
    <w:rsid w:val="00ED0639"/>
    <w:rsid w:val="00ED0FFD"/>
    <w:rsid w:val="00ED2C62"/>
    <w:rsid w:val="00ED2E0F"/>
    <w:rsid w:val="00ED3CCA"/>
    <w:rsid w:val="00ED5321"/>
    <w:rsid w:val="00ED7DE7"/>
    <w:rsid w:val="00EE0BD4"/>
    <w:rsid w:val="00EE0CCD"/>
    <w:rsid w:val="00EE0E66"/>
    <w:rsid w:val="00EE18AE"/>
    <w:rsid w:val="00EE2F82"/>
    <w:rsid w:val="00EE5530"/>
    <w:rsid w:val="00EE5E65"/>
    <w:rsid w:val="00EE79F2"/>
    <w:rsid w:val="00EF1D82"/>
    <w:rsid w:val="00EF202C"/>
    <w:rsid w:val="00EF20D7"/>
    <w:rsid w:val="00EF40CC"/>
    <w:rsid w:val="00EF4755"/>
    <w:rsid w:val="00EF5C12"/>
    <w:rsid w:val="00EF7135"/>
    <w:rsid w:val="00F006AA"/>
    <w:rsid w:val="00F01AB0"/>
    <w:rsid w:val="00F02010"/>
    <w:rsid w:val="00F027DB"/>
    <w:rsid w:val="00F03503"/>
    <w:rsid w:val="00F10CE2"/>
    <w:rsid w:val="00F10E54"/>
    <w:rsid w:val="00F11672"/>
    <w:rsid w:val="00F116CE"/>
    <w:rsid w:val="00F1461C"/>
    <w:rsid w:val="00F14A7A"/>
    <w:rsid w:val="00F17A3B"/>
    <w:rsid w:val="00F21669"/>
    <w:rsid w:val="00F2243A"/>
    <w:rsid w:val="00F22655"/>
    <w:rsid w:val="00F22985"/>
    <w:rsid w:val="00F22E27"/>
    <w:rsid w:val="00F25206"/>
    <w:rsid w:val="00F25914"/>
    <w:rsid w:val="00F27079"/>
    <w:rsid w:val="00F277BF"/>
    <w:rsid w:val="00F30809"/>
    <w:rsid w:val="00F33150"/>
    <w:rsid w:val="00F33385"/>
    <w:rsid w:val="00F3383E"/>
    <w:rsid w:val="00F361D9"/>
    <w:rsid w:val="00F37942"/>
    <w:rsid w:val="00F40A47"/>
    <w:rsid w:val="00F41907"/>
    <w:rsid w:val="00F422B8"/>
    <w:rsid w:val="00F43972"/>
    <w:rsid w:val="00F44D0A"/>
    <w:rsid w:val="00F44D85"/>
    <w:rsid w:val="00F45816"/>
    <w:rsid w:val="00F465A7"/>
    <w:rsid w:val="00F466E0"/>
    <w:rsid w:val="00F4783D"/>
    <w:rsid w:val="00F47D3A"/>
    <w:rsid w:val="00F50B7C"/>
    <w:rsid w:val="00F51B17"/>
    <w:rsid w:val="00F5217F"/>
    <w:rsid w:val="00F52A5C"/>
    <w:rsid w:val="00F546DB"/>
    <w:rsid w:val="00F550E6"/>
    <w:rsid w:val="00F562B2"/>
    <w:rsid w:val="00F602C1"/>
    <w:rsid w:val="00F62CE4"/>
    <w:rsid w:val="00F639CC"/>
    <w:rsid w:val="00F639E7"/>
    <w:rsid w:val="00F63DF3"/>
    <w:rsid w:val="00F65371"/>
    <w:rsid w:val="00F6690C"/>
    <w:rsid w:val="00F71A6A"/>
    <w:rsid w:val="00F74345"/>
    <w:rsid w:val="00F74F03"/>
    <w:rsid w:val="00F7552F"/>
    <w:rsid w:val="00F75C14"/>
    <w:rsid w:val="00F80A0A"/>
    <w:rsid w:val="00F80CA7"/>
    <w:rsid w:val="00F82B19"/>
    <w:rsid w:val="00F82C82"/>
    <w:rsid w:val="00F8467F"/>
    <w:rsid w:val="00F84A0F"/>
    <w:rsid w:val="00F850EF"/>
    <w:rsid w:val="00F857EC"/>
    <w:rsid w:val="00F86E1F"/>
    <w:rsid w:val="00F871F8"/>
    <w:rsid w:val="00F90C5A"/>
    <w:rsid w:val="00F9212D"/>
    <w:rsid w:val="00F92BBD"/>
    <w:rsid w:val="00F93404"/>
    <w:rsid w:val="00F9461B"/>
    <w:rsid w:val="00F947B7"/>
    <w:rsid w:val="00F95476"/>
    <w:rsid w:val="00F95A6A"/>
    <w:rsid w:val="00F965DA"/>
    <w:rsid w:val="00F97083"/>
    <w:rsid w:val="00F971DA"/>
    <w:rsid w:val="00FA1C95"/>
    <w:rsid w:val="00FA406A"/>
    <w:rsid w:val="00FA4742"/>
    <w:rsid w:val="00FA7AD6"/>
    <w:rsid w:val="00FB1371"/>
    <w:rsid w:val="00FB2984"/>
    <w:rsid w:val="00FB503A"/>
    <w:rsid w:val="00FB516C"/>
    <w:rsid w:val="00FB51B1"/>
    <w:rsid w:val="00FB605F"/>
    <w:rsid w:val="00FB62F5"/>
    <w:rsid w:val="00FC079B"/>
    <w:rsid w:val="00FC353D"/>
    <w:rsid w:val="00FC68EB"/>
    <w:rsid w:val="00FC6A02"/>
    <w:rsid w:val="00FD0236"/>
    <w:rsid w:val="00FD15FC"/>
    <w:rsid w:val="00FD16A4"/>
    <w:rsid w:val="00FD18F4"/>
    <w:rsid w:val="00FD21EE"/>
    <w:rsid w:val="00FD2EC4"/>
    <w:rsid w:val="00FD54DB"/>
    <w:rsid w:val="00FD619F"/>
    <w:rsid w:val="00FE039D"/>
    <w:rsid w:val="00FE0638"/>
    <w:rsid w:val="00FE2243"/>
    <w:rsid w:val="00FE487D"/>
    <w:rsid w:val="00FE564F"/>
    <w:rsid w:val="00FE5926"/>
    <w:rsid w:val="00FF03D4"/>
    <w:rsid w:val="00FF0D31"/>
    <w:rsid w:val="00FF15D9"/>
    <w:rsid w:val="00FF2A01"/>
    <w:rsid w:val="00FF386D"/>
    <w:rsid w:val="00FF5106"/>
    <w:rsid w:val="00FF79D5"/>
    <w:rsid w:val="00FF7CFE"/>
    <w:rsid w:val="01042CD0"/>
    <w:rsid w:val="010E2AAD"/>
    <w:rsid w:val="01141165"/>
    <w:rsid w:val="0119677B"/>
    <w:rsid w:val="01260E98"/>
    <w:rsid w:val="012810B4"/>
    <w:rsid w:val="01290F7E"/>
    <w:rsid w:val="012D66CB"/>
    <w:rsid w:val="013435B5"/>
    <w:rsid w:val="014557C2"/>
    <w:rsid w:val="014B08FF"/>
    <w:rsid w:val="014F03EF"/>
    <w:rsid w:val="015D1E09"/>
    <w:rsid w:val="01610878"/>
    <w:rsid w:val="016320EC"/>
    <w:rsid w:val="01742D8F"/>
    <w:rsid w:val="017716F4"/>
    <w:rsid w:val="01993D60"/>
    <w:rsid w:val="01D95F0B"/>
    <w:rsid w:val="01DA23AF"/>
    <w:rsid w:val="01DD59FB"/>
    <w:rsid w:val="01EA0118"/>
    <w:rsid w:val="02021905"/>
    <w:rsid w:val="0204567E"/>
    <w:rsid w:val="02160F0D"/>
    <w:rsid w:val="02306473"/>
    <w:rsid w:val="02445A7A"/>
    <w:rsid w:val="024A6146"/>
    <w:rsid w:val="02570EE7"/>
    <w:rsid w:val="026954E1"/>
    <w:rsid w:val="02697903"/>
    <w:rsid w:val="0273010D"/>
    <w:rsid w:val="028012A7"/>
    <w:rsid w:val="02810A7C"/>
    <w:rsid w:val="02AD7AC3"/>
    <w:rsid w:val="02B034F7"/>
    <w:rsid w:val="02CA515A"/>
    <w:rsid w:val="02E42DB9"/>
    <w:rsid w:val="02E96621"/>
    <w:rsid w:val="02EF1E8A"/>
    <w:rsid w:val="02F96569"/>
    <w:rsid w:val="030671D3"/>
    <w:rsid w:val="030D0562"/>
    <w:rsid w:val="03115E24"/>
    <w:rsid w:val="0328539C"/>
    <w:rsid w:val="032A1114"/>
    <w:rsid w:val="03342FD3"/>
    <w:rsid w:val="033634A8"/>
    <w:rsid w:val="03373831"/>
    <w:rsid w:val="03546191"/>
    <w:rsid w:val="03597303"/>
    <w:rsid w:val="035B13D9"/>
    <w:rsid w:val="035B751F"/>
    <w:rsid w:val="035F5EE6"/>
    <w:rsid w:val="037979A5"/>
    <w:rsid w:val="03800D34"/>
    <w:rsid w:val="03885E3A"/>
    <w:rsid w:val="03991DF6"/>
    <w:rsid w:val="03A964DC"/>
    <w:rsid w:val="03B34715"/>
    <w:rsid w:val="03CD1A9F"/>
    <w:rsid w:val="03D96696"/>
    <w:rsid w:val="03EA7B21"/>
    <w:rsid w:val="03F40DCB"/>
    <w:rsid w:val="03F51722"/>
    <w:rsid w:val="03F92894"/>
    <w:rsid w:val="040D6EAF"/>
    <w:rsid w:val="040D7A92"/>
    <w:rsid w:val="040F3E66"/>
    <w:rsid w:val="04115E30"/>
    <w:rsid w:val="042042C5"/>
    <w:rsid w:val="04223B99"/>
    <w:rsid w:val="042C0EBC"/>
    <w:rsid w:val="04351B1E"/>
    <w:rsid w:val="044D418C"/>
    <w:rsid w:val="04610B65"/>
    <w:rsid w:val="048B7990"/>
    <w:rsid w:val="048C3708"/>
    <w:rsid w:val="049D76C3"/>
    <w:rsid w:val="04A15406"/>
    <w:rsid w:val="04A2573B"/>
    <w:rsid w:val="04B35139"/>
    <w:rsid w:val="04BE5FB8"/>
    <w:rsid w:val="04C162C3"/>
    <w:rsid w:val="04E377CC"/>
    <w:rsid w:val="04EE7F1F"/>
    <w:rsid w:val="04F512AE"/>
    <w:rsid w:val="04F55751"/>
    <w:rsid w:val="04FE3C78"/>
    <w:rsid w:val="05050531"/>
    <w:rsid w:val="051200B1"/>
    <w:rsid w:val="05355B4E"/>
    <w:rsid w:val="054312B2"/>
    <w:rsid w:val="054B711F"/>
    <w:rsid w:val="055204AE"/>
    <w:rsid w:val="055F7CCD"/>
    <w:rsid w:val="057B2ECA"/>
    <w:rsid w:val="05852631"/>
    <w:rsid w:val="058954CE"/>
    <w:rsid w:val="05A11053"/>
    <w:rsid w:val="05A827C4"/>
    <w:rsid w:val="05B747B5"/>
    <w:rsid w:val="05BF05D5"/>
    <w:rsid w:val="05C65677"/>
    <w:rsid w:val="05CA49EC"/>
    <w:rsid w:val="05D47115"/>
    <w:rsid w:val="05F11A75"/>
    <w:rsid w:val="05F477B7"/>
    <w:rsid w:val="05F544C0"/>
    <w:rsid w:val="05F83EAE"/>
    <w:rsid w:val="061C7051"/>
    <w:rsid w:val="062260D2"/>
    <w:rsid w:val="06262376"/>
    <w:rsid w:val="062A4F87"/>
    <w:rsid w:val="06345E06"/>
    <w:rsid w:val="063E7D85"/>
    <w:rsid w:val="064918B1"/>
    <w:rsid w:val="064D4C2D"/>
    <w:rsid w:val="0659586C"/>
    <w:rsid w:val="065D35AE"/>
    <w:rsid w:val="06712BB6"/>
    <w:rsid w:val="0673692E"/>
    <w:rsid w:val="067B4474"/>
    <w:rsid w:val="06846D8D"/>
    <w:rsid w:val="068E3768"/>
    <w:rsid w:val="069074E0"/>
    <w:rsid w:val="069F1594"/>
    <w:rsid w:val="06B64A6C"/>
    <w:rsid w:val="06C74ECC"/>
    <w:rsid w:val="06DC2725"/>
    <w:rsid w:val="06E415DA"/>
    <w:rsid w:val="06EB2968"/>
    <w:rsid w:val="06F2019A"/>
    <w:rsid w:val="06F51A39"/>
    <w:rsid w:val="06F55595"/>
    <w:rsid w:val="06F832D7"/>
    <w:rsid w:val="070659F4"/>
    <w:rsid w:val="07153E89"/>
    <w:rsid w:val="071F6AB6"/>
    <w:rsid w:val="07293586"/>
    <w:rsid w:val="07295285"/>
    <w:rsid w:val="07322345"/>
    <w:rsid w:val="073360BD"/>
    <w:rsid w:val="07465DF0"/>
    <w:rsid w:val="075229E7"/>
    <w:rsid w:val="075C3866"/>
    <w:rsid w:val="075F5112"/>
    <w:rsid w:val="07636392"/>
    <w:rsid w:val="07770C56"/>
    <w:rsid w:val="077C5CB6"/>
    <w:rsid w:val="07807554"/>
    <w:rsid w:val="078801B7"/>
    <w:rsid w:val="07911761"/>
    <w:rsid w:val="07966D78"/>
    <w:rsid w:val="07A466D3"/>
    <w:rsid w:val="07AC659B"/>
    <w:rsid w:val="07AD40C1"/>
    <w:rsid w:val="07C268AF"/>
    <w:rsid w:val="07D4164E"/>
    <w:rsid w:val="07D45137"/>
    <w:rsid w:val="07E51AAD"/>
    <w:rsid w:val="07E6312F"/>
    <w:rsid w:val="07EA70C4"/>
    <w:rsid w:val="08000695"/>
    <w:rsid w:val="08283748"/>
    <w:rsid w:val="08305436"/>
    <w:rsid w:val="08381BDD"/>
    <w:rsid w:val="083B791F"/>
    <w:rsid w:val="084560A8"/>
    <w:rsid w:val="0854453D"/>
    <w:rsid w:val="085F5387"/>
    <w:rsid w:val="08687FE8"/>
    <w:rsid w:val="086B33D9"/>
    <w:rsid w:val="08713341"/>
    <w:rsid w:val="087846CF"/>
    <w:rsid w:val="08806CF4"/>
    <w:rsid w:val="0881185D"/>
    <w:rsid w:val="0889664C"/>
    <w:rsid w:val="089259BF"/>
    <w:rsid w:val="08955281"/>
    <w:rsid w:val="08A52FEB"/>
    <w:rsid w:val="08AB646D"/>
    <w:rsid w:val="08B576D2"/>
    <w:rsid w:val="08BA0844"/>
    <w:rsid w:val="08BA6A96"/>
    <w:rsid w:val="08BD20E2"/>
    <w:rsid w:val="08C94F2B"/>
    <w:rsid w:val="08DB6A0C"/>
    <w:rsid w:val="08E7715F"/>
    <w:rsid w:val="090F015E"/>
    <w:rsid w:val="091A625A"/>
    <w:rsid w:val="092217DD"/>
    <w:rsid w:val="092263E9"/>
    <w:rsid w:val="093A7294"/>
    <w:rsid w:val="09402DC9"/>
    <w:rsid w:val="094840A2"/>
    <w:rsid w:val="09570789"/>
    <w:rsid w:val="09615163"/>
    <w:rsid w:val="096609CC"/>
    <w:rsid w:val="097B46F6"/>
    <w:rsid w:val="097E5D15"/>
    <w:rsid w:val="09815806"/>
    <w:rsid w:val="098A46BA"/>
    <w:rsid w:val="098C118E"/>
    <w:rsid w:val="09A514F4"/>
    <w:rsid w:val="09A71F99"/>
    <w:rsid w:val="09B90AFC"/>
    <w:rsid w:val="09BC05EC"/>
    <w:rsid w:val="09DC0C8E"/>
    <w:rsid w:val="09F45FD8"/>
    <w:rsid w:val="09FC30DE"/>
    <w:rsid w:val="0A263993"/>
    <w:rsid w:val="0A2D3AC2"/>
    <w:rsid w:val="0A4F1460"/>
    <w:rsid w:val="0A5F1209"/>
    <w:rsid w:val="0A6071C9"/>
    <w:rsid w:val="0A6842D0"/>
    <w:rsid w:val="0A6C0264"/>
    <w:rsid w:val="0A6D18E6"/>
    <w:rsid w:val="0A6E019A"/>
    <w:rsid w:val="0A8E01DA"/>
    <w:rsid w:val="0A8F7AAE"/>
    <w:rsid w:val="0AA755DF"/>
    <w:rsid w:val="0AAC68B2"/>
    <w:rsid w:val="0ABB4D47"/>
    <w:rsid w:val="0ACE4378"/>
    <w:rsid w:val="0AD81455"/>
    <w:rsid w:val="0ADF2F59"/>
    <w:rsid w:val="0AE61DC4"/>
    <w:rsid w:val="0AE918B4"/>
    <w:rsid w:val="0AF049F1"/>
    <w:rsid w:val="0B0B182B"/>
    <w:rsid w:val="0B120D44"/>
    <w:rsid w:val="0B1526A9"/>
    <w:rsid w:val="0B1A7CC0"/>
    <w:rsid w:val="0B3B3792"/>
    <w:rsid w:val="0B3C7C36"/>
    <w:rsid w:val="0B4541FD"/>
    <w:rsid w:val="0B73117E"/>
    <w:rsid w:val="0B7706A5"/>
    <w:rsid w:val="0B8415DD"/>
    <w:rsid w:val="0B907F82"/>
    <w:rsid w:val="0B9A670B"/>
    <w:rsid w:val="0BA0271A"/>
    <w:rsid w:val="0BB023D2"/>
    <w:rsid w:val="0BB35A1E"/>
    <w:rsid w:val="0BCB2D68"/>
    <w:rsid w:val="0BD27BF6"/>
    <w:rsid w:val="0BE04A65"/>
    <w:rsid w:val="0BE61950"/>
    <w:rsid w:val="0C14470F"/>
    <w:rsid w:val="0C3B3C7D"/>
    <w:rsid w:val="0C3C5A14"/>
    <w:rsid w:val="0C5114BF"/>
    <w:rsid w:val="0C590F18"/>
    <w:rsid w:val="0C5D60B6"/>
    <w:rsid w:val="0C6A2581"/>
    <w:rsid w:val="0C6C454B"/>
    <w:rsid w:val="0C774C9E"/>
    <w:rsid w:val="0C937D2A"/>
    <w:rsid w:val="0C9B6BDE"/>
    <w:rsid w:val="0CA77331"/>
    <w:rsid w:val="0CAB2EAE"/>
    <w:rsid w:val="0CD67C16"/>
    <w:rsid w:val="0CDD0FA5"/>
    <w:rsid w:val="0CDD71F7"/>
    <w:rsid w:val="0CDF6115"/>
    <w:rsid w:val="0CE40585"/>
    <w:rsid w:val="0CEE6D0E"/>
    <w:rsid w:val="0CF167FE"/>
    <w:rsid w:val="0CF473FB"/>
    <w:rsid w:val="0D1150F2"/>
    <w:rsid w:val="0D116EA1"/>
    <w:rsid w:val="0D417786"/>
    <w:rsid w:val="0D5A65D7"/>
    <w:rsid w:val="0D5B011C"/>
    <w:rsid w:val="0D6214AA"/>
    <w:rsid w:val="0D621C7D"/>
    <w:rsid w:val="0D705975"/>
    <w:rsid w:val="0D735559"/>
    <w:rsid w:val="0D782A7C"/>
    <w:rsid w:val="0D7D4536"/>
    <w:rsid w:val="0D915FD8"/>
    <w:rsid w:val="0D951880"/>
    <w:rsid w:val="0D9A0C44"/>
    <w:rsid w:val="0DA41AC3"/>
    <w:rsid w:val="0DA87805"/>
    <w:rsid w:val="0DAE00D1"/>
    <w:rsid w:val="0DB53CD0"/>
    <w:rsid w:val="0DB8556E"/>
    <w:rsid w:val="0DD35E02"/>
    <w:rsid w:val="0DD8176C"/>
    <w:rsid w:val="0DF5231E"/>
    <w:rsid w:val="0DFA16E3"/>
    <w:rsid w:val="0E06452B"/>
    <w:rsid w:val="0E0B7D94"/>
    <w:rsid w:val="0E0D1416"/>
    <w:rsid w:val="0E3620C1"/>
    <w:rsid w:val="0E417312"/>
    <w:rsid w:val="0E6B438E"/>
    <w:rsid w:val="0E6F6276"/>
    <w:rsid w:val="0E73034D"/>
    <w:rsid w:val="0E8042DE"/>
    <w:rsid w:val="0E833DCE"/>
    <w:rsid w:val="0E835B7C"/>
    <w:rsid w:val="0E925DBF"/>
    <w:rsid w:val="0E947D89"/>
    <w:rsid w:val="0E9658AF"/>
    <w:rsid w:val="0E9F40E6"/>
    <w:rsid w:val="0EA115D7"/>
    <w:rsid w:val="0EA578A0"/>
    <w:rsid w:val="0EC20452"/>
    <w:rsid w:val="0EC266A4"/>
    <w:rsid w:val="0ED85EC8"/>
    <w:rsid w:val="0EEF3211"/>
    <w:rsid w:val="0F0E03C5"/>
    <w:rsid w:val="0F13775A"/>
    <w:rsid w:val="0F144A26"/>
    <w:rsid w:val="0F346E76"/>
    <w:rsid w:val="0F3B1FB3"/>
    <w:rsid w:val="0F45100A"/>
    <w:rsid w:val="0F452E31"/>
    <w:rsid w:val="0F5850E8"/>
    <w:rsid w:val="0F5F45FE"/>
    <w:rsid w:val="0F696B20"/>
    <w:rsid w:val="0F87169C"/>
    <w:rsid w:val="0F916077"/>
    <w:rsid w:val="0F976926"/>
    <w:rsid w:val="0F9A112B"/>
    <w:rsid w:val="0FB75ADD"/>
    <w:rsid w:val="0FB83603"/>
    <w:rsid w:val="0FBD0C1A"/>
    <w:rsid w:val="0FCB77DB"/>
    <w:rsid w:val="0FD01B65"/>
    <w:rsid w:val="0FDD306A"/>
    <w:rsid w:val="0FDF67C4"/>
    <w:rsid w:val="0FE91A0F"/>
    <w:rsid w:val="0FEE34C9"/>
    <w:rsid w:val="0FEF460A"/>
    <w:rsid w:val="0FF94348"/>
    <w:rsid w:val="0FFA08C5"/>
    <w:rsid w:val="0FFA1E6E"/>
    <w:rsid w:val="100B407B"/>
    <w:rsid w:val="100D1BA1"/>
    <w:rsid w:val="10125409"/>
    <w:rsid w:val="10394744"/>
    <w:rsid w:val="104871B6"/>
    <w:rsid w:val="104D01F0"/>
    <w:rsid w:val="105772C0"/>
    <w:rsid w:val="105B7B98"/>
    <w:rsid w:val="10613EA0"/>
    <w:rsid w:val="10635C65"/>
    <w:rsid w:val="106D2F64"/>
    <w:rsid w:val="10797237"/>
    <w:rsid w:val="10831E63"/>
    <w:rsid w:val="10881228"/>
    <w:rsid w:val="109776BD"/>
    <w:rsid w:val="109E4EEF"/>
    <w:rsid w:val="10A02A15"/>
    <w:rsid w:val="10B4201D"/>
    <w:rsid w:val="10B63710"/>
    <w:rsid w:val="10B63FE7"/>
    <w:rsid w:val="10DB3A4D"/>
    <w:rsid w:val="10E2302E"/>
    <w:rsid w:val="10EB7CBC"/>
    <w:rsid w:val="10F07890"/>
    <w:rsid w:val="10F10820"/>
    <w:rsid w:val="10F42D61"/>
    <w:rsid w:val="10F468BD"/>
    <w:rsid w:val="10FE14EA"/>
    <w:rsid w:val="1111746F"/>
    <w:rsid w:val="11196324"/>
    <w:rsid w:val="111C2F7A"/>
    <w:rsid w:val="11200165"/>
    <w:rsid w:val="112B6A3D"/>
    <w:rsid w:val="1134315E"/>
    <w:rsid w:val="113969C6"/>
    <w:rsid w:val="11561326"/>
    <w:rsid w:val="115F467E"/>
    <w:rsid w:val="116577BB"/>
    <w:rsid w:val="11665CA1"/>
    <w:rsid w:val="11692E07"/>
    <w:rsid w:val="117529FD"/>
    <w:rsid w:val="11755C50"/>
    <w:rsid w:val="1178129C"/>
    <w:rsid w:val="11851C0B"/>
    <w:rsid w:val="118539B9"/>
    <w:rsid w:val="118934A9"/>
    <w:rsid w:val="118C2F9A"/>
    <w:rsid w:val="11A227BD"/>
    <w:rsid w:val="11B3311D"/>
    <w:rsid w:val="11B36778"/>
    <w:rsid w:val="11D87F8D"/>
    <w:rsid w:val="11E52565"/>
    <w:rsid w:val="11EB5F12"/>
    <w:rsid w:val="11FC011F"/>
    <w:rsid w:val="120174E4"/>
    <w:rsid w:val="12080872"/>
    <w:rsid w:val="121D3BF2"/>
    <w:rsid w:val="12456573"/>
    <w:rsid w:val="1258312B"/>
    <w:rsid w:val="125E4936"/>
    <w:rsid w:val="12655CC4"/>
    <w:rsid w:val="126B2BAF"/>
    <w:rsid w:val="127203E1"/>
    <w:rsid w:val="12747CB6"/>
    <w:rsid w:val="1287567C"/>
    <w:rsid w:val="12906AB9"/>
    <w:rsid w:val="129739A4"/>
    <w:rsid w:val="12A14823"/>
    <w:rsid w:val="12A6302D"/>
    <w:rsid w:val="12A86AE8"/>
    <w:rsid w:val="12B427A8"/>
    <w:rsid w:val="12C561C4"/>
    <w:rsid w:val="12CA541C"/>
    <w:rsid w:val="13144FF5"/>
    <w:rsid w:val="132711CC"/>
    <w:rsid w:val="132D4308"/>
    <w:rsid w:val="133631BD"/>
    <w:rsid w:val="13404ED0"/>
    <w:rsid w:val="134C1E59"/>
    <w:rsid w:val="13531FC1"/>
    <w:rsid w:val="136F66CF"/>
    <w:rsid w:val="13826402"/>
    <w:rsid w:val="138955DC"/>
    <w:rsid w:val="13897791"/>
    <w:rsid w:val="13951726"/>
    <w:rsid w:val="13972590"/>
    <w:rsid w:val="13985C26"/>
    <w:rsid w:val="139D0B46"/>
    <w:rsid w:val="139E68C6"/>
    <w:rsid w:val="13A20852"/>
    <w:rsid w:val="13AB6E65"/>
    <w:rsid w:val="13AF2F6F"/>
    <w:rsid w:val="13B54A2A"/>
    <w:rsid w:val="13B642FE"/>
    <w:rsid w:val="13B959A9"/>
    <w:rsid w:val="13BB2266"/>
    <w:rsid w:val="13E250F3"/>
    <w:rsid w:val="13F310AE"/>
    <w:rsid w:val="14111216"/>
    <w:rsid w:val="14172FEE"/>
    <w:rsid w:val="141D25CF"/>
    <w:rsid w:val="14217E42"/>
    <w:rsid w:val="14273466"/>
    <w:rsid w:val="14292D22"/>
    <w:rsid w:val="14321BD6"/>
    <w:rsid w:val="14357918"/>
    <w:rsid w:val="14396509"/>
    <w:rsid w:val="145D29CB"/>
    <w:rsid w:val="1461426A"/>
    <w:rsid w:val="1466513C"/>
    <w:rsid w:val="146F2E2A"/>
    <w:rsid w:val="14776E55"/>
    <w:rsid w:val="147C10A3"/>
    <w:rsid w:val="148461AA"/>
    <w:rsid w:val="148A7C64"/>
    <w:rsid w:val="149139EF"/>
    <w:rsid w:val="149C4D8A"/>
    <w:rsid w:val="14B52F07"/>
    <w:rsid w:val="14BA1BCC"/>
    <w:rsid w:val="14DD2C3C"/>
    <w:rsid w:val="14EB5587"/>
    <w:rsid w:val="14F84610"/>
    <w:rsid w:val="1501493C"/>
    <w:rsid w:val="15020A92"/>
    <w:rsid w:val="15064E11"/>
    <w:rsid w:val="15282FD9"/>
    <w:rsid w:val="153656F6"/>
    <w:rsid w:val="15400323"/>
    <w:rsid w:val="1557566D"/>
    <w:rsid w:val="155838BF"/>
    <w:rsid w:val="156758B0"/>
    <w:rsid w:val="15714980"/>
    <w:rsid w:val="15741F45"/>
    <w:rsid w:val="159643E7"/>
    <w:rsid w:val="15B50D11"/>
    <w:rsid w:val="15DF7B3C"/>
    <w:rsid w:val="15F04A59"/>
    <w:rsid w:val="160457F4"/>
    <w:rsid w:val="16087E1D"/>
    <w:rsid w:val="160E0421"/>
    <w:rsid w:val="160E6673"/>
    <w:rsid w:val="161F262E"/>
    <w:rsid w:val="16290DB7"/>
    <w:rsid w:val="162C6AF9"/>
    <w:rsid w:val="163836F0"/>
    <w:rsid w:val="164C2CF7"/>
    <w:rsid w:val="165D6CB3"/>
    <w:rsid w:val="16604009"/>
    <w:rsid w:val="16677B31"/>
    <w:rsid w:val="16685D83"/>
    <w:rsid w:val="16697C34"/>
    <w:rsid w:val="1695644C"/>
    <w:rsid w:val="16BC60CF"/>
    <w:rsid w:val="16C531D6"/>
    <w:rsid w:val="16C84A74"/>
    <w:rsid w:val="16CE7D9B"/>
    <w:rsid w:val="16E46008"/>
    <w:rsid w:val="16E86EC4"/>
    <w:rsid w:val="16EE48F2"/>
    <w:rsid w:val="16FB6BF7"/>
    <w:rsid w:val="17045380"/>
    <w:rsid w:val="170830C2"/>
    <w:rsid w:val="172B0B5F"/>
    <w:rsid w:val="17343EB7"/>
    <w:rsid w:val="1743129B"/>
    <w:rsid w:val="174F2A9F"/>
    <w:rsid w:val="17602EFE"/>
    <w:rsid w:val="176302F9"/>
    <w:rsid w:val="176A78D9"/>
    <w:rsid w:val="176E561B"/>
    <w:rsid w:val="17701D14"/>
    <w:rsid w:val="17735226"/>
    <w:rsid w:val="177B5642"/>
    <w:rsid w:val="17852965"/>
    <w:rsid w:val="17944956"/>
    <w:rsid w:val="179B7A92"/>
    <w:rsid w:val="17A32DEB"/>
    <w:rsid w:val="17A80401"/>
    <w:rsid w:val="17BA0860"/>
    <w:rsid w:val="17BF5F20"/>
    <w:rsid w:val="17C76AD9"/>
    <w:rsid w:val="17C90AA4"/>
    <w:rsid w:val="17CA65CA"/>
    <w:rsid w:val="17D82A95"/>
    <w:rsid w:val="17F51899"/>
    <w:rsid w:val="17F84EE5"/>
    <w:rsid w:val="17FC76E8"/>
    <w:rsid w:val="17FD074D"/>
    <w:rsid w:val="18131D1F"/>
    <w:rsid w:val="181F22D8"/>
    <w:rsid w:val="18267CA4"/>
    <w:rsid w:val="182B350C"/>
    <w:rsid w:val="183103F7"/>
    <w:rsid w:val="184620F4"/>
    <w:rsid w:val="18585984"/>
    <w:rsid w:val="18595F60"/>
    <w:rsid w:val="185C1918"/>
    <w:rsid w:val="185D2F9A"/>
    <w:rsid w:val="1864257A"/>
    <w:rsid w:val="186802BC"/>
    <w:rsid w:val="18695DE3"/>
    <w:rsid w:val="186C142F"/>
    <w:rsid w:val="18707171"/>
    <w:rsid w:val="18784278"/>
    <w:rsid w:val="188449CB"/>
    <w:rsid w:val="18871C0A"/>
    <w:rsid w:val="189605A6"/>
    <w:rsid w:val="189F624C"/>
    <w:rsid w:val="18BC03B7"/>
    <w:rsid w:val="18CE3E98"/>
    <w:rsid w:val="18D64C5D"/>
    <w:rsid w:val="18E92A80"/>
    <w:rsid w:val="18F7519C"/>
    <w:rsid w:val="18FA1F9E"/>
    <w:rsid w:val="190A3122"/>
    <w:rsid w:val="19157D18"/>
    <w:rsid w:val="191E097B"/>
    <w:rsid w:val="19226D48"/>
    <w:rsid w:val="19267830"/>
    <w:rsid w:val="192D6E10"/>
    <w:rsid w:val="19502AFF"/>
    <w:rsid w:val="195F2D42"/>
    <w:rsid w:val="19642480"/>
    <w:rsid w:val="196730EA"/>
    <w:rsid w:val="19673A2B"/>
    <w:rsid w:val="196776A1"/>
    <w:rsid w:val="196C5B8A"/>
    <w:rsid w:val="19704F4F"/>
    <w:rsid w:val="19946B70"/>
    <w:rsid w:val="199B6470"/>
    <w:rsid w:val="19A05834"/>
    <w:rsid w:val="19A30E80"/>
    <w:rsid w:val="19B17A41"/>
    <w:rsid w:val="19B94B48"/>
    <w:rsid w:val="19C5529B"/>
    <w:rsid w:val="19CA5EA4"/>
    <w:rsid w:val="19CD1339"/>
    <w:rsid w:val="19CF1C75"/>
    <w:rsid w:val="19E93619"/>
    <w:rsid w:val="19ED66F3"/>
    <w:rsid w:val="1A0050C8"/>
    <w:rsid w:val="1A1324AA"/>
    <w:rsid w:val="1A1C66C0"/>
    <w:rsid w:val="1A42393B"/>
    <w:rsid w:val="1A4E5290"/>
    <w:rsid w:val="1A4E703E"/>
    <w:rsid w:val="1A864A2A"/>
    <w:rsid w:val="1A9A04D5"/>
    <w:rsid w:val="1A9C26B3"/>
    <w:rsid w:val="1AA87BD2"/>
    <w:rsid w:val="1AAD45DE"/>
    <w:rsid w:val="1AB84DFF"/>
    <w:rsid w:val="1ABB1F8D"/>
    <w:rsid w:val="1AC47300"/>
    <w:rsid w:val="1ACD08AB"/>
    <w:rsid w:val="1AD0039B"/>
    <w:rsid w:val="1AD82DAC"/>
    <w:rsid w:val="1ADD6614"/>
    <w:rsid w:val="1AEF729B"/>
    <w:rsid w:val="1AF92916"/>
    <w:rsid w:val="1AFC6A9A"/>
    <w:rsid w:val="1B041DF3"/>
    <w:rsid w:val="1B046F80"/>
    <w:rsid w:val="1B1623F3"/>
    <w:rsid w:val="1B19589E"/>
    <w:rsid w:val="1B1F4E7E"/>
    <w:rsid w:val="1B2B3823"/>
    <w:rsid w:val="1B2D76A8"/>
    <w:rsid w:val="1B3267B5"/>
    <w:rsid w:val="1B397CEE"/>
    <w:rsid w:val="1B40161D"/>
    <w:rsid w:val="1B4072CF"/>
    <w:rsid w:val="1B4346C9"/>
    <w:rsid w:val="1B441859"/>
    <w:rsid w:val="1B4B7A22"/>
    <w:rsid w:val="1B55264E"/>
    <w:rsid w:val="1B6606B1"/>
    <w:rsid w:val="1B6E0B6B"/>
    <w:rsid w:val="1B705779"/>
    <w:rsid w:val="1B723200"/>
    <w:rsid w:val="1B7250F9"/>
    <w:rsid w:val="1B7533B8"/>
    <w:rsid w:val="1B75684C"/>
    <w:rsid w:val="1B7F1479"/>
    <w:rsid w:val="1B803B6F"/>
    <w:rsid w:val="1B813443"/>
    <w:rsid w:val="1B854CE1"/>
    <w:rsid w:val="1B866036"/>
    <w:rsid w:val="1B897F89"/>
    <w:rsid w:val="1B9273FE"/>
    <w:rsid w:val="1BB6663F"/>
    <w:rsid w:val="1BB87F91"/>
    <w:rsid w:val="1BBF7E22"/>
    <w:rsid w:val="1BC31CAE"/>
    <w:rsid w:val="1BCA303C"/>
    <w:rsid w:val="1BDD2D6F"/>
    <w:rsid w:val="1BE51C24"/>
    <w:rsid w:val="1BEE1DE7"/>
    <w:rsid w:val="1BEF2AE3"/>
    <w:rsid w:val="1BF14125"/>
    <w:rsid w:val="1BF63E31"/>
    <w:rsid w:val="1BF754B3"/>
    <w:rsid w:val="1C0A51E7"/>
    <w:rsid w:val="1C1442B7"/>
    <w:rsid w:val="1C200EAE"/>
    <w:rsid w:val="1C2376BB"/>
    <w:rsid w:val="1C2E35CB"/>
    <w:rsid w:val="1C310935"/>
    <w:rsid w:val="1C3C3F9A"/>
    <w:rsid w:val="1C422BD3"/>
    <w:rsid w:val="1C450915"/>
    <w:rsid w:val="1C550B58"/>
    <w:rsid w:val="1C5E7925"/>
    <w:rsid w:val="1C623275"/>
    <w:rsid w:val="1C7276E6"/>
    <w:rsid w:val="1C730FDE"/>
    <w:rsid w:val="1C82025F"/>
    <w:rsid w:val="1C821221"/>
    <w:rsid w:val="1C8E7BC6"/>
    <w:rsid w:val="1C9A47BD"/>
    <w:rsid w:val="1CA04105"/>
    <w:rsid w:val="1CA70C88"/>
    <w:rsid w:val="1CAA0778"/>
    <w:rsid w:val="1CAD2E1E"/>
    <w:rsid w:val="1CAE64BA"/>
    <w:rsid w:val="1CB87339"/>
    <w:rsid w:val="1CBD66FD"/>
    <w:rsid w:val="1CD04682"/>
    <w:rsid w:val="1CD37CCF"/>
    <w:rsid w:val="1CD557F5"/>
    <w:rsid w:val="1CF52953"/>
    <w:rsid w:val="1CFD070F"/>
    <w:rsid w:val="1D04257E"/>
    <w:rsid w:val="1D083E1C"/>
    <w:rsid w:val="1D1A3B4F"/>
    <w:rsid w:val="1D300C7D"/>
    <w:rsid w:val="1D344C11"/>
    <w:rsid w:val="1D44297A"/>
    <w:rsid w:val="1D5D6972"/>
    <w:rsid w:val="1D5F6196"/>
    <w:rsid w:val="1D6132A5"/>
    <w:rsid w:val="1D632E00"/>
    <w:rsid w:val="1D640497"/>
    <w:rsid w:val="1D644DCB"/>
    <w:rsid w:val="1D864D41"/>
    <w:rsid w:val="1D8E56D5"/>
    <w:rsid w:val="1D994A74"/>
    <w:rsid w:val="1DA9079F"/>
    <w:rsid w:val="1DB778CB"/>
    <w:rsid w:val="1DC615E1"/>
    <w:rsid w:val="1DD91315"/>
    <w:rsid w:val="1DFC5340"/>
    <w:rsid w:val="1DFD14A7"/>
    <w:rsid w:val="1E0068A1"/>
    <w:rsid w:val="1E0334DE"/>
    <w:rsid w:val="1E067C30"/>
    <w:rsid w:val="1E124827"/>
    <w:rsid w:val="1E1257C2"/>
    <w:rsid w:val="1E12759A"/>
    <w:rsid w:val="1E19683F"/>
    <w:rsid w:val="1E25455A"/>
    <w:rsid w:val="1E262080"/>
    <w:rsid w:val="1E37603B"/>
    <w:rsid w:val="1E4340BB"/>
    <w:rsid w:val="1E470974"/>
    <w:rsid w:val="1E51534F"/>
    <w:rsid w:val="1E57048B"/>
    <w:rsid w:val="1E707ECB"/>
    <w:rsid w:val="1E74103D"/>
    <w:rsid w:val="1E7A43DA"/>
    <w:rsid w:val="1E845724"/>
    <w:rsid w:val="1E911BEF"/>
    <w:rsid w:val="1E9E60BA"/>
    <w:rsid w:val="1EA41923"/>
    <w:rsid w:val="1EBC3110"/>
    <w:rsid w:val="1ED037C4"/>
    <w:rsid w:val="1ED76BB7"/>
    <w:rsid w:val="1EE066D3"/>
    <w:rsid w:val="1EE2244B"/>
    <w:rsid w:val="1EE461C3"/>
    <w:rsid w:val="1EEB7551"/>
    <w:rsid w:val="1EF31724"/>
    <w:rsid w:val="1EF50FAB"/>
    <w:rsid w:val="1EFF2FFD"/>
    <w:rsid w:val="1F114ADE"/>
    <w:rsid w:val="1F122D30"/>
    <w:rsid w:val="1F132604"/>
    <w:rsid w:val="1F242A63"/>
    <w:rsid w:val="1F2667DB"/>
    <w:rsid w:val="1F356A1F"/>
    <w:rsid w:val="1F4C5B16"/>
    <w:rsid w:val="1F6115C2"/>
    <w:rsid w:val="1F6606B4"/>
    <w:rsid w:val="1F6C7C95"/>
    <w:rsid w:val="1F705CA9"/>
    <w:rsid w:val="1F8359DC"/>
    <w:rsid w:val="1F903C55"/>
    <w:rsid w:val="1F971487"/>
    <w:rsid w:val="1F9C084C"/>
    <w:rsid w:val="1FA3607E"/>
    <w:rsid w:val="1FAD7A01"/>
    <w:rsid w:val="1FC555DF"/>
    <w:rsid w:val="1FC77337"/>
    <w:rsid w:val="1FCB7383"/>
    <w:rsid w:val="1FCF4CA5"/>
    <w:rsid w:val="1FD47FE6"/>
    <w:rsid w:val="1FE7539E"/>
    <w:rsid w:val="1FEA15B7"/>
    <w:rsid w:val="1FF24910"/>
    <w:rsid w:val="20000DDB"/>
    <w:rsid w:val="20337402"/>
    <w:rsid w:val="2037478F"/>
    <w:rsid w:val="203E1903"/>
    <w:rsid w:val="2049683A"/>
    <w:rsid w:val="204D1B46"/>
    <w:rsid w:val="20601879"/>
    <w:rsid w:val="20671BE0"/>
    <w:rsid w:val="207C5AF9"/>
    <w:rsid w:val="207E61A3"/>
    <w:rsid w:val="208C6B12"/>
    <w:rsid w:val="20963CB8"/>
    <w:rsid w:val="20983709"/>
    <w:rsid w:val="209B3E3A"/>
    <w:rsid w:val="20A420AE"/>
    <w:rsid w:val="20A53730"/>
    <w:rsid w:val="20A81A1B"/>
    <w:rsid w:val="20B07FB6"/>
    <w:rsid w:val="20B646FB"/>
    <w:rsid w:val="20B9542D"/>
    <w:rsid w:val="20CC5161"/>
    <w:rsid w:val="20E64474"/>
    <w:rsid w:val="20EA55E7"/>
    <w:rsid w:val="20EC5803"/>
    <w:rsid w:val="20EE3329"/>
    <w:rsid w:val="20FD6452"/>
    <w:rsid w:val="210863A9"/>
    <w:rsid w:val="210C37AF"/>
    <w:rsid w:val="210C7C53"/>
    <w:rsid w:val="210F0816"/>
    <w:rsid w:val="21151F43"/>
    <w:rsid w:val="21162880"/>
    <w:rsid w:val="21262AC3"/>
    <w:rsid w:val="21283337"/>
    <w:rsid w:val="212A1E87"/>
    <w:rsid w:val="213B74B1"/>
    <w:rsid w:val="21570ECE"/>
    <w:rsid w:val="215A2310"/>
    <w:rsid w:val="21676C37"/>
    <w:rsid w:val="216B497A"/>
    <w:rsid w:val="216D5F5C"/>
    <w:rsid w:val="217B0148"/>
    <w:rsid w:val="2182430A"/>
    <w:rsid w:val="21AB121A"/>
    <w:rsid w:val="21B76114"/>
    <w:rsid w:val="21BA320B"/>
    <w:rsid w:val="21BC6F83"/>
    <w:rsid w:val="21C8658E"/>
    <w:rsid w:val="21CD2F3E"/>
    <w:rsid w:val="21D06ED2"/>
    <w:rsid w:val="21DE318A"/>
    <w:rsid w:val="21EF5B80"/>
    <w:rsid w:val="21FE134A"/>
    <w:rsid w:val="220A1B3D"/>
    <w:rsid w:val="220B1CB9"/>
    <w:rsid w:val="220B7F0B"/>
    <w:rsid w:val="222A65E3"/>
    <w:rsid w:val="223C1E72"/>
    <w:rsid w:val="22421B7E"/>
    <w:rsid w:val="224B0307"/>
    <w:rsid w:val="224F24BC"/>
    <w:rsid w:val="22576990"/>
    <w:rsid w:val="225E4F0D"/>
    <w:rsid w:val="22665141"/>
    <w:rsid w:val="228026A7"/>
    <w:rsid w:val="228A7081"/>
    <w:rsid w:val="229121BE"/>
    <w:rsid w:val="22A31EF1"/>
    <w:rsid w:val="22A5210D"/>
    <w:rsid w:val="22B04133"/>
    <w:rsid w:val="22C407E5"/>
    <w:rsid w:val="22D2119A"/>
    <w:rsid w:val="22DA1DB7"/>
    <w:rsid w:val="22DD5403"/>
    <w:rsid w:val="22EF5136"/>
    <w:rsid w:val="22F4274D"/>
    <w:rsid w:val="22F47480"/>
    <w:rsid w:val="22F56BF1"/>
    <w:rsid w:val="22FD3CF7"/>
    <w:rsid w:val="22FF6214"/>
    <w:rsid w:val="230010F2"/>
    <w:rsid w:val="2302130E"/>
    <w:rsid w:val="23052BAC"/>
    <w:rsid w:val="230C5DA0"/>
    <w:rsid w:val="230D784D"/>
    <w:rsid w:val="23160915"/>
    <w:rsid w:val="2318468D"/>
    <w:rsid w:val="23243032"/>
    <w:rsid w:val="23342E1E"/>
    <w:rsid w:val="23386ADD"/>
    <w:rsid w:val="236B0C61"/>
    <w:rsid w:val="236D2C2B"/>
    <w:rsid w:val="2372299A"/>
    <w:rsid w:val="23731435"/>
    <w:rsid w:val="23735D67"/>
    <w:rsid w:val="23955CDE"/>
    <w:rsid w:val="23985DF6"/>
    <w:rsid w:val="239A32F4"/>
    <w:rsid w:val="23B343B6"/>
    <w:rsid w:val="23BA3996"/>
    <w:rsid w:val="23DE1C48"/>
    <w:rsid w:val="23DE58D7"/>
    <w:rsid w:val="23DF2F7E"/>
    <w:rsid w:val="23DF474A"/>
    <w:rsid w:val="23E539DD"/>
    <w:rsid w:val="23EE3640"/>
    <w:rsid w:val="23F23130"/>
    <w:rsid w:val="23F24EDE"/>
    <w:rsid w:val="23F32A04"/>
    <w:rsid w:val="23F76998"/>
    <w:rsid w:val="240210CD"/>
    <w:rsid w:val="24084702"/>
    <w:rsid w:val="240D1D18"/>
    <w:rsid w:val="242332EA"/>
    <w:rsid w:val="24311EAA"/>
    <w:rsid w:val="2443573A"/>
    <w:rsid w:val="245142FB"/>
    <w:rsid w:val="245C2C9F"/>
    <w:rsid w:val="247578BD"/>
    <w:rsid w:val="249B5576"/>
    <w:rsid w:val="24A570AC"/>
    <w:rsid w:val="24BF09F7"/>
    <w:rsid w:val="24C01DD9"/>
    <w:rsid w:val="24CA19B7"/>
    <w:rsid w:val="24CD14A7"/>
    <w:rsid w:val="24EA3E07"/>
    <w:rsid w:val="24FB7DC2"/>
    <w:rsid w:val="25050C41"/>
    <w:rsid w:val="25162E4E"/>
    <w:rsid w:val="251A7516"/>
    <w:rsid w:val="252D53FE"/>
    <w:rsid w:val="253908EB"/>
    <w:rsid w:val="253F05F7"/>
    <w:rsid w:val="25441769"/>
    <w:rsid w:val="254C6870"/>
    <w:rsid w:val="25611D71"/>
    <w:rsid w:val="2572277A"/>
    <w:rsid w:val="257C53A7"/>
    <w:rsid w:val="25896D09"/>
    <w:rsid w:val="25900E53"/>
    <w:rsid w:val="259632DB"/>
    <w:rsid w:val="25A22934"/>
    <w:rsid w:val="25A641D2"/>
    <w:rsid w:val="25A71CF8"/>
    <w:rsid w:val="25C12DBA"/>
    <w:rsid w:val="25CD1E0C"/>
    <w:rsid w:val="25CD5C03"/>
    <w:rsid w:val="25CE54D7"/>
    <w:rsid w:val="25D074A1"/>
    <w:rsid w:val="25D36F91"/>
    <w:rsid w:val="25EA5C1B"/>
    <w:rsid w:val="25EC2D81"/>
    <w:rsid w:val="25EE5A8E"/>
    <w:rsid w:val="25F25669"/>
    <w:rsid w:val="25F45F1A"/>
    <w:rsid w:val="25FC2044"/>
    <w:rsid w:val="26103D41"/>
    <w:rsid w:val="2614136F"/>
    <w:rsid w:val="26234BC5"/>
    <w:rsid w:val="262E41C8"/>
    <w:rsid w:val="264A1001"/>
    <w:rsid w:val="264F0ED6"/>
    <w:rsid w:val="264F6618"/>
    <w:rsid w:val="265359DC"/>
    <w:rsid w:val="265D2158"/>
    <w:rsid w:val="267A740D"/>
    <w:rsid w:val="26804A23"/>
    <w:rsid w:val="269C5F46"/>
    <w:rsid w:val="26AF70B6"/>
    <w:rsid w:val="26B91CE3"/>
    <w:rsid w:val="26DE5BEE"/>
    <w:rsid w:val="26E01966"/>
    <w:rsid w:val="26EF3957"/>
    <w:rsid w:val="26F013BB"/>
    <w:rsid w:val="26F23447"/>
    <w:rsid w:val="27007912"/>
    <w:rsid w:val="270A253F"/>
    <w:rsid w:val="272F01F7"/>
    <w:rsid w:val="27335D43"/>
    <w:rsid w:val="27335F39"/>
    <w:rsid w:val="273D0B66"/>
    <w:rsid w:val="27554102"/>
    <w:rsid w:val="27597108"/>
    <w:rsid w:val="275D1F11"/>
    <w:rsid w:val="275F0ADD"/>
    <w:rsid w:val="276713A4"/>
    <w:rsid w:val="276A76A0"/>
    <w:rsid w:val="277057A2"/>
    <w:rsid w:val="27806CA5"/>
    <w:rsid w:val="278D3673"/>
    <w:rsid w:val="279938C3"/>
    <w:rsid w:val="279B763B"/>
    <w:rsid w:val="27A74232"/>
    <w:rsid w:val="27AB3D22"/>
    <w:rsid w:val="27AF7471"/>
    <w:rsid w:val="27C9064C"/>
    <w:rsid w:val="27D668C5"/>
    <w:rsid w:val="27E62FAC"/>
    <w:rsid w:val="27E86D24"/>
    <w:rsid w:val="27F65B44"/>
    <w:rsid w:val="280403C5"/>
    <w:rsid w:val="28060F58"/>
    <w:rsid w:val="280653FC"/>
    <w:rsid w:val="28094EEC"/>
    <w:rsid w:val="281F64BE"/>
    <w:rsid w:val="28305FD5"/>
    <w:rsid w:val="284877C3"/>
    <w:rsid w:val="2849353B"/>
    <w:rsid w:val="284D4DD9"/>
    <w:rsid w:val="284E0B51"/>
    <w:rsid w:val="285262EE"/>
    <w:rsid w:val="28562A67"/>
    <w:rsid w:val="285F2D5E"/>
    <w:rsid w:val="286E6AFD"/>
    <w:rsid w:val="28722A91"/>
    <w:rsid w:val="288325A9"/>
    <w:rsid w:val="289A5396"/>
    <w:rsid w:val="28A013AD"/>
    <w:rsid w:val="28AF7842"/>
    <w:rsid w:val="28B9246E"/>
    <w:rsid w:val="28C01A4F"/>
    <w:rsid w:val="28C11323"/>
    <w:rsid w:val="28CC6CA7"/>
    <w:rsid w:val="28CF3A40"/>
    <w:rsid w:val="28D510D6"/>
    <w:rsid w:val="28DF3471"/>
    <w:rsid w:val="28E219C5"/>
    <w:rsid w:val="28EC2844"/>
    <w:rsid w:val="28ED3EC6"/>
    <w:rsid w:val="290319E9"/>
    <w:rsid w:val="290750DA"/>
    <w:rsid w:val="290A0860"/>
    <w:rsid w:val="290F6532"/>
    <w:rsid w:val="29206EB8"/>
    <w:rsid w:val="292E3549"/>
    <w:rsid w:val="29345713"/>
    <w:rsid w:val="2939710B"/>
    <w:rsid w:val="29410EE0"/>
    <w:rsid w:val="294F7895"/>
    <w:rsid w:val="29595666"/>
    <w:rsid w:val="29726B74"/>
    <w:rsid w:val="2973261D"/>
    <w:rsid w:val="297665B1"/>
    <w:rsid w:val="298011DE"/>
    <w:rsid w:val="29874881"/>
    <w:rsid w:val="299407E6"/>
    <w:rsid w:val="299D58EC"/>
    <w:rsid w:val="29AB625B"/>
    <w:rsid w:val="29C015DB"/>
    <w:rsid w:val="29E325E0"/>
    <w:rsid w:val="29F574D6"/>
    <w:rsid w:val="29FA5AF2"/>
    <w:rsid w:val="2A04596B"/>
    <w:rsid w:val="2A141D2D"/>
    <w:rsid w:val="2A2B114A"/>
    <w:rsid w:val="2A452503"/>
    <w:rsid w:val="2A4B7C8D"/>
    <w:rsid w:val="2A500BB0"/>
    <w:rsid w:val="2A5D382D"/>
    <w:rsid w:val="2A64640A"/>
    <w:rsid w:val="2A6B1546"/>
    <w:rsid w:val="2A6E7289"/>
    <w:rsid w:val="2A797330"/>
    <w:rsid w:val="2A9F5694"/>
    <w:rsid w:val="2ABE5B1A"/>
    <w:rsid w:val="2ADB2B70"/>
    <w:rsid w:val="2AE7684A"/>
    <w:rsid w:val="2AEA2DB3"/>
    <w:rsid w:val="2AF459E0"/>
    <w:rsid w:val="2AF552B4"/>
    <w:rsid w:val="2AF96A38"/>
    <w:rsid w:val="2AFA0B7E"/>
    <w:rsid w:val="2B004385"/>
    <w:rsid w:val="2B0D0850"/>
    <w:rsid w:val="2B0F6376"/>
    <w:rsid w:val="2B141BDE"/>
    <w:rsid w:val="2B25203D"/>
    <w:rsid w:val="2B2F6A18"/>
    <w:rsid w:val="2B367DA6"/>
    <w:rsid w:val="2B3E30FF"/>
    <w:rsid w:val="2B4A1AA4"/>
    <w:rsid w:val="2B5E10AB"/>
    <w:rsid w:val="2B7703BB"/>
    <w:rsid w:val="2B85488A"/>
    <w:rsid w:val="2B856638"/>
    <w:rsid w:val="2BA936A8"/>
    <w:rsid w:val="2BB86A0D"/>
    <w:rsid w:val="2BC01AFE"/>
    <w:rsid w:val="2BD16079"/>
    <w:rsid w:val="2BD870AF"/>
    <w:rsid w:val="2BE145E3"/>
    <w:rsid w:val="2BEA293F"/>
    <w:rsid w:val="2C077995"/>
    <w:rsid w:val="2C0A4D8F"/>
    <w:rsid w:val="2C0E487F"/>
    <w:rsid w:val="2C161986"/>
    <w:rsid w:val="2C315A5A"/>
    <w:rsid w:val="2C387B4E"/>
    <w:rsid w:val="2C3D387E"/>
    <w:rsid w:val="2C3F0EDD"/>
    <w:rsid w:val="2C4B1C25"/>
    <w:rsid w:val="2C5A59E1"/>
    <w:rsid w:val="2C624BCB"/>
    <w:rsid w:val="2C6B1CD2"/>
    <w:rsid w:val="2C6D16B1"/>
    <w:rsid w:val="2C6E3570"/>
    <w:rsid w:val="2C770676"/>
    <w:rsid w:val="2C7D37B3"/>
    <w:rsid w:val="2CB05936"/>
    <w:rsid w:val="2CB573F1"/>
    <w:rsid w:val="2CB74F17"/>
    <w:rsid w:val="2CBF201D"/>
    <w:rsid w:val="2CDC7C10"/>
    <w:rsid w:val="2CE13D42"/>
    <w:rsid w:val="2CE61358"/>
    <w:rsid w:val="2D020066"/>
    <w:rsid w:val="2D12214D"/>
    <w:rsid w:val="2D297497"/>
    <w:rsid w:val="2D312F83"/>
    <w:rsid w:val="2D594220"/>
    <w:rsid w:val="2D5C161A"/>
    <w:rsid w:val="2D5E1836"/>
    <w:rsid w:val="2D7A6E24"/>
    <w:rsid w:val="2D821D81"/>
    <w:rsid w:val="2D8F19F0"/>
    <w:rsid w:val="2D9E56F5"/>
    <w:rsid w:val="2D9F0DAE"/>
    <w:rsid w:val="2DAF5BEE"/>
    <w:rsid w:val="2DBB4593"/>
    <w:rsid w:val="2DC140F1"/>
    <w:rsid w:val="2DC23B73"/>
    <w:rsid w:val="2DC72F38"/>
    <w:rsid w:val="2DCA1B5B"/>
    <w:rsid w:val="2DCA2A28"/>
    <w:rsid w:val="2DCC49F2"/>
    <w:rsid w:val="2DD800F5"/>
    <w:rsid w:val="2DE41D3C"/>
    <w:rsid w:val="2DEE4968"/>
    <w:rsid w:val="2DF61A6F"/>
    <w:rsid w:val="2DFC52A4"/>
    <w:rsid w:val="2DFD4BAB"/>
    <w:rsid w:val="2E08508B"/>
    <w:rsid w:val="2E17156A"/>
    <w:rsid w:val="2E1B7727"/>
    <w:rsid w:val="2E2C723F"/>
    <w:rsid w:val="2E5D389C"/>
    <w:rsid w:val="2E5E224B"/>
    <w:rsid w:val="2E61338C"/>
    <w:rsid w:val="2E667F96"/>
    <w:rsid w:val="2E6813BE"/>
    <w:rsid w:val="2E8226AB"/>
    <w:rsid w:val="2E8E7EF9"/>
    <w:rsid w:val="2E921798"/>
    <w:rsid w:val="2EA65243"/>
    <w:rsid w:val="2EB55486"/>
    <w:rsid w:val="2ECE02F6"/>
    <w:rsid w:val="2EDD0FB3"/>
    <w:rsid w:val="2EFE0BDB"/>
    <w:rsid w:val="2EFF2BA5"/>
    <w:rsid w:val="2EFF4953"/>
    <w:rsid w:val="2F05640D"/>
    <w:rsid w:val="2F120B2A"/>
    <w:rsid w:val="2F1D09A0"/>
    <w:rsid w:val="2F1F6DA3"/>
    <w:rsid w:val="2F204FF5"/>
    <w:rsid w:val="2F255662"/>
    <w:rsid w:val="2F2B5748"/>
    <w:rsid w:val="2F3333E3"/>
    <w:rsid w:val="2F3445FD"/>
    <w:rsid w:val="2F3D354D"/>
    <w:rsid w:val="2F5835F2"/>
    <w:rsid w:val="2F590507"/>
    <w:rsid w:val="2F634EE2"/>
    <w:rsid w:val="2F7722EC"/>
    <w:rsid w:val="2F77273B"/>
    <w:rsid w:val="2F996B56"/>
    <w:rsid w:val="2FA33530"/>
    <w:rsid w:val="2FAB4AF9"/>
    <w:rsid w:val="2FB614B6"/>
    <w:rsid w:val="2FB971F8"/>
    <w:rsid w:val="2FBD4D02"/>
    <w:rsid w:val="2FC31E25"/>
    <w:rsid w:val="2FC70985"/>
    <w:rsid w:val="2FD065E6"/>
    <w:rsid w:val="2FD1009E"/>
    <w:rsid w:val="2FD96870"/>
    <w:rsid w:val="2FDE6C5E"/>
    <w:rsid w:val="2FE739A7"/>
    <w:rsid w:val="2FEE2450"/>
    <w:rsid w:val="2FF63FA8"/>
    <w:rsid w:val="303A1923"/>
    <w:rsid w:val="3040220C"/>
    <w:rsid w:val="3050460D"/>
    <w:rsid w:val="30580BC9"/>
    <w:rsid w:val="305A4063"/>
    <w:rsid w:val="305B205D"/>
    <w:rsid w:val="30766E97"/>
    <w:rsid w:val="308C66BA"/>
    <w:rsid w:val="309D4424"/>
    <w:rsid w:val="30C9346B"/>
    <w:rsid w:val="30D140CD"/>
    <w:rsid w:val="30D836AE"/>
    <w:rsid w:val="30DF34D1"/>
    <w:rsid w:val="30E738F1"/>
    <w:rsid w:val="310821E5"/>
    <w:rsid w:val="31145B57"/>
    <w:rsid w:val="311566B0"/>
    <w:rsid w:val="31175F84"/>
    <w:rsid w:val="311E2ED7"/>
    <w:rsid w:val="31216E03"/>
    <w:rsid w:val="312F7772"/>
    <w:rsid w:val="31321010"/>
    <w:rsid w:val="31385CA0"/>
    <w:rsid w:val="314026A9"/>
    <w:rsid w:val="314B0324"/>
    <w:rsid w:val="314E571E"/>
    <w:rsid w:val="315619EE"/>
    <w:rsid w:val="315C42DF"/>
    <w:rsid w:val="315C449C"/>
    <w:rsid w:val="315E623C"/>
    <w:rsid w:val="31734022"/>
    <w:rsid w:val="31741628"/>
    <w:rsid w:val="317433D6"/>
    <w:rsid w:val="3174343A"/>
    <w:rsid w:val="31833619"/>
    <w:rsid w:val="31837ABD"/>
    <w:rsid w:val="3186310A"/>
    <w:rsid w:val="3195334D"/>
    <w:rsid w:val="31992E3D"/>
    <w:rsid w:val="319E4903"/>
    <w:rsid w:val="31A65621"/>
    <w:rsid w:val="31B82709"/>
    <w:rsid w:val="31CF2D03"/>
    <w:rsid w:val="31D05482"/>
    <w:rsid w:val="31D67BED"/>
    <w:rsid w:val="31E06CBE"/>
    <w:rsid w:val="320209E2"/>
    <w:rsid w:val="3203475A"/>
    <w:rsid w:val="320B4BD2"/>
    <w:rsid w:val="32222E32"/>
    <w:rsid w:val="322841C1"/>
    <w:rsid w:val="32400B34"/>
    <w:rsid w:val="3241412D"/>
    <w:rsid w:val="326A47D9"/>
    <w:rsid w:val="327411B4"/>
    <w:rsid w:val="327A2C6E"/>
    <w:rsid w:val="327B2543"/>
    <w:rsid w:val="32803FFD"/>
    <w:rsid w:val="329E6876"/>
    <w:rsid w:val="32C51A10"/>
    <w:rsid w:val="32EE3A77"/>
    <w:rsid w:val="33024A12"/>
    <w:rsid w:val="331A61FF"/>
    <w:rsid w:val="333015F2"/>
    <w:rsid w:val="333654C8"/>
    <w:rsid w:val="333D5A4A"/>
    <w:rsid w:val="334212B2"/>
    <w:rsid w:val="334B6320"/>
    <w:rsid w:val="337376BE"/>
    <w:rsid w:val="33743B62"/>
    <w:rsid w:val="33896EE1"/>
    <w:rsid w:val="339064C2"/>
    <w:rsid w:val="33AE06F6"/>
    <w:rsid w:val="33B4169A"/>
    <w:rsid w:val="33C341A1"/>
    <w:rsid w:val="33CA5530"/>
    <w:rsid w:val="33CB74FA"/>
    <w:rsid w:val="33D26ADA"/>
    <w:rsid w:val="33D53ED4"/>
    <w:rsid w:val="33D740F0"/>
    <w:rsid w:val="33D934D4"/>
    <w:rsid w:val="33E04D53"/>
    <w:rsid w:val="33E800AC"/>
    <w:rsid w:val="33F20F2A"/>
    <w:rsid w:val="33FE2F6A"/>
    <w:rsid w:val="340E07E5"/>
    <w:rsid w:val="340F388A"/>
    <w:rsid w:val="341C1B03"/>
    <w:rsid w:val="342310E4"/>
    <w:rsid w:val="34235BF7"/>
    <w:rsid w:val="342D070B"/>
    <w:rsid w:val="34403A44"/>
    <w:rsid w:val="344277BC"/>
    <w:rsid w:val="34605E94"/>
    <w:rsid w:val="34621C0C"/>
    <w:rsid w:val="346932E8"/>
    <w:rsid w:val="346F257B"/>
    <w:rsid w:val="34713BFD"/>
    <w:rsid w:val="34715897"/>
    <w:rsid w:val="347B4A7C"/>
    <w:rsid w:val="34A044E2"/>
    <w:rsid w:val="34A42225"/>
    <w:rsid w:val="34B61F58"/>
    <w:rsid w:val="34C5219B"/>
    <w:rsid w:val="34C93B7C"/>
    <w:rsid w:val="34DB19BE"/>
    <w:rsid w:val="34F14D3E"/>
    <w:rsid w:val="34FD7B87"/>
    <w:rsid w:val="35011425"/>
    <w:rsid w:val="351729F7"/>
    <w:rsid w:val="351B1DBB"/>
    <w:rsid w:val="351C2F84"/>
    <w:rsid w:val="35335357"/>
    <w:rsid w:val="353D7F83"/>
    <w:rsid w:val="354632DC"/>
    <w:rsid w:val="35466E38"/>
    <w:rsid w:val="35505F08"/>
    <w:rsid w:val="355A28E3"/>
    <w:rsid w:val="35645510"/>
    <w:rsid w:val="356814A4"/>
    <w:rsid w:val="357902B2"/>
    <w:rsid w:val="358C5FA8"/>
    <w:rsid w:val="359A53D6"/>
    <w:rsid w:val="359E6C74"/>
    <w:rsid w:val="35B1122D"/>
    <w:rsid w:val="35B71AE4"/>
    <w:rsid w:val="35C060F5"/>
    <w:rsid w:val="35C15DF1"/>
    <w:rsid w:val="35C81F43"/>
    <w:rsid w:val="35DE52C2"/>
    <w:rsid w:val="35EE542B"/>
    <w:rsid w:val="36015455"/>
    <w:rsid w:val="36050AA1"/>
    <w:rsid w:val="36074A7F"/>
    <w:rsid w:val="360D7E33"/>
    <w:rsid w:val="3632560E"/>
    <w:rsid w:val="363869FF"/>
    <w:rsid w:val="36392E40"/>
    <w:rsid w:val="363B44C3"/>
    <w:rsid w:val="36415851"/>
    <w:rsid w:val="364F4412"/>
    <w:rsid w:val="36515F84"/>
    <w:rsid w:val="36525CB0"/>
    <w:rsid w:val="3667175C"/>
    <w:rsid w:val="36745C27"/>
    <w:rsid w:val="3676374D"/>
    <w:rsid w:val="367E0853"/>
    <w:rsid w:val="368B5940"/>
    <w:rsid w:val="36923549"/>
    <w:rsid w:val="36963DEF"/>
    <w:rsid w:val="36B64491"/>
    <w:rsid w:val="36B67FED"/>
    <w:rsid w:val="36B75FBF"/>
    <w:rsid w:val="36BD0C45"/>
    <w:rsid w:val="36BD312A"/>
    <w:rsid w:val="36D6243D"/>
    <w:rsid w:val="36F079A3"/>
    <w:rsid w:val="370364ED"/>
    <w:rsid w:val="370A0339"/>
    <w:rsid w:val="371A67CE"/>
    <w:rsid w:val="371B60A2"/>
    <w:rsid w:val="37256F21"/>
    <w:rsid w:val="37266AED"/>
    <w:rsid w:val="3736112E"/>
    <w:rsid w:val="374750E9"/>
    <w:rsid w:val="374E46CA"/>
    <w:rsid w:val="376932B2"/>
    <w:rsid w:val="376E6B1A"/>
    <w:rsid w:val="37716B7E"/>
    <w:rsid w:val="37755EB7"/>
    <w:rsid w:val="377F4883"/>
    <w:rsid w:val="37976071"/>
    <w:rsid w:val="379C5435"/>
    <w:rsid w:val="37CB1876"/>
    <w:rsid w:val="37CD13CC"/>
    <w:rsid w:val="37D90437"/>
    <w:rsid w:val="37DC1CD5"/>
    <w:rsid w:val="37E00298"/>
    <w:rsid w:val="37EE37B7"/>
    <w:rsid w:val="380134EA"/>
    <w:rsid w:val="3805122C"/>
    <w:rsid w:val="380A6ED3"/>
    <w:rsid w:val="3810197F"/>
    <w:rsid w:val="3814321D"/>
    <w:rsid w:val="38161052"/>
    <w:rsid w:val="38190834"/>
    <w:rsid w:val="382B0567"/>
    <w:rsid w:val="38312021"/>
    <w:rsid w:val="383438BF"/>
    <w:rsid w:val="386A72E1"/>
    <w:rsid w:val="388365F5"/>
    <w:rsid w:val="38966328"/>
    <w:rsid w:val="38A74091"/>
    <w:rsid w:val="38AA6CF9"/>
    <w:rsid w:val="38B302F9"/>
    <w:rsid w:val="38B44A00"/>
    <w:rsid w:val="38BD5663"/>
    <w:rsid w:val="38E250CA"/>
    <w:rsid w:val="38F12CD3"/>
    <w:rsid w:val="38F94775"/>
    <w:rsid w:val="39227BBC"/>
    <w:rsid w:val="39273424"/>
    <w:rsid w:val="392971ED"/>
    <w:rsid w:val="39325651"/>
    <w:rsid w:val="39331DC9"/>
    <w:rsid w:val="3951224F"/>
    <w:rsid w:val="39627FB8"/>
    <w:rsid w:val="39657AA9"/>
    <w:rsid w:val="396C52DB"/>
    <w:rsid w:val="39822A33"/>
    <w:rsid w:val="39882115"/>
    <w:rsid w:val="39897C3B"/>
    <w:rsid w:val="399A59A4"/>
    <w:rsid w:val="399F120C"/>
    <w:rsid w:val="39A64349"/>
    <w:rsid w:val="39B24D06"/>
    <w:rsid w:val="39BF18AF"/>
    <w:rsid w:val="39C649EB"/>
    <w:rsid w:val="39CE38A0"/>
    <w:rsid w:val="39D72754"/>
    <w:rsid w:val="3A00614F"/>
    <w:rsid w:val="3A1C460B"/>
    <w:rsid w:val="3A347BA7"/>
    <w:rsid w:val="3A3E27D3"/>
    <w:rsid w:val="3A413B35"/>
    <w:rsid w:val="3A43428E"/>
    <w:rsid w:val="3A460EFD"/>
    <w:rsid w:val="3A541FF7"/>
    <w:rsid w:val="3A5C0EAC"/>
    <w:rsid w:val="3A5E4C24"/>
    <w:rsid w:val="3A79380C"/>
    <w:rsid w:val="3A872856"/>
    <w:rsid w:val="3A8D5509"/>
    <w:rsid w:val="3A916DA7"/>
    <w:rsid w:val="3A9C574C"/>
    <w:rsid w:val="3AA34D2C"/>
    <w:rsid w:val="3AC70A1B"/>
    <w:rsid w:val="3ACD3B57"/>
    <w:rsid w:val="3AE062DB"/>
    <w:rsid w:val="3AF410E4"/>
    <w:rsid w:val="3AF85078"/>
    <w:rsid w:val="3B007A89"/>
    <w:rsid w:val="3B1874C8"/>
    <w:rsid w:val="3B245E6D"/>
    <w:rsid w:val="3B3763D1"/>
    <w:rsid w:val="3B4E0552"/>
    <w:rsid w:val="3B7010B2"/>
    <w:rsid w:val="3B79712A"/>
    <w:rsid w:val="3B914B85"/>
    <w:rsid w:val="3B915AA7"/>
    <w:rsid w:val="3B950B19"/>
    <w:rsid w:val="3B9A7EDD"/>
    <w:rsid w:val="3B9B5A04"/>
    <w:rsid w:val="3B9F3746"/>
    <w:rsid w:val="3BB371F1"/>
    <w:rsid w:val="3BDD601C"/>
    <w:rsid w:val="3BF84C04"/>
    <w:rsid w:val="3BFD221A"/>
    <w:rsid w:val="3BFF41E4"/>
    <w:rsid w:val="3C053439"/>
    <w:rsid w:val="3C090BBF"/>
    <w:rsid w:val="3C125CC6"/>
    <w:rsid w:val="3C236125"/>
    <w:rsid w:val="3C261771"/>
    <w:rsid w:val="3C2F6E1E"/>
    <w:rsid w:val="3C326368"/>
    <w:rsid w:val="3C3E2F5F"/>
    <w:rsid w:val="3C3F2833"/>
    <w:rsid w:val="3C460D19"/>
    <w:rsid w:val="3C4D4F50"/>
    <w:rsid w:val="3C4F64BA"/>
    <w:rsid w:val="3C5A766D"/>
    <w:rsid w:val="3C667DC0"/>
    <w:rsid w:val="3C7249B6"/>
    <w:rsid w:val="3C812E4B"/>
    <w:rsid w:val="3CB826BD"/>
    <w:rsid w:val="3CBE5BBB"/>
    <w:rsid w:val="3CC64D02"/>
    <w:rsid w:val="3CC66AB0"/>
    <w:rsid w:val="3CD15B81"/>
    <w:rsid w:val="3CD92C87"/>
    <w:rsid w:val="3CDA245A"/>
    <w:rsid w:val="3CE753A4"/>
    <w:rsid w:val="3CEF4259"/>
    <w:rsid w:val="3CF03B2D"/>
    <w:rsid w:val="3CF947C0"/>
    <w:rsid w:val="3CF96617"/>
    <w:rsid w:val="3D0C4E0B"/>
    <w:rsid w:val="3D1141CF"/>
    <w:rsid w:val="3D193084"/>
    <w:rsid w:val="3D1D780B"/>
    <w:rsid w:val="3D1E06B7"/>
    <w:rsid w:val="3D211F38"/>
    <w:rsid w:val="3D22462E"/>
    <w:rsid w:val="3D347271"/>
    <w:rsid w:val="3D3D6F61"/>
    <w:rsid w:val="3D70539A"/>
    <w:rsid w:val="3D962926"/>
    <w:rsid w:val="3D9B618F"/>
    <w:rsid w:val="3D9F17DB"/>
    <w:rsid w:val="3DA52B6A"/>
    <w:rsid w:val="3DAC3EF8"/>
    <w:rsid w:val="3DB50FFF"/>
    <w:rsid w:val="3DBA07D9"/>
    <w:rsid w:val="3DBB413B"/>
    <w:rsid w:val="3DC70D32"/>
    <w:rsid w:val="3DCB0822"/>
    <w:rsid w:val="3DD07BE6"/>
    <w:rsid w:val="3DDD67A7"/>
    <w:rsid w:val="3DDF607B"/>
    <w:rsid w:val="3E1A5306"/>
    <w:rsid w:val="3E1A70B4"/>
    <w:rsid w:val="3E241CE0"/>
    <w:rsid w:val="3E3D6021"/>
    <w:rsid w:val="3E452F9F"/>
    <w:rsid w:val="3E502AD5"/>
    <w:rsid w:val="3E5527E2"/>
    <w:rsid w:val="3E817133"/>
    <w:rsid w:val="3E846C23"/>
    <w:rsid w:val="3E990920"/>
    <w:rsid w:val="3EA763FA"/>
    <w:rsid w:val="3EA846BF"/>
    <w:rsid w:val="3EAB2402"/>
    <w:rsid w:val="3EB219E2"/>
    <w:rsid w:val="3EB61701"/>
    <w:rsid w:val="3EBE2135"/>
    <w:rsid w:val="3ECC2AA4"/>
    <w:rsid w:val="3EDA0523"/>
    <w:rsid w:val="3EE871B2"/>
    <w:rsid w:val="3EF913BF"/>
    <w:rsid w:val="3F0D6C18"/>
    <w:rsid w:val="3F116709"/>
    <w:rsid w:val="3F1A0FBD"/>
    <w:rsid w:val="3F23468E"/>
    <w:rsid w:val="3F255D10"/>
    <w:rsid w:val="3F2C3542"/>
    <w:rsid w:val="3F2D2E17"/>
    <w:rsid w:val="3F367F1D"/>
    <w:rsid w:val="3F373C95"/>
    <w:rsid w:val="3F385ADF"/>
    <w:rsid w:val="3F3C37F8"/>
    <w:rsid w:val="3F430063"/>
    <w:rsid w:val="3F650802"/>
    <w:rsid w:val="3F6C1B91"/>
    <w:rsid w:val="3F6F78D3"/>
    <w:rsid w:val="3F7D3D9E"/>
    <w:rsid w:val="3F980BD8"/>
    <w:rsid w:val="3F9D7F9C"/>
    <w:rsid w:val="3FA72BC9"/>
    <w:rsid w:val="3FA806EF"/>
    <w:rsid w:val="3FA96941"/>
    <w:rsid w:val="3FB157F6"/>
    <w:rsid w:val="3FB35A12"/>
    <w:rsid w:val="3FBF4E2E"/>
    <w:rsid w:val="3FC96FE3"/>
    <w:rsid w:val="3FCA68B7"/>
    <w:rsid w:val="3FCE63A8"/>
    <w:rsid w:val="3FF027C2"/>
    <w:rsid w:val="3FF34060"/>
    <w:rsid w:val="3FFB4CC3"/>
    <w:rsid w:val="4001677D"/>
    <w:rsid w:val="400C5AA1"/>
    <w:rsid w:val="40175FA1"/>
    <w:rsid w:val="402E39B2"/>
    <w:rsid w:val="40363F4D"/>
    <w:rsid w:val="403F1053"/>
    <w:rsid w:val="403F72CC"/>
    <w:rsid w:val="404843AC"/>
    <w:rsid w:val="40490124"/>
    <w:rsid w:val="404E573A"/>
    <w:rsid w:val="406665E0"/>
    <w:rsid w:val="406D3E12"/>
    <w:rsid w:val="407A6407"/>
    <w:rsid w:val="407F58F4"/>
    <w:rsid w:val="40880C4C"/>
    <w:rsid w:val="408E3D89"/>
    <w:rsid w:val="409475F1"/>
    <w:rsid w:val="409E3FCC"/>
    <w:rsid w:val="40A4535A"/>
    <w:rsid w:val="40B82BB4"/>
    <w:rsid w:val="40DE086C"/>
    <w:rsid w:val="40EE65D6"/>
    <w:rsid w:val="40EF2A79"/>
    <w:rsid w:val="40FC6F44"/>
    <w:rsid w:val="41036525"/>
    <w:rsid w:val="410858E9"/>
    <w:rsid w:val="410A1661"/>
    <w:rsid w:val="410B7187"/>
    <w:rsid w:val="411A73CB"/>
    <w:rsid w:val="411C1395"/>
    <w:rsid w:val="41306BEE"/>
    <w:rsid w:val="41377F7D"/>
    <w:rsid w:val="413C37E5"/>
    <w:rsid w:val="413E57AF"/>
    <w:rsid w:val="41436921"/>
    <w:rsid w:val="41483F38"/>
    <w:rsid w:val="4150607D"/>
    <w:rsid w:val="416F5968"/>
    <w:rsid w:val="41780CC1"/>
    <w:rsid w:val="41911D83"/>
    <w:rsid w:val="41923405"/>
    <w:rsid w:val="419E624E"/>
    <w:rsid w:val="41AF2209"/>
    <w:rsid w:val="41B45A71"/>
    <w:rsid w:val="41C55588"/>
    <w:rsid w:val="41D34149"/>
    <w:rsid w:val="41FA7928"/>
    <w:rsid w:val="41FB544E"/>
    <w:rsid w:val="4200449D"/>
    <w:rsid w:val="420330C6"/>
    <w:rsid w:val="42042555"/>
    <w:rsid w:val="420819FD"/>
    <w:rsid w:val="42093FD6"/>
    <w:rsid w:val="42165DE4"/>
    <w:rsid w:val="42312C1E"/>
    <w:rsid w:val="4233229F"/>
    <w:rsid w:val="42334BE8"/>
    <w:rsid w:val="423746D8"/>
    <w:rsid w:val="423A3BCC"/>
    <w:rsid w:val="42403D6B"/>
    <w:rsid w:val="42453F9A"/>
    <w:rsid w:val="424E57D2"/>
    <w:rsid w:val="425012F6"/>
    <w:rsid w:val="425608D6"/>
    <w:rsid w:val="42576B28"/>
    <w:rsid w:val="4262727B"/>
    <w:rsid w:val="4269685C"/>
    <w:rsid w:val="426B4382"/>
    <w:rsid w:val="426C65EC"/>
    <w:rsid w:val="426D51AB"/>
    <w:rsid w:val="42723962"/>
    <w:rsid w:val="42731488"/>
    <w:rsid w:val="42843695"/>
    <w:rsid w:val="428A2867"/>
    <w:rsid w:val="428B0580"/>
    <w:rsid w:val="429C453B"/>
    <w:rsid w:val="42A4535B"/>
    <w:rsid w:val="42B07FE6"/>
    <w:rsid w:val="42B26C49"/>
    <w:rsid w:val="42B775C7"/>
    <w:rsid w:val="42BD5B38"/>
    <w:rsid w:val="42BF022A"/>
    <w:rsid w:val="42C35F6C"/>
    <w:rsid w:val="42C6692D"/>
    <w:rsid w:val="42D00689"/>
    <w:rsid w:val="42D53EF1"/>
    <w:rsid w:val="42D737C5"/>
    <w:rsid w:val="42E55F94"/>
    <w:rsid w:val="42F44377"/>
    <w:rsid w:val="42F56341"/>
    <w:rsid w:val="42FE0D10"/>
    <w:rsid w:val="430B346F"/>
    <w:rsid w:val="43100A85"/>
    <w:rsid w:val="431247FD"/>
    <w:rsid w:val="4315253F"/>
    <w:rsid w:val="431E31A2"/>
    <w:rsid w:val="431F786C"/>
    <w:rsid w:val="433429C6"/>
    <w:rsid w:val="4335628F"/>
    <w:rsid w:val="433A6FE6"/>
    <w:rsid w:val="43480868"/>
    <w:rsid w:val="434D1CD9"/>
    <w:rsid w:val="4350713C"/>
    <w:rsid w:val="435766B4"/>
    <w:rsid w:val="435979DC"/>
    <w:rsid w:val="435E5C94"/>
    <w:rsid w:val="436136E1"/>
    <w:rsid w:val="436653E0"/>
    <w:rsid w:val="436C03B1"/>
    <w:rsid w:val="437F4BB5"/>
    <w:rsid w:val="438D657A"/>
    <w:rsid w:val="43923B90"/>
    <w:rsid w:val="439416B6"/>
    <w:rsid w:val="43B458B4"/>
    <w:rsid w:val="43BF5BF2"/>
    <w:rsid w:val="43C4431A"/>
    <w:rsid w:val="43D45F57"/>
    <w:rsid w:val="43E066A9"/>
    <w:rsid w:val="43E837B0"/>
    <w:rsid w:val="44000F96"/>
    <w:rsid w:val="44054362"/>
    <w:rsid w:val="44531571"/>
    <w:rsid w:val="445552E9"/>
    <w:rsid w:val="445F3A72"/>
    <w:rsid w:val="4462484A"/>
    <w:rsid w:val="44641089"/>
    <w:rsid w:val="446612A5"/>
    <w:rsid w:val="446E0159"/>
    <w:rsid w:val="446F39DA"/>
    <w:rsid w:val="447246DC"/>
    <w:rsid w:val="447A0B16"/>
    <w:rsid w:val="447A4D50"/>
    <w:rsid w:val="447C2876"/>
    <w:rsid w:val="448B2AB9"/>
    <w:rsid w:val="448E6105"/>
    <w:rsid w:val="449146D3"/>
    <w:rsid w:val="44AC2A30"/>
    <w:rsid w:val="44AD0C81"/>
    <w:rsid w:val="44B71B00"/>
    <w:rsid w:val="44B951CC"/>
    <w:rsid w:val="44CD14E0"/>
    <w:rsid w:val="44D426B2"/>
    <w:rsid w:val="44F20B0B"/>
    <w:rsid w:val="450236A3"/>
    <w:rsid w:val="450665E4"/>
    <w:rsid w:val="450B59A8"/>
    <w:rsid w:val="451231DA"/>
    <w:rsid w:val="451B76B4"/>
    <w:rsid w:val="452A22D2"/>
    <w:rsid w:val="452B7DF8"/>
    <w:rsid w:val="452E5F4C"/>
    <w:rsid w:val="45612018"/>
    <w:rsid w:val="456B4699"/>
    <w:rsid w:val="456C478E"/>
    <w:rsid w:val="4582210E"/>
    <w:rsid w:val="458946E9"/>
    <w:rsid w:val="458F3C72"/>
    <w:rsid w:val="4597723C"/>
    <w:rsid w:val="45A47C0E"/>
    <w:rsid w:val="45A57BAB"/>
    <w:rsid w:val="45B1654F"/>
    <w:rsid w:val="45B44292"/>
    <w:rsid w:val="45CF2E79"/>
    <w:rsid w:val="45E86409"/>
    <w:rsid w:val="45EC3A2B"/>
    <w:rsid w:val="45F20B6D"/>
    <w:rsid w:val="45F4643C"/>
    <w:rsid w:val="45F621B4"/>
    <w:rsid w:val="45FD79E7"/>
    <w:rsid w:val="4605689B"/>
    <w:rsid w:val="46080139"/>
    <w:rsid w:val="460A2104"/>
    <w:rsid w:val="460F14C8"/>
    <w:rsid w:val="463827CD"/>
    <w:rsid w:val="463B0E67"/>
    <w:rsid w:val="464B69A4"/>
    <w:rsid w:val="46522ED9"/>
    <w:rsid w:val="46577FD6"/>
    <w:rsid w:val="465D7FEC"/>
    <w:rsid w:val="46620985"/>
    <w:rsid w:val="4665733A"/>
    <w:rsid w:val="467632F5"/>
    <w:rsid w:val="467F664E"/>
    <w:rsid w:val="46A460B4"/>
    <w:rsid w:val="46B502C1"/>
    <w:rsid w:val="46B856BC"/>
    <w:rsid w:val="46C93D6D"/>
    <w:rsid w:val="46D955A7"/>
    <w:rsid w:val="46DC75FC"/>
    <w:rsid w:val="46DF533E"/>
    <w:rsid w:val="46E2098A"/>
    <w:rsid w:val="46E73CE3"/>
    <w:rsid w:val="46F012F9"/>
    <w:rsid w:val="4702388C"/>
    <w:rsid w:val="47133957"/>
    <w:rsid w:val="47134FE8"/>
    <w:rsid w:val="473E02B7"/>
    <w:rsid w:val="47411B55"/>
    <w:rsid w:val="47460F19"/>
    <w:rsid w:val="47507FEA"/>
    <w:rsid w:val="475573AE"/>
    <w:rsid w:val="475C13AE"/>
    <w:rsid w:val="47653A95"/>
    <w:rsid w:val="47694C08"/>
    <w:rsid w:val="476A177B"/>
    <w:rsid w:val="4770243A"/>
    <w:rsid w:val="47775577"/>
    <w:rsid w:val="4779005B"/>
    <w:rsid w:val="477B7331"/>
    <w:rsid w:val="47887784"/>
    <w:rsid w:val="47A07E0C"/>
    <w:rsid w:val="47AD0D2F"/>
    <w:rsid w:val="47B42327"/>
    <w:rsid w:val="47C87B80"/>
    <w:rsid w:val="47DC362C"/>
    <w:rsid w:val="47E66258"/>
    <w:rsid w:val="47E726FC"/>
    <w:rsid w:val="47F92430"/>
    <w:rsid w:val="4803505C"/>
    <w:rsid w:val="480A1F47"/>
    <w:rsid w:val="480B2E23"/>
    <w:rsid w:val="480C2163"/>
    <w:rsid w:val="481608EC"/>
    <w:rsid w:val="481E59F2"/>
    <w:rsid w:val="482254E2"/>
    <w:rsid w:val="482A25E9"/>
    <w:rsid w:val="48315726"/>
    <w:rsid w:val="484D62D8"/>
    <w:rsid w:val="485B27A2"/>
    <w:rsid w:val="4870272E"/>
    <w:rsid w:val="487675DC"/>
    <w:rsid w:val="4884619D"/>
    <w:rsid w:val="488E2B78"/>
    <w:rsid w:val="4893018E"/>
    <w:rsid w:val="48943F06"/>
    <w:rsid w:val="489B5295"/>
    <w:rsid w:val="489D725F"/>
    <w:rsid w:val="48A44912"/>
    <w:rsid w:val="48A95C04"/>
    <w:rsid w:val="48AE6D76"/>
    <w:rsid w:val="48B12D0A"/>
    <w:rsid w:val="48BB02CE"/>
    <w:rsid w:val="48C85BAF"/>
    <w:rsid w:val="48CA1FE3"/>
    <w:rsid w:val="48CA7928"/>
    <w:rsid w:val="48D83DF3"/>
    <w:rsid w:val="48D917E2"/>
    <w:rsid w:val="48EB7FCA"/>
    <w:rsid w:val="48FD539E"/>
    <w:rsid w:val="48FF75D2"/>
    <w:rsid w:val="490B241B"/>
    <w:rsid w:val="491350FB"/>
    <w:rsid w:val="492B486B"/>
    <w:rsid w:val="493233D6"/>
    <w:rsid w:val="49374FBE"/>
    <w:rsid w:val="49883A6B"/>
    <w:rsid w:val="498B355B"/>
    <w:rsid w:val="49AA16D1"/>
    <w:rsid w:val="49AD5280"/>
    <w:rsid w:val="49C03205"/>
    <w:rsid w:val="49C34AA3"/>
    <w:rsid w:val="49CA4084"/>
    <w:rsid w:val="49CD5922"/>
    <w:rsid w:val="49D722FD"/>
    <w:rsid w:val="49DC7715"/>
    <w:rsid w:val="49DC7913"/>
    <w:rsid w:val="49DF11B1"/>
    <w:rsid w:val="49E71BE0"/>
    <w:rsid w:val="49EF7646"/>
    <w:rsid w:val="49F20EE5"/>
    <w:rsid w:val="4A023139"/>
    <w:rsid w:val="4A190B67"/>
    <w:rsid w:val="4A235817"/>
    <w:rsid w:val="4A45370A"/>
    <w:rsid w:val="4A455E8D"/>
    <w:rsid w:val="4A5B2F2E"/>
    <w:rsid w:val="4A5B4CDC"/>
    <w:rsid w:val="4A7B576F"/>
    <w:rsid w:val="4A8204BA"/>
    <w:rsid w:val="4A834233"/>
    <w:rsid w:val="4AB97C54"/>
    <w:rsid w:val="4AC00FE3"/>
    <w:rsid w:val="4AC960E9"/>
    <w:rsid w:val="4AE859BD"/>
    <w:rsid w:val="4AEE3DA2"/>
    <w:rsid w:val="4AF561A9"/>
    <w:rsid w:val="4AFB026D"/>
    <w:rsid w:val="4AFC66F3"/>
    <w:rsid w:val="4AFD2237"/>
    <w:rsid w:val="4AFD5D93"/>
    <w:rsid w:val="4B0E7FA0"/>
    <w:rsid w:val="4B252911"/>
    <w:rsid w:val="4B306168"/>
    <w:rsid w:val="4B3A6FE7"/>
    <w:rsid w:val="4B49547C"/>
    <w:rsid w:val="4B570985"/>
    <w:rsid w:val="4B5F07FC"/>
    <w:rsid w:val="4B7A3887"/>
    <w:rsid w:val="4B7F2C4C"/>
    <w:rsid w:val="4B9D30D2"/>
    <w:rsid w:val="4B9D5446"/>
    <w:rsid w:val="4BB072A9"/>
    <w:rsid w:val="4BB40B47"/>
    <w:rsid w:val="4BBC79FC"/>
    <w:rsid w:val="4BC44B03"/>
    <w:rsid w:val="4BCE1F67"/>
    <w:rsid w:val="4BDC009E"/>
    <w:rsid w:val="4C1635B0"/>
    <w:rsid w:val="4C1C66ED"/>
    <w:rsid w:val="4C455C43"/>
    <w:rsid w:val="4C4A0649"/>
    <w:rsid w:val="4C6D6F48"/>
    <w:rsid w:val="4C6F0F12"/>
    <w:rsid w:val="4C7E5ECA"/>
    <w:rsid w:val="4C7E73A7"/>
    <w:rsid w:val="4C83676C"/>
    <w:rsid w:val="4C876AA5"/>
    <w:rsid w:val="4C9269AF"/>
    <w:rsid w:val="4C991AEB"/>
    <w:rsid w:val="4CA24E44"/>
    <w:rsid w:val="4CB82A3E"/>
    <w:rsid w:val="4CC759FC"/>
    <w:rsid w:val="4CDD6094"/>
    <w:rsid w:val="4CE52F83"/>
    <w:rsid w:val="4CE73541"/>
    <w:rsid w:val="4CF66F3E"/>
    <w:rsid w:val="4D0E00FB"/>
    <w:rsid w:val="4D151ABA"/>
    <w:rsid w:val="4D176606"/>
    <w:rsid w:val="4D2717ED"/>
    <w:rsid w:val="4D2C0BB1"/>
    <w:rsid w:val="4D2E0486"/>
    <w:rsid w:val="4D2E66D8"/>
    <w:rsid w:val="4D3161C8"/>
    <w:rsid w:val="4D3637DE"/>
    <w:rsid w:val="4D3C7046"/>
    <w:rsid w:val="4D467EC5"/>
    <w:rsid w:val="4D73233C"/>
    <w:rsid w:val="4D785BA5"/>
    <w:rsid w:val="4D7A36CB"/>
    <w:rsid w:val="4D8C33FE"/>
    <w:rsid w:val="4DAD1CF2"/>
    <w:rsid w:val="4DBE3EFF"/>
    <w:rsid w:val="4DBF5582"/>
    <w:rsid w:val="4DDC4386"/>
    <w:rsid w:val="4DDC6134"/>
    <w:rsid w:val="4DE14C7E"/>
    <w:rsid w:val="4DEC4FB0"/>
    <w:rsid w:val="4E050D98"/>
    <w:rsid w:val="4E0538DC"/>
    <w:rsid w:val="4E075D8A"/>
    <w:rsid w:val="4E0B6A19"/>
    <w:rsid w:val="4E12415A"/>
    <w:rsid w:val="4E1C4782"/>
    <w:rsid w:val="4E2A3343"/>
    <w:rsid w:val="4E395334"/>
    <w:rsid w:val="4E5E030A"/>
    <w:rsid w:val="4E65437B"/>
    <w:rsid w:val="4E8A3DE2"/>
    <w:rsid w:val="4EA35395"/>
    <w:rsid w:val="4EA66969"/>
    <w:rsid w:val="4EB95F96"/>
    <w:rsid w:val="4EC00FAD"/>
    <w:rsid w:val="4EC7492C"/>
    <w:rsid w:val="4ECA3C30"/>
    <w:rsid w:val="4ECA68D4"/>
    <w:rsid w:val="4EE51018"/>
    <w:rsid w:val="4EE74D90"/>
    <w:rsid w:val="4EEA4880"/>
    <w:rsid w:val="4EEC23A6"/>
    <w:rsid w:val="4EF43951"/>
    <w:rsid w:val="4EF82FC5"/>
    <w:rsid w:val="4EFE0C61"/>
    <w:rsid w:val="4F0834B2"/>
    <w:rsid w:val="4F0C47F7"/>
    <w:rsid w:val="4F0E056F"/>
    <w:rsid w:val="4F1777EB"/>
    <w:rsid w:val="4F312858"/>
    <w:rsid w:val="4F55619D"/>
    <w:rsid w:val="4F557DA1"/>
    <w:rsid w:val="4F5A1A06"/>
    <w:rsid w:val="4F9843DC"/>
    <w:rsid w:val="4FA2515B"/>
    <w:rsid w:val="4FA47125"/>
    <w:rsid w:val="4FAC7D88"/>
    <w:rsid w:val="4FBB0C02"/>
    <w:rsid w:val="4FC62A8C"/>
    <w:rsid w:val="4FE20F0D"/>
    <w:rsid w:val="4FE51552"/>
    <w:rsid w:val="50067498"/>
    <w:rsid w:val="5019366F"/>
    <w:rsid w:val="5022177E"/>
    <w:rsid w:val="504B134F"/>
    <w:rsid w:val="504B75A0"/>
    <w:rsid w:val="50504BB7"/>
    <w:rsid w:val="50504C4B"/>
    <w:rsid w:val="505C7A00"/>
    <w:rsid w:val="5069520F"/>
    <w:rsid w:val="506F7733"/>
    <w:rsid w:val="50772144"/>
    <w:rsid w:val="5085748E"/>
    <w:rsid w:val="50875879"/>
    <w:rsid w:val="508A631B"/>
    <w:rsid w:val="509C305B"/>
    <w:rsid w:val="509C6E7C"/>
    <w:rsid w:val="509C7DFC"/>
    <w:rsid w:val="509D63B8"/>
    <w:rsid w:val="50D21A70"/>
    <w:rsid w:val="50D75B0C"/>
    <w:rsid w:val="50E81293"/>
    <w:rsid w:val="50EA500B"/>
    <w:rsid w:val="50EF2622"/>
    <w:rsid w:val="50F80A55"/>
    <w:rsid w:val="512A5408"/>
    <w:rsid w:val="512F6EC2"/>
    <w:rsid w:val="513D338D"/>
    <w:rsid w:val="51426BF5"/>
    <w:rsid w:val="51431169"/>
    <w:rsid w:val="514364CA"/>
    <w:rsid w:val="514566E6"/>
    <w:rsid w:val="514A7858"/>
    <w:rsid w:val="5153495F"/>
    <w:rsid w:val="51583D23"/>
    <w:rsid w:val="5162104E"/>
    <w:rsid w:val="516721B8"/>
    <w:rsid w:val="517A638F"/>
    <w:rsid w:val="51835EDD"/>
    <w:rsid w:val="518C1C1F"/>
    <w:rsid w:val="519F5DF6"/>
    <w:rsid w:val="51A74CAA"/>
    <w:rsid w:val="51BF0246"/>
    <w:rsid w:val="51CD2C36"/>
    <w:rsid w:val="51DD691E"/>
    <w:rsid w:val="51E4767C"/>
    <w:rsid w:val="51F577C4"/>
    <w:rsid w:val="51FA127E"/>
    <w:rsid w:val="51FF4AE6"/>
    <w:rsid w:val="520D0FB1"/>
    <w:rsid w:val="523C7108"/>
    <w:rsid w:val="527F3531"/>
    <w:rsid w:val="52A42F98"/>
    <w:rsid w:val="52B256B5"/>
    <w:rsid w:val="52BE04FE"/>
    <w:rsid w:val="52C2246A"/>
    <w:rsid w:val="52C33D66"/>
    <w:rsid w:val="52C82DE5"/>
    <w:rsid w:val="52CF1B80"/>
    <w:rsid w:val="52CF6267"/>
    <w:rsid w:val="52EF06B7"/>
    <w:rsid w:val="52F12681"/>
    <w:rsid w:val="52FD7ACC"/>
    <w:rsid w:val="52FE686D"/>
    <w:rsid w:val="530C74BB"/>
    <w:rsid w:val="530D6D8F"/>
    <w:rsid w:val="533C1422"/>
    <w:rsid w:val="533D5BF2"/>
    <w:rsid w:val="533E51F2"/>
    <w:rsid w:val="53424C8B"/>
    <w:rsid w:val="5345477B"/>
    <w:rsid w:val="534C78B7"/>
    <w:rsid w:val="534D53DE"/>
    <w:rsid w:val="53514ECE"/>
    <w:rsid w:val="535350EA"/>
    <w:rsid w:val="535844AE"/>
    <w:rsid w:val="536536CD"/>
    <w:rsid w:val="536D44EE"/>
    <w:rsid w:val="5391176E"/>
    <w:rsid w:val="53A02867"/>
    <w:rsid w:val="53A039CC"/>
    <w:rsid w:val="53A1505A"/>
    <w:rsid w:val="53AF213E"/>
    <w:rsid w:val="53BB19B4"/>
    <w:rsid w:val="53C733E2"/>
    <w:rsid w:val="53CA4C80"/>
    <w:rsid w:val="53CC27A6"/>
    <w:rsid w:val="53D1600F"/>
    <w:rsid w:val="53D31D87"/>
    <w:rsid w:val="53D47C96"/>
    <w:rsid w:val="53DB0C3B"/>
    <w:rsid w:val="53EB70D0"/>
    <w:rsid w:val="53F341D7"/>
    <w:rsid w:val="54063E08"/>
    <w:rsid w:val="54161C73"/>
    <w:rsid w:val="541F6D7A"/>
    <w:rsid w:val="54322F51"/>
    <w:rsid w:val="543437E8"/>
    <w:rsid w:val="54414309"/>
    <w:rsid w:val="548811A0"/>
    <w:rsid w:val="549459BA"/>
    <w:rsid w:val="54B75204"/>
    <w:rsid w:val="54C811C0"/>
    <w:rsid w:val="54EA55DA"/>
    <w:rsid w:val="54F73313"/>
    <w:rsid w:val="54F77CF7"/>
    <w:rsid w:val="54F80955"/>
    <w:rsid w:val="55044347"/>
    <w:rsid w:val="550A5C7C"/>
    <w:rsid w:val="55124B31"/>
    <w:rsid w:val="55241B5D"/>
    <w:rsid w:val="55242A6E"/>
    <w:rsid w:val="552B174F"/>
    <w:rsid w:val="55474D90"/>
    <w:rsid w:val="554C3B9F"/>
    <w:rsid w:val="555170A7"/>
    <w:rsid w:val="555B030C"/>
    <w:rsid w:val="555D3FFE"/>
    <w:rsid w:val="555E6DFF"/>
    <w:rsid w:val="557D01FC"/>
    <w:rsid w:val="5587536D"/>
    <w:rsid w:val="558F0555"/>
    <w:rsid w:val="559317CE"/>
    <w:rsid w:val="5595230F"/>
    <w:rsid w:val="559B174B"/>
    <w:rsid w:val="55A0038E"/>
    <w:rsid w:val="55BB2AD2"/>
    <w:rsid w:val="55C54977"/>
    <w:rsid w:val="55CC1183"/>
    <w:rsid w:val="55CE0CF4"/>
    <w:rsid w:val="55D10548"/>
    <w:rsid w:val="55D17D3D"/>
    <w:rsid w:val="55E53FF3"/>
    <w:rsid w:val="55F36710"/>
    <w:rsid w:val="56020701"/>
    <w:rsid w:val="560663A7"/>
    <w:rsid w:val="56073F6A"/>
    <w:rsid w:val="5612303A"/>
    <w:rsid w:val="561641AD"/>
    <w:rsid w:val="561A3C9D"/>
    <w:rsid w:val="5621502B"/>
    <w:rsid w:val="562C1C22"/>
    <w:rsid w:val="564725B8"/>
    <w:rsid w:val="56496330"/>
    <w:rsid w:val="56570A4D"/>
    <w:rsid w:val="565F7902"/>
    <w:rsid w:val="566969D2"/>
    <w:rsid w:val="56764C4B"/>
    <w:rsid w:val="568B6949"/>
    <w:rsid w:val="568C5997"/>
    <w:rsid w:val="568E6439"/>
    <w:rsid w:val="569212CF"/>
    <w:rsid w:val="56927CD7"/>
    <w:rsid w:val="56933A4F"/>
    <w:rsid w:val="56941CA1"/>
    <w:rsid w:val="56953069"/>
    <w:rsid w:val="569A4DDE"/>
    <w:rsid w:val="56AE2637"/>
    <w:rsid w:val="56B22A9C"/>
    <w:rsid w:val="56BC4D45"/>
    <w:rsid w:val="56C360E3"/>
    <w:rsid w:val="56DF6C95"/>
    <w:rsid w:val="56F75D8C"/>
    <w:rsid w:val="56FD1BA1"/>
    <w:rsid w:val="571E156B"/>
    <w:rsid w:val="572A7F10"/>
    <w:rsid w:val="57405985"/>
    <w:rsid w:val="5748483A"/>
    <w:rsid w:val="576176AA"/>
    <w:rsid w:val="57770C7B"/>
    <w:rsid w:val="577D0987"/>
    <w:rsid w:val="578735B4"/>
    <w:rsid w:val="578C6D44"/>
    <w:rsid w:val="57923D07"/>
    <w:rsid w:val="57A75A04"/>
    <w:rsid w:val="57AA1EA2"/>
    <w:rsid w:val="57AE07FF"/>
    <w:rsid w:val="57AF48B9"/>
    <w:rsid w:val="57B72A76"/>
    <w:rsid w:val="57B85F76"/>
    <w:rsid w:val="57C3426C"/>
    <w:rsid w:val="57CE1F93"/>
    <w:rsid w:val="57D165DD"/>
    <w:rsid w:val="57DD1426"/>
    <w:rsid w:val="57E91B79"/>
    <w:rsid w:val="57EE718F"/>
    <w:rsid w:val="57F329F7"/>
    <w:rsid w:val="58003366"/>
    <w:rsid w:val="58035BF4"/>
    <w:rsid w:val="58070251"/>
    <w:rsid w:val="5809221B"/>
    <w:rsid w:val="580C3AB9"/>
    <w:rsid w:val="58201313"/>
    <w:rsid w:val="58233B31"/>
    <w:rsid w:val="5827444F"/>
    <w:rsid w:val="58281301"/>
    <w:rsid w:val="582C7CB7"/>
    <w:rsid w:val="5835639D"/>
    <w:rsid w:val="58382B00"/>
    <w:rsid w:val="583D1EC5"/>
    <w:rsid w:val="584119B5"/>
    <w:rsid w:val="584274DB"/>
    <w:rsid w:val="58690F0C"/>
    <w:rsid w:val="586F5D54"/>
    <w:rsid w:val="5875165E"/>
    <w:rsid w:val="587B5D7F"/>
    <w:rsid w:val="588743D1"/>
    <w:rsid w:val="5887701A"/>
    <w:rsid w:val="588B70D4"/>
    <w:rsid w:val="58A14202"/>
    <w:rsid w:val="58AB5080"/>
    <w:rsid w:val="58D95E36"/>
    <w:rsid w:val="58DA3BB7"/>
    <w:rsid w:val="58E862D4"/>
    <w:rsid w:val="58EA7CB3"/>
    <w:rsid w:val="58F76708"/>
    <w:rsid w:val="58FF53CC"/>
    <w:rsid w:val="59154BEF"/>
    <w:rsid w:val="591A778C"/>
    <w:rsid w:val="591D0B36"/>
    <w:rsid w:val="59215342"/>
    <w:rsid w:val="59345076"/>
    <w:rsid w:val="5943350B"/>
    <w:rsid w:val="59462FFB"/>
    <w:rsid w:val="59464DA9"/>
    <w:rsid w:val="59480A1F"/>
    <w:rsid w:val="595A1FC1"/>
    <w:rsid w:val="5962761D"/>
    <w:rsid w:val="5966544B"/>
    <w:rsid w:val="598531B1"/>
    <w:rsid w:val="598A0337"/>
    <w:rsid w:val="598D4786"/>
    <w:rsid w:val="5996188C"/>
    <w:rsid w:val="599A3C68"/>
    <w:rsid w:val="59A1611D"/>
    <w:rsid w:val="59AA17DC"/>
    <w:rsid w:val="59B241EC"/>
    <w:rsid w:val="59C0439F"/>
    <w:rsid w:val="59C52172"/>
    <w:rsid w:val="59D86349"/>
    <w:rsid w:val="59EC3BA2"/>
    <w:rsid w:val="59EE798A"/>
    <w:rsid w:val="59F14D15"/>
    <w:rsid w:val="59F1740B"/>
    <w:rsid w:val="5A042D21"/>
    <w:rsid w:val="5A0E1D6B"/>
    <w:rsid w:val="5A13112F"/>
    <w:rsid w:val="5A1A070F"/>
    <w:rsid w:val="5A414559"/>
    <w:rsid w:val="5A427C66"/>
    <w:rsid w:val="5A44753A"/>
    <w:rsid w:val="5A455061"/>
    <w:rsid w:val="5A577BBD"/>
    <w:rsid w:val="5A6F20DD"/>
    <w:rsid w:val="5A7122F9"/>
    <w:rsid w:val="5A770F1C"/>
    <w:rsid w:val="5A84202D"/>
    <w:rsid w:val="5A867B53"/>
    <w:rsid w:val="5A8738CB"/>
    <w:rsid w:val="5A8E4C59"/>
    <w:rsid w:val="5AB10EDB"/>
    <w:rsid w:val="5ABE2233"/>
    <w:rsid w:val="5AD3266C"/>
    <w:rsid w:val="5AD85ED5"/>
    <w:rsid w:val="5AE76118"/>
    <w:rsid w:val="5AEB20AC"/>
    <w:rsid w:val="5AF61591"/>
    <w:rsid w:val="5B0647F0"/>
    <w:rsid w:val="5B0B0058"/>
    <w:rsid w:val="5B0F5D9A"/>
    <w:rsid w:val="5B21787C"/>
    <w:rsid w:val="5B24111A"/>
    <w:rsid w:val="5B2829B8"/>
    <w:rsid w:val="5B530C91"/>
    <w:rsid w:val="5B5419FF"/>
    <w:rsid w:val="5B5437AD"/>
    <w:rsid w:val="5B6A7475"/>
    <w:rsid w:val="5B6F05E7"/>
    <w:rsid w:val="5B865931"/>
    <w:rsid w:val="5B94633B"/>
    <w:rsid w:val="5B9C6F02"/>
    <w:rsid w:val="5BB97AB4"/>
    <w:rsid w:val="5BC30933"/>
    <w:rsid w:val="5BD963A8"/>
    <w:rsid w:val="5BDF5D95"/>
    <w:rsid w:val="5BFB3F0C"/>
    <w:rsid w:val="5BFE7528"/>
    <w:rsid w:val="5C1B076F"/>
    <w:rsid w:val="5C473312"/>
    <w:rsid w:val="5C50666A"/>
    <w:rsid w:val="5C537F09"/>
    <w:rsid w:val="5C5679F9"/>
    <w:rsid w:val="5C621EFA"/>
    <w:rsid w:val="5C7F0CFE"/>
    <w:rsid w:val="5C841E70"/>
    <w:rsid w:val="5C844566"/>
    <w:rsid w:val="5C875E04"/>
    <w:rsid w:val="5C8F6A67"/>
    <w:rsid w:val="5CA029F3"/>
    <w:rsid w:val="5CA73DB1"/>
    <w:rsid w:val="5CB14C2F"/>
    <w:rsid w:val="5CB52971"/>
    <w:rsid w:val="5CB5471F"/>
    <w:rsid w:val="5CBE6383"/>
    <w:rsid w:val="5CD050B5"/>
    <w:rsid w:val="5CD56B70"/>
    <w:rsid w:val="5CDC1CAC"/>
    <w:rsid w:val="5CE80BCF"/>
    <w:rsid w:val="5CEB1EEF"/>
    <w:rsid w:val="5CED210B"/>
    <w:rsid w:val="5CF27722"/>
    <w:rsid w:val="5CF659B1"/>
    <w:rsid w:val="5CF7289E"/>
    <w:rsid w:val="5CFA4E8E"/>
    <w:rsid w:val="5CFB5EAA"/>
    <w:rsid w:val="5D011713"/>
    <w:rsid w:val="5D0D6309"/>
    <w:rsid w:val="5D1F603D"/>
    <w:rsid w:val="5D221689"/>
    <w:rsid w:val="5D243653"/>
    <w:rsid w:val="5D314983"/>
    <w:rsid w:val="5D323FC2"/>
    <w:rsid w:val="5D327B1E"/>
    <w:rsid w:val="5D557CB0"/>
    <w:rsid w:val="5D577585"/>
    <w:rsid w:val="5D5977A1"/>
    <w:rsid w:val="5D5F28DD"/>
    <w:rsid w:val="5D647EF4"/>
    <w:rsid w:val="5D6872B1"/>
    <w:rsid w:val="5D775E79"/>
    <w:rsid w:val="5D7E0FB5"/>
    <w:rsid w:val="5D8B5480"/>
    <w:rsid w:val="5D9A3915"/>
    <w:rsid w:val="5D9C768D"/>
    <w:rsid w:val="5DA87DE0"/>
    <w:rsid w:val="5DB057B9"/>
    <w:rsid w:val="5DB55289"/>
    <w:rsid w:val="5DD12E21"/>
    <w:rsid w:val="5DD961EC"/>
    <w:rsid w:val="5DE057CC"/>
    <w:rsid w:val="5DE15E39"/>
    <w:rsid w:val="5DFB1C8A"/>
    <w:rsid w:val="5DFB43B4"/>
    <w:rsid w:val="5E2467F1"/>
    <w:rsid w:val="5E2E29DB"/>
    <w:rsid w:val="5E353F8C"/>
    <w:rsid w:val="5E361890"/>
    <w:rsid w:val="5E39312E"/>
    <w:rsid w:val="5E421FE3"/>
    <w:rsid w:val="5E481638"/>
    <w:rsid w:val="5E5074A0"/>
    <w:rsid w:val="5E5166CA"/>
    <w:rsid w:val="5E652175"/>
    <w:rsid w:val="5E686AB0"/>
    <w:rsid w:val="5E8C14B0"/>
    <w:rsid w:val="5EA52572"/>
    <w:rsid w:val="5EB331C8"/>
    <w:rsid w:val="5EC92704"/>
    <w:rsid w:val="5F0401A3"/>
    <w:rsid w:val="5F0674B4"/>
    <w:rsid w:val="5F1310D4"/>
    <w:rsid w:val="5F1A1085"/>
    <w:rsid w:val="5F1A2B43"/>
    <w:rsid w:val="5F2416E8"/>
    <w:rsid w:val="5F2B0CC9"/>
    <w:rsid w:val="5F335DCF"/>
    <w:rsid w:val="5F4E49B7"/>
    <w:rsid w:val="5F661D01"/>
    <w:rsid w:val="5F8959EF"/>
    <w:rsid w:val="5F944AC0"/>
    <w:rsid w:val="5FA62A45"/>
    <w:rsid w:val="5FB52BD1"/>
    <w:rsid w:val="5FB837BB"/>
    <w:rsid w:val="5FCB4F59"/>
    <w:rsid w:val="5FD17AC2"/>
    <w:rsid w:val="5FE031E6"/>
    <w:rsid w:val="5FFE63DD"/>
    <w:rsid w:val="603262EF"/>
    <w:rsid w:val="603E67DA"/>
    <w:rsid w:val="6065020A"/>
    <w:rsid w:val="607C6AEE"/>
    <w:rsid w:val="60830691"/>
    <w:rsid w:val="60844B35"/>
    <w:rsid w:val="6085265B"/>
    <w:rsid w:val="60883EF9"/>
    <w:rsid w:val="608F34D9"/>
    <w:rsid w:val="608F5287"/>
    <w:rsid w:val="60956D42"/>
    <w:rsid w:val="60BB2D0B"/>
    <w:rsid w:val="60C5514D"/>
    <w:rsid w:val="60CC405A"/>
    <w:rsid w:val="60D94755"/>
    <w:rsid w:val="60E2334D"/>
    <w:rsid w:val="60E73121"/>
    <w:rsid w:val="61135EB8"/>
    <w:rsid w:val="61241E74"/>
    <w:rsid w:val="612A5B5D"/>
    <w:rsid w:val="615564D1"/>
    <w:rsid w:val="61696D09"/>
    <w:rsid w:val="616B1851"/>
    <w:rsid w:val="61706E67"/>
    <w:rsid w:val="617D3332"/>
    <w:rsid w:val="618B1EF3"/>
    <w:rsid w:val="618B5A4F"/>
    <w:rsid w:val="619D5782"/>
    <w:rsid w:val="61A86601"/>
    <w:rsid w:val="61AE798F"/>
    <w:rsid w:val="61C64CD9"/>
    <w:rsid w:val="61DC44FC"/>
    <w:rsid w:val="61DF3FED"/>
    <w:rsid w:val="61E215D8"/>
    <w:rsid w:val="61E57855"/>
    <w:rsid w:val="61F555BE"/>
    <w:rsid w:val="61F96E5C"/>
    <w:rsid w:val="620D2908"/>
    <w:rsid w:val="621B3775"/>
    <w:rsid w:val="6223212B"/>
    <w:rsid w:val="622D3399"/>
    <w:rsid w:val="62364782"/>
    <w:rsid w:val="623B56C7"/>
    <w:rsid w:val="62487DE4"/>
    <w:rsid w:val="62537B4C"/>
    <w:rsid w:val="62650996"/>
    <w:rsid w:val="626A1B08"/>
    <w:rsid w:val="627778A2"/>
    <w:rsid w:val="6287090C"/>
    <w:rsid w:val="629336EF"/>
    <w:rsid w:val="629372B1"/>
    <w:rsid w:val="62AE40EB"/>
    <w:rsid w:val="62AF39BF"/>
    <w:rsid w:val="62B62F9F"/>
    <w:rsid w:val="62B91566"/>
    <w:rsid w:val="62CF5E0F"/>
    <w:rsid w:val="62CF7BBD"/>
    <w:rsid w:val="62D358FF"/>
    <w:rsid w:val="62DD0217"/>
    <w:rsid w:val="62EA2C49"/>
    <w:rsid w:val="63133F4E"/>
    <w:rsid w:val="632443AD"/>
    <w:rsid w:val="632779F9"/>
    <w:rsid w:val="633D546F"/>
    <w:rsid w:val="63497970"/>
    <w:rsid w:val="638B7F88"/>
    <w:rsid w:val="638C5AAE"/>
    <w:rsid w:val="639130C5"/>
    <w:rsid w:val="6394356A"/>
    <w:rsid w:val="639808F7"/>
    <w:rsid w:val="63A04029"/>
    <w:rsid w:val="63B374DF"/>
    <w:rsid w:val="63C61B2C"/>
    <w:rsid w:val="63D40BE9"/>
    <w:rsid w:val="63DC4C88"/>
    <w:rsid w:val="63E37DC4"/>
    <w:rsid w:val="63EB6C79"/>
    <w:rsid w:val="63F20007"/>
    <w:rsid w:val="64102431"/>
    <w:rsid w:val="64175CC0"/>
    <w:rsid w:val="64357EF4"/>
    <w:rsid w:val="64414AEB"/>
    <w:rsid w:val="64460353"/>
    <w:rsid w:val="644B0611"/>
    <w:rsid w:val="644D4C01"/>
    <w:rsid w:val="644F7208"/>
    <w:rsid w:val="64550596"/>
    <w:rsid w:val="645667E8"/>
    <w:rsid w:val="64630F05"/>
    <w:rsid w:val="646A7455"/>
    <w:rsid w:val="6470717E"/>
    <w:rsid w:val="647153D0"/>
    <w:rsid w:val="647924D6"/>
    <w:rsid w:val="647B7FFD"/>
    <w:rsid w:val="648C045C"/>
    <w:rsid w:val="649F4E3F"/>
    <w:rsid w:val="64A5243A"/>
    <w:rsid w:val="64AD3F2E"/>
    <w:rsid w:val="64B259E8"/>
    <w:rsid w:val="64C5571C"/>
    <w:rsid w:val="64CF20F6"/>
    <w:rsid w:val="64D84B35"/>
    <w:rsid w:val="64E61B09"/>
    <w:rsid w:val="64E9765C"/>
    <w:rsid w:val="64EF6E4D"/>
    <w:rsid w:val="64F25DE5"/>
    <w:rsid w:val="64F531DE"/>
    <w:rsid w:val="64FD3107"/>
    <w:rsid w:val="651421FF"/>
    <w:rsid w:val="651B533C"/>
    <w:rsid w:val="652F0DE7"/>
    <w:rsid w:val="65336B29"/>
    <w:rsid w:val="65373578"/>
    <w:rsid w:val="653D52B2"/>
    <w:rsid w:val="65493C57"/>
    <w:rsid w:val="654E74BF"/>
    <w:rsid w:val="656211BC"/>
    <w:rsid w:val="656F0149"/>
    <w:rsid w:val="65804A89"/>
    <w:rsid w:val="65822877"/>
    <w:rsid w:val="65843D37"/>
    <w:rsid w:val="65907AD8"/>
    <w:rsid w:val="65A13A93"/>
    <w:rsid w:val="65BF216B"/>
    <w:rsid w:val="65C21C5B"/>
    <w:rsid w:val="65D200F0"/>
    <w:rsid w:val="65E36256"/>
    <w:rsid w:val="65EE2A50"/>
    <w:rsid w:val="66134265"/>
    <w:rsid w:val="66154481"/>
    <w:rsid w:val="663761A5"/>
    <w:rsid w:val="6639016F"/>
    <w:rsid w:val="664803B2"/>
    <w:rsid w:val="665C20B0"/>
    <w:rsid w:val="66724667"/>
    <w:rsid w:val="667A7807"/>
    <w:rsid w:val="667E5B82"/>
    <w:rsid w:val="66860EDB"/>
    <w:rsid w:val="6695111E"/>
    <w:rsid w:val="66AB26EF"/>
    <w:rsid w:val="66B912B0"/>
    <w:rsid w:val="66B9305E"/>
    <w:rsid w:val="66C33EDD"/>
    <w:rsid w:val="66C90657"/>
    <w:rsid w:val="66D4591E"/>
    <w:rsid w:val="66D87988"/>
    <w:rsid w:val="66DB4D83"/>
    <w:rsid w:val="66E520A5"/>
    <w:rsid w:val="66FB5425"/>
    <w:rsid w:val="670267B3"/>
    <w:rsid w:val="671169F6"/>
    <w:rsid w:val="6712276E"/>
    <w:rsid w:val="671464E6"/>
    <w:rsid w:val="671F124A"/>
    <w:rsid w:val="674072DB"/>
    <w:rsid w:val="6744501E"/>
    <w:rsid w:val="67672ABA"/>
    <w:rsid w:val="676B07FC"/>
    <w:rsid w:val="677A33C6"/>
    <w:rsid w:val="67851192"/>
    <w:rsid w:val="678840FC"/>
    <w:rsid w:val="67A7735B"/>
    <w:rsid w:val="67AE566B"/>
    <w:rsid w:val="67C1041C"/>
    <w:rsid w:val="67D87514"/>
    <w:rsid w:val="67EE31DB"/>
    <w:rsid w:val="67F24A7A"/>
    <w:rsid w:val="680D3662"/>
    <w:rsid w:val="680F2164"/>
    <w:rsid w:val="68112A26"/>
    <w:rsid w:val="681F6961"/>
    <w:rsid w:val="68261300"/>
    <w:rsid w:val="682B1D3A"/>
    <w:rsid w:val="684B418A"/>
    <w:rsid w:val="68610A2F"/>
    <w:rsid w:val="687F19DF"/>
    <w:rsid w:val="68805514"/>
    <w:rsid w:val="68925915"/>
    <w:rsid w:val="68984CB4"/>
    <w:rsid w:val="68BF78B5"/>
    <w:rsid w:val="68C27006"/>
    <w:rsid w:val="68C53F3C"/>
    <w:rsid w:val="68C857DA"/>
    <w:rsid w:val="68E13FE1"/>
    <w:rsid w:val="68E5013A"/>
    <w:rsid w:val="68F0088D"/>
    <w:rsid w:val="68FE744E"/>
    <w:rsid w:val="69164798"/>
    <w:rsid w:val="691F3B13"/>
    <w:rsid w:val="69282886"/>
    <w:rsid w:val="69316E2F"/>
    <w:rsid w:val="69382960"/>
    <w:rsid w:val="694C01BA"/>
    <w:rsid w:val="694E2071"/>
    <w:rsid w:val="6951757E"/>
    <w:rsid w:val="69584DB0"/>
    <w:rsid w:val="69766163"/>
    <w:rsid w:val="697A3B33"/>
    <w:rsid w:val="697D3A42"/>
    <w:rsid w:val="698F00A6"/>
    <w:rsid w:val="69A13929"/>
    <w:rsid w:val="69AA4EE0"/>
    <w:rsid w:val="69B53FB1"/>
    <w:rsid w:val="69B772B0"/>
    <w:rsid w:val="69BD2017"/>
    <w:rsid w:val="69C36ACC"/>
    <w:rsid w:val="69C53AC8"/>
    <w:rsid w:val="69CA10DE"/>
    <w:rsid w:val="69D44760"/>
    <w:rsid w:val="69DA57C5"/>
    <w:rsid w:val="69F85C4B"/>
    <w:rsid w:val="6A0942FC"/>
    <w:rsid w:val="6A1D769E"/>
    <w:rsid w:val="6A38073E"/>
    <w:rsid w:val="6A436179"/>
    <w:rsid w:val="6A520EC7"/>
    <w:rsid w:val="6A550E2D"/>
    <w:rsid w:val="6A6E5F0E"/>
    <w:rsid w:val="6A8409E7"/>
    <w:rsid w:val="6AEB3A02"/>
    <w:rsid w:val="6AEF34F2"/>
    <w:rsid w:val="6AF45A79"/>
    <w:rsid w:val="6AF87E20"/>
    <w:rsid w:val="6AF91C7B"/>
    <w:rsid w:val="6B16056D"/>
    <w:rsid w:val="6B1C3BBC"/>
    <w:rsid w:val="6B2C2051"/>
    <w:rsid w:val="6B2F7B66"/>
    <w:rsid w:val="6B322639"/>
    <w:rsid w:val="6B361121"/>
    <w:rsid w:val="6B3C600C"/>
    <w:rsid w:val="6B5C337A"/>
    <w:rsid w:val="6B67752D"/>
    <w:rsid w:val="6B680BAF"/>
    <w:rsid w:val="6B741C4A"/>
    <w:rsid w:val="6B9145AA"/>
    <w:rsid w:val="6B9E19D5"/>
    <w:rsid w:val="6BA02A3F"/>
    <w:rsid w:val="6BBB55AD"/>
    <w:rsid w:val="6BBF1117"/>
    <w:rsid w:val="6BC4211F"/>
    <w:rsid w:val="6BCE3108"/>
    <w:rsid w:val="6BCE4EB6"/>
    <w:rsid w:val="6BD050D2"/>
    <w:rsid w:val="6BEE5558"/>
    <w:rsid w:val="6BF608B1"/>
    <w:rsid w:val="6BFD1C3F"/>
    <w:rsid w:val="6C0B435C"/>
    <w:rsid w:val="6C111246"/>
    <w:rsid w:val="6C184383"/>
    <w:rsid w:val="6C292A34"/>
    <w:rsid w:val="6C467142"/>
    <w:rsid w:val="6C4E4249"/>
    <w:rsid w:val="6C6121CE"/>
    <w:rsid w:val="6C636C38"/>
    <w:rsid w:val="6C7317A9"/>
    <w:rsid w:val="6C9164AD"/>
    <w:rsid w:val="6C97174C"/>
    <w:rsid w:val="6C9C6D62"/>
    <w:rsid w:val="6CBA30E3"/>
    <w:rsid w:val="6CBE317C"/>
    <w:rsid w:val="6CC77FD4"/>
    <w:rsid w:val="6CD504C6"/>
    <w:rsid w:val="6CDA3D2E"/>
    <w:rsid w:val="6CF272CA"/>
    <w:rsid w:val="6CFA1442"/>
    <w:rsid w:val="6D12171A"/>
    <w:rsid w:val="6D182CDF"/>
    <w:rsid w:val="6D261BF5"/>
    <w:rsid w:val="6D2D36EB"/>
    <w:rsid w:val="6D323B6A"/>
    <w:rsid w:val="6D34343E"/>
    <w:rsid w:val="6D486EEA"/>
    <w:rsid w:val="6D655CEE"/>
    <w:rsid w:val="6D7B35C7"/>
    <w:rsid w:val="6D846F25"/>
    <w:rsid w:val="6D877A12"/>
    <w:rsid w:val="6D8A12B0"/>
    <w:rsid w:val="6D9A311E"/>
    <w:rsid w:val="6DA265FA"/>
    <w:rsid w:val="6DB225B5"/>
    <w:rsid w:val="6DB34098"/>
    <w:rsid w:val="6DB545B6"/>
    <w:rsid w:val="6DC20A4A"/>
    <w:rsid w:val="6DC472DF"/>
    <w:rsid w:val="6DD10C8D"/>
    <w:rsid w:val="6DD8026E"/>
    <w:rsid w:val="6DE02FB4"/>
    <w:rsid w:val="6DF130DE"/>
    <w:rsid w:val="6DF6759C"/>
    <w:rsid w:val="6DFC39FA"/>
    <w:rsid w:val="6E272FA3"/>
    <w:rsid w:val="6E331948"/>
    <w:rsid w:val="6E3B6A4F"/>
    <w:rsid w:val="6E514CED"/>
    <w:rsid w:val="6E535B46"/>
    <w:rsid w:val="6E5A5127"/>
    <w:rsid w:val="6E5D69C5"/>
    <w:rsid w:val="6E6B2E90"/>
    <w:rsid w:val="6E70494A"/>
    <w:rsid w:val="6E751F61"/>
    <w:rsid w:val="6E8925C9"/>
    <w:rsid w:val="6E895A0C"/>
    <w:rsid w:val="6E9C573F"/>
    <w:rsid w:val="6E9D193C"/>
    <w:rsid w:val="6EB1286D"/>
    <w:rsid w:val="6EB563D5"/>
    <w:rsid w:val="6EBA5BC5"/>
    <w:rsid w:val="6EC6456A"/>
    <w:rsid w:val="6ED92677"/>
    <w:rsid w:val="6EF966EE"/>
    <w:rsid w:val="6EFB514C"/>
    <w:rsid w:val="6F086931"/>
    <w:rsid w:val="6F196D90"/>
    <w:rsid w:val="6F225983"/>
    <w:rsid w:val="6F2968A7"/>
    <w:rsid w:val="6F347726"/>
    <w:rsid w:val="6F5222A2"/>
    <w:rsid w:val="6F5A64A4"/>
    <w:rsid w:val="6F603E97"/>
    <w:rsid w:val="6F7C0E3D"/>
    <w:rsid w:val="6F81167A"/>
    <w:rsid w:val="6F865AA7"/>
    <w:rsid w:val="6F9D35BA"/>
    <w:rsid w:val="6FA36659"/>
    <w:rsid w:val="6FA83C70"/>
    <w:rsid w:val="6FAA7F8C"/>
    <w:rsid w:val="6FAF361C"/>
    <w:rsid w:val="6FE70C3C"/>
    <w:rsid w:val="6FEC1DAE"/>
    <w:rsid w:val="6FFB46E7"/>
    <w:rsid w:val="6FFB6495"/>
    <w:rsid w:val="6FFC0380"/>
    <w:rsid w:val="6FFC5590"/>
    <w:rsid w:val="6FFD045F"/>
    <w:rsid w:val="70111815"/>
    <w:rsid w:val="70115CB9"/>
    <w:rsid w:val="7012558D"/>
    <w:rsid w:val="70187047"/>
    <w:rsid w:val="7019691C"/>
    <w:rsid w:val="702C0A62"/>
    <w:rsid w:val="70336384"/>
    <w:rsid w:val="705D0EFE"/>
    <w:rsid w:val="706B54A6"/>
    <w:rsid w:val="706D1DD0"/>
    <w:rsid w:val="70787AE6"/>
    <w:rsid w:val="70795CEB"/>
    <w:rsid w:val="707A385E"/>
    <w:rsid w:val="707C42F6"/>
    <w:rsid w:val="70856B87"/>
    <w:rsid w:val="70983CE4"/>
    <w:rsid w:val="70A355DB"/>
    <w:rsid w:val="70C8281B"/>
    <w:rsid w:val="70D067EA"/>
    <w:rsid w:val="70D171F6"/>
    <w:rsid w:val="70D527EE"/>
    <w:rsid w:val="70EC6E41"/>
    <w:rsid w:val="70FA674D"/>
    <w:rsid w:val="70FA6F32"/>
    <w:rsid w:val="71042446"/>
    <w:rsid w:val="71125845"/>
    <w:rsid w:val="71175551"/>
    <w:rsid w:val="71225E27"/>
    <w:rsid w:val="71245578"/>
    <w:rsid w:val="71265794"/>
    <w:rsid w:val="7128150C"/>
    <w:rsid w:val="71282B4B"/>
    <w:rsid w:val="712832BA"/>
    <w:rsid w:val="71526589"/>
    <w:rsid w:val="71543CE6"/>
    <w:rsid w:val="715A58D2"/>
    <w:rsid w:val="715B5300"/>
    <w:rsid w:val="71685DAD"/>
    <w:rsid w:val="716C454A"/>
    <w:rsid w:val="71844269"/>
    <w:rsid w:val="71A52B5D"/>
    <w:rsid w:val="71C01745"/>
    <w:rsid w:val="71CF3194"/>
    <w:rsid w:val="71D27F8A"/>
    <w:rsid w:val="72005FE5"/>
    <w:rsid w:val="72035AD5"/>
    <w:rsid w:val="72062ED0"/>
    <w:rsid w:val="7214383E"/>
    <w:rsid w:val="72233A82"/>
    <w:rsid w:val="72457E9C"/>
    <w:rsid w:val="724D17AB"/>
    <w:rsid w:val="72514A93"/>
    <w:rsid w:val="725400DF"/>
    <w:rsid w:val="72553024"/>
    <w:rsid w:val="72563E57"/>
    <w:rsid w:val="725A55AB"/>
    <w:rsid w:val="72661DBF"/>
    <w:rsid w:val="727A7B45"/>
    <w:rsid w:val="727E6F0A"/>
    <w:rsid w:val="728B1D53"/>
    <w:rsid w:val="728C5ACB"/>
    <w:rsid w:val="7294672D"/>
    <w:rsid w:val="729660C5"/>
    <w:rsid w:val="729679BD"/>
    <w:rsid w:val="72987FCC"/>
    <w:rsid w:val="72A018DC"/>
    <w:rsid w:val="72A2709C"/>
    <w:rsid w:val="72B34E05"/>
    <w:rsid w:val="72B949C7"/>
    <w:rsid w:val="72BA0D33"/>
    <w:rsid w:val="72BA2638"/>
    <w:rsid w:val="72C94629"/>
    <w:rsid w:val="72CC4119"/>
    <w:rsid w:val="72D52FCE"/>
    <w:rsid w:val="72E4219A"/>
    <w:rsid w:val="730770CE"/>
    <w:rsid w:val="730D6C0C"/>
    <w:rsid w:val="730E5758"/>
    <w:rsid w:val="73122968"/>
    <w:rsid w:val="731735E6"/>
    <w:rsid w:val="731A6C33"/>
    <w:rsid w:val="731F5D5E"/>
    <w:rsid w:val="732857F3"/>
    <w:rsid w:val="732B0E40"/>
    <w:rsid w:val="732B7092"/>
    <w:rsid w:val="73426189"/>
    <w:rsid w:val="73682094"/>
    <w:rsid w:val="73683E42"/>
    <w:rsid w:val="736B3932"/>
    <w:rsid w:val="736D76AA"/>
    <w:rsid w:val="73702CF6"/>
    <w:rsid w:val="73733853"/>
    <w:rsid w:val="737A2738"/>
    <w:rsid w:val="739B4025"/>
    <w:rsid w:val="739B6045"/>
    <w:rsid w:val="73A806E2"/>
    <w:rsid w:val="73C51AD5"/>
    <w:rsid w:val="73CA0659"/>
    <w:rsid w:val="73D2750D"/>
    <w:rsid w:val="73E368AE"/>
    <w:rsid w:val="73E831D5"/>
    <w:rsid w:val="73EF6311"/>
    <w:rsid w:val="73F27BAF"/>
    <w:rsid w:val="73F76F74"/>
    <w:rsid w:val="74031DBD"/>
    <w:rsid w:val="740718AD"/>
    <w:rsid w:val="741E793C"/>
    <w:rsid w:val="742A10F7"/>
    <w:rsid w:val="7431035B"/>
    <w:rsid w:val="74363F40"/>
    <w:rsid w:val="743E1047"/>
    <w:rsid w:val="74455F31"/>
    <w:rsid w:val="744A3547"/>
    <w:rsid w:val="744A79EB"/>
    <w:rsid w:val="745E3944"/>
    <w:rsid w:val="74640AAD"/>
    <w:rsid w:val="74731C8A"/>
    <w:rsid w:val="749D3FBF"/>
    <w:rsid w:val="74A013B9"/>
    <w:rsid w:val="74A325F9"/>
    <w:rsid w:val="74A40EAA"/>
    <w:rsid w:val="74BE7A92"/>
    <w:rsid w:val="74CE23CA"/>
    <w:rsid w:val="74D07EF1"/>
    <w:rsid w:val="74F33BDF"/>
    <w:rsid w:val="75282916"/>
    <w:rsid w:val="753C7C40"/>
    <w:rsid w:val="753D30AC"/>
    <w:rsid w:val="75410DEE"/>
    <w:rsid w:val="75587EE6"/>
    <w:rsid w:val="75610B49"/>
    <w:rsid w:val="75644ADD"/>
    <w:rsid w:val="757A7E5C"/>
    <w:rsid w:val="757F1917"/>
    <w:rsid w:val="758962F1"/>
    <w:rsid w:val="758C32CD"/>
    <w:rsid w:val="759E16C4"/>
    <w:rsid w:val="75D532E5"/>
    <w:rsid w:val="75DE03EB"/>
    <w:rsid w:val="75E768D6"/>
    <w:rsid w:val="75F776FF"/>
    <w:rsid w:val="760140DA"/>
    <w:rsid w:val="76037E52"/>
    <w:rsid w:val="760C31AA"/>
    <w:rsid w:val="76157B85"/>
    <w:rsid w:val="76257DC8"/>
    <w:rsid w:val="76326989"/>
    <w:rsid w:val="7635099D"/>
    <w:rsid w:val="764110DA"/>
    <w:rsid w:val="765C57B4"/>
    <w:rsid w:val="766C1E9B"/>
    <w:rsid w:val="767C19B2"/>
    <w:rsid w:val="76832D41"/>
    <w:rsid w:val="76A553AD"/>
    <w:rsid w:val="76B658AC"/>
    <w:rsid w:val="76BB24DB"/>
    <w:rsid w:val="76BD26F7"/>
    <w:rsid w:val="76C375E1"/>
    <w:rsid w:val="76C43A85"/>
    <w:rsid w:val="76E00193"/>
    <w:rsid w:val="77075720"/>
    <w:rsid w:val="775F37AE"/>
    <w:rsid w:val="776E39F1"/>
    <w:rsid w:val="77762421"/>
    <w:rsid w:val="777D719A"/>
    <w:rsid w:val="778B6351"/>
    <w:rsid w:val="77B56B1F"/>
    <w:rsid w:val="77D5581E"/>
    <w:rsid w:val="77D55B8F"/>
    <w:rsid w:val="77D8302D"/>
    <w:rsid w:val="77E409E8"/>
    <w:rsid w:val="77F42148"/>
    <w:rsid w:val="77F55EC0"/>
    <w:rsid w:val="77F959B0"/>
    <w:rsid w:val="77FC724F"/>
    <w:rsid w:val="780103C1"/>
    <w:rsid w:val="7803238B"/>
    <w:rsid w:val="780F09F4"/>
    <w:rsid w:val="780F4F04"/>
    <w:rsid w:val="78281DF2"/>
    <w:rsid w:val="782B3690"/>
    <w:rsid w:val="78335F59"/>
    <w:rsid w:val="7851759A"/>
    <w:rsid w:val="785B52D1"/>
    <w:rsid w:val="78697682"/>
    <w:rsid w:val="7883171E"/>
    <w:rsid w:val="78911745"/>
    <w:rsid w:val="78A27DF6"/>
    <w:rsid w:val="78A90480"/>
    <w:rsid w:val="78C22246"/>
    <w:rsid w:val="78D83818"/>
    <w:rsid w:val="78F341AE"/>
    <w:rsid w:val="78F65A4C"/>
    <w:rsid w:val="790068CB"/>
    <w:rsid w:val="79163E95"/>
    <w:rsid w:val="79164340"/>
    <w:rsid w:val="791A01B5"/>
    <w:rsid w:val="79200D1B"/>
    <w:rsid w:val="792519B5"/>
    <w:rsid w:val="7936053E"/>
    <w:rsid w:val="793B5B55"/>
    <w:rsid w:val="793D7B1F"/>
    <w:rsid w:val="794B3FEA"/>
    <w:rsid w:val="79512FFB"/>
    <w:rsid w:val="79532E68"/>
    <w:rsid w:val="79667075"/>
    <w:rsid w:val="796B01E8"/>
    <w:rsid w:val="79796A91"/>
    <w:rsid w:val="797C5CDA"/>
    <w:rsid w:val="797F3C93"/>
    <w:rsid w:val="79A61220"/>
    <w:rsid w:val="79C8388C"/>
    <w:rsid w:val="79CE0777"/>
    <w:rsid w:val="79E775BC"/>
    <w:rsid w:val="79E81839"/>
    <w:rsid w:val="79EE0E19"/>
    <w:rsid w:val="7A08012D"/>
    <w:rsid w:val="7A173ECC"/>
    <w:rsid w:val="7A2860D9"/>
    <w:rsid w:val="7A2B7977"/>
    <w:rsid w:val="7A364017"/>
    <w:rsid w:val="7A57076C"/>
    <w:rsid w:val="7A5F5873"/>
    <w:rsid w:val="7A8265E1"/>
    <w:rsid w:val="7A8A0002"/>
    <w:rsid w:val="7A992B33"/>
    <w:rsid w:val="7A9B4AFD"/>
    <w:rsid w:val="7AA95200"/>
    <w:rsid w:val="7ACC2F08"/>
    <w:rsid w:val="7AD16771"/>
    <w:rsid w:val="7ADF4809"/>
    <w:rsid w:val="7AF34939"/>
    <w:rsid w:val="7AF661D7"/>
    <w:rsid w:val="7AF91823"/>
    <w:rsid w:val="7B0E1773"/>
    <w:rsid w:val="7B256ABC"/>
    <w:rsid w:val="7B4F58E7"/>
    <w:rsid w:val="7B564D14"/>
    <w:rsid w:val="7B5B603A"/>
    <w:rsid w:val="7B60354F"/>
    <w:rsid w:val="7B686D42"/>
    <w:rsid w:val="7B707D38"/>
    <w:rsid w:val="7B841746"/>
    <w:rsid w:val="7B9D6B95"/>
    <w:rsid w:val="7BA45C33"/>
    <w:rsid w:val="7BDA78A7"/>
    <w:rsid w:val="7BE20509"/>
    <w:rsid w:val="7BF22E42"/>
    <w:rsid w:val="7C0E57A2"/>
    <w:rsid w:val="7C1A5EF5"/>
    <w:rsid w:val="7C2154D6"/>
    <w:rsid w:val="7C2F41C9"/>
    <w:rsid w:val="7C5A2796"/>
    <w:rsid w:val="7C6C5AC7"/>
    <w:rsid w:val="7C6F4493"/>
    <w:rsid w:val="7C741AA9"/>
    <w:rsid w:val="7C792C1C"/>
    <w:rsid w:val="7C7D044A"/>
    <w:rsid w:val="7C815F74"/>
    <w:rsid w:val="7C835849"/>
    <w:rsid w:val="7C8D4919"/>
    <w:rsid w:val="7C8E405C"/>
    <w:rsid w:val="7C8F243F"/>
    <w:rsid w:val="7C961A20"/>
    <w:rsid w:val="7CBB3234"/>
    <w:rsid w:val="7CC12815"/>
    <w:rsid w:val="7CC6544B"/>
    <w:rsid w:val="7CCE3522"/>
    <w:rsid w:val="7CDC31AB"/>
    <w:rsid w:val="7CED3CAA"/>
    <w:rsid w:val="7CF36E72"/>
    <w:rsid w:val="7D0239FF"/>
    <w:rsid w:val="7D1172F8"/>
    <w:rsid w:val="7D133070"/>
    <w:rsid w:val="7D221505"/>
    <w:rsid w:val="7D225061"/>
    <w:rsid w:val="7D342FE7"/>
    <w:rsid w:val="7D3F20B7"/>
    <w:rsid w:val="7D45615E"/>
    <w:rsid w:val="7D5E40CD"/>
    <w:rsid w:val="7D7B0C16"/>
    <w:rsid w:val="7D7D673C"/>
    <w:rsid w:val="7D823A75"/>
    <w:rsid w:val="7D983576"/>
    <w:rsid w:val="7D9C4D95"/>
    <w:rsid w:val="7DA168CE"/>
    <w:rsid w:val="7DA4016C"/>
    <w:rsid w:val="7DBC518B"/>
    <w:rsid w:val="7DBE54A9"/>
    <w:rsid w:val="7DC205F3"/>
    <w:rsid w:val="7DC600E3"/>
    <w:rsid w:val="7DCD56F2"/>
    <w:rsid w:val="7DCD5E4E"/>
    <w:rsid w:val="7DD16A88"/>
    <w:rsid w:val="7DDD542C"/>
    <w:rsid w:val="7DDF11A4"/>
    <w:rsid w:val="7DDF73F6"/>
    <w:rsid w:val="7E0D1BCC"/>
    <w:rsid w:val="7E394D59"/>
    <w:rsid w:val="7E3F7E95"/>
    <w:rsid w:val="7E5000A8"/>
    <w:rsid w:val="7E5E656D"/>
    <w:rsid w:val="7E70004F"/>
    <w:rsid w:val="7E714DD5"/>
    <w:rsid w:val="7E7166F3"/>
    <w:rsid w:val="7E745D91"/>
    <w:rsid w:val="7E7E276B"/>
    <w:rsid w:val="7E924469"/>
    <w:rsid w:val="7E9E4BBC"/>
    <w:rsid w:val="7EB51F05"/>
    <w:rsid w:val="7ED76320"/>
    <w:rsid w:val="7EE03426"/>
    <w:rsid w:val="7EEA7E01"/>
    <w:rsid w:val="7EFC18E2"/>
    <w:rsid w:val="7EFF29CA"/>
    <w:rsid w:val="7F001CE7"/>
    <w:rsid w:val="7F0215EE"/>
    <w:rsid w:val="7F1477AE"/>
    <w:rsid w:val="7F1A37E8"/>
    <w:rsid w:val="7F286B7B"/>
    <w:rsid w:val="7F2F7F0A"/>
    <w:rsid w:val="7F323556"/>
    <w:rsid w:val="7F3379FA"/>
    <w:rsid w:val="7F3472CE"/>
    <w:rsid w:val="7F3B240A"/>
    <w:rsid w:val="7F535FC2"/>
    <w:rsid w:val="7F596D35"/>
    <w:rsid w:val="7F637BB3"/>
    <w:rsid w:val="7F673200"/>
    <w:rsid w:val="7F912972"/>
    <w:rsid w:val="7FAF4BA7"/>
    <w:rsid w:val="7FCE2AAE"/>
    <w:rsid w:val="7FE47E50"/>
    <w:rsid w:val="7FF411DF"/>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uiPriority w:val="9"/>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7">
    <w:name w:val="heading 7"/>
    <w:basedOn w:val="1"/>
    <w:next w:val="1"/>
    <w:unhideWhenUsed/>
    <w:qFormat/>
    <w:uiPriority w:val="9"/>
    <w:pPr>
      <w:keepNext/>
      <w:keepLines/>
      <w:spacing w:before="240" w:after="64" w:line="320" w:lineRule="auto"/>
      <w:outlineLvl w:val="6"/>
    </w:pPr>
    <w:rPr>
      <w:b/>
      <w:bCs/>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snapToGrid w:val="0"/>
      <w:spacing w:line="408" w:lineRule="auto"/>
      <w:ind w:left="-113" w:right="-510" w:firstLine="510"/>
    </w:pPr>
    <w:rPr>
      <w:sz w:val="24"/>
      <w:szCs w:val="20"/>
    </w:rPr>
  </w:style>
  <w:style w:type="paragraph" w:styleId="8">
    <w:name w:val="Normal Indent"/>
    <w:basedOn w:val="1"/>
    <w:next w:val="1"/>
    <w:qFormat/>
    <w:uiPriority w:val="0"/>
    <w:rPr>
      <w:sz w:val="24"/>
    </w:rPr>
  </w:style>
  <w:style w:type="paragraph" w:styleId="9">
    <w:name w:val="caption"/>
    <w:basedOn w:val="1"/>
    <w:next w:val="1"/>
    <w:link w:val="78"/>
    <w:qFormat/>
    <w:uiPriority w:val="0"/>
    <w:pPr>
      <w:numPr>
        <w:ilvl w:val="0"/>
        <w:numId w:val="2"/>
      </w:numPr>
      <w:spacing w:line="520" w:lineRule="exact"/>
      <w:jc w:val="center"/>
    </w:pPr>
    <w:rPr>
      <w:rFonts w:ascii="Times New Roman" w:hAnsi="Times New Roman" w:eastAsia="宋体" w:cs="Times New Roman"/>
      <w:b/>
      <w:sz w:val="24"/>
      <w:szCs w:val="20"/>
    </w:rPr>
  </w:style>
  <w:style w:type="paragraph" w:styleId="10">
    <w:name w:val="Document Map"/>
    <w:basedOn w:val="1"/>
    <w:link w:val="63"/>
    <w:semiHidden/>
    <w:unhideWhenUsed/>
    <w:qFormat/>
    <w:uiPriority w:val="99"/>
    <w:rPr>
      <w:rFonts w:ascii="宋体"/>
      <w:sz w:val="18"/>
      <w:szCs w:val="18"/>
      <w:lang w:val="zh-CN"/>
    </w:rPr>
  </w:style>
  <w:style w:type="paragraph" w:styleId="11">
    <w:name w:val="annotation text"/>
    <w:basedOn w:val="1"/>
    <w:link w:val="42"/>
    <w:semiHidden/>
    <w:unhideWhenUsed/>
    <w:qFormat/>
    <w:uiPriority w:val="99"/>
    <w:pPr>
      <w:jc w:val="left"/>
    </w:pPr>
    <w:rPr>
      <w:kern w:val="0"/>
      <w:sz w:val="24"/>
      <w:szCs w:val="20"/>
      <w:lang w:val="zh-CN"/>
    </w:rPr>
  </w:style>
  <w:style w:type="paragraph" w:styleId="12">
    <w:name w:val="Body Text"/>
    <w:basedOn w:val="1"/>
    <w:next w:val="1"/>
    <w:link w:val="41"/>
    <w:semiHidden/>
    <w:unhideWhenUsed/>
    <w:qFormat/>
    <w:uiPriority w:val="99"/>
    <w:pPr>
      <w:widowControl/>
      <w:snapToGrid w:val="0"/>
      <w:spacing w:before="60" w:after="160" w:line="259" w:lineRule="auto"/>
      <w:ind w:right="113"/>
    </w:pPr>
    <w:rPr>
      <w:kern w:val="0"/>
      <w:sz w:val="18"/>
      <w:szCs w:val="20"/>
      <w:lang w:val="zh-CN"/>
    </w:rPr>
  </w:style>
  <w:style w:type="paragraph" w:styleId="13">
    <w:name w:val="Body Text Indent"/>
    <w:basedOn w:val="1"/>
    <w:next w:val="12"/>
    <w:link w:val="50"/>
    <w:unhideWhenUsed/>
    <w:qFormat/>
    <w:uiPriority w:val="99"/>
    <w:pPr>
      <w:spacing w:after="120"/>
      <w:ind w:left="420" w:leftChars="200"/>
    </w:pPr>
    <w:rPr>
      <w:kern w:val="0"/>
      <w:sz w:val="24"/>
      <w:szCs w:val="20"/>
      <w:lang w:val="zh-CN"/>
    </w:rPr>
  </w:style>
  <w:style w:type="paragraph" w:styleId="14">
    <w:name w:val="Plain Text"/>
    <w:basedOn w:val="1"/>
    <w:link w:val="61"/>
    <w:semiHidden/>
    <w:unhideWhenUsed/>
    <w:qFormat/>
    <w:uiPriority w:val="99"/>
    <w:rPr>
      <w:rFonts w:ascii="宋体" w:hAnsi="Courier New"/>
      <w:szCs w:val="21"/>
      <w:lang w:val="zh-CN"/>
    </w:rPr>
  </w:style>
  <w:style w:type="paragraph" w:styleId="15">
    <w:name w:val="Date"/>
    <w:basedOn w:val="1"/>
    <w:next w:val="1"/>
    <w:link w:val="37"/>
    <w:semiHidden/>
    <w:unhideWhenUsed/>
    <w:qFormat/>
    <w:uiPriority w:val="99"/>
    <w:pPr>
      <w:ind w:left="100" w:leftChars="2500"/>
    </w:pPr>
    <w:rPr>
      <w:kern w:val="0"/>
      <w:sz w:val="24"/>
      <w:szCs w:val="20"/>
      <w:lang w:val="zh-CN"/>
    </w:rPr>
  </w:style>
  <w:style w:type="paragraph" w:styleId="16">
    <w:name w:val="Body Text Indent 2"/>
    <w:basedOn w:val="17"/>
    <w:next w:val="1"/>
    <w:qFormat/>
    <w:uiPriority w:val="0"/>
    <w:pPr>
      <w:tabs>
        <w:tab w:val="left" w:pos="420"/>
        <w:tab w:val="left" w:pos="720"/>
      </w:tabs>
      <w:spacing w:after="120" w:afterLines="0" w:line="480" w:lineRule="auto"/>
      <w:ind w:left="420" w:leftChars="200"/>
    </w:pPr>
  </w:style>
  <w:style w:type="paragraph" w:customStyle="1" w:styleId="17">
    <w:name w:val="表头"/>
    <w:basedOn w:val="1"/>
    <w:next w:val="1"/>
    <w:qFormat/>
    <w:uiPriority w:val="0"/>
    <w:pPr>
      <w:numPr>
        <w:ilvl w:val="0"/>
        <w:numId w:val="3"/>
      </w:numPr>
      <w:tabs>
        <w:tab w:val="left" w:pos="420"/>
      </w:tabs>
      <w:adjustRightInd w:val="0"/>
      <w:snapToGrid w:val="0"/>
      <w:spacing w:line="520" w:lineRule="exact"/>
    </w:pPr>
    <w:rPr>
      <w:rFonts w:ascii="Calibri" w:hAnsi="Calibri" w:eastAsia="黑体"/>
      <w:sz w:val="24"/>
      <w:lang w:val="zh-CN"/>
    </w:rPr>
  </w:style>
  <w:style w:type="paragraph" w:styleId="18">
    <w:name w:val="Balloon Text"/>
    <w:basedOn w:val="1"/>
    <w:link w:val="46"/>
    <w:semiHidden/>
    <w:unhideWhenUsed/>
    <w:qFormat/>
    <w:uiPriority w:val="99"/>
    <w:rPr>
      <w:kern w:val="0"/>
      <w:sz w:val="18"/>
      <w:szCs w:val="20"/>
      <w:lang w:val="zh-CN"/>
    </w:rPr>
  </w:style>
  <w:style w:type="paragraph" w:styleId="19">
    <w:name w:val="footer"/>
    <w:basedOn w:val="1"/>
    <w:link w:val="38"/>
    <w:unhideWhenUsed/>
    <w:qFormat/>
    <w:uiPriority w:val="99"/>
    <w:pPr>
      <w:tabs>
        <w:tab w:val="center" w:pos="4153"/>
        <w:tab w:val="right" w:pos="8306"/>
      </w:tabs>
      <w:snapToGrid w:val="0"/>
      <w:jc w:val="left"/>
    </w:pPr>
    <w:rPr>
      <w:kern w:val="0"/>
      <w:sz w:val="18"/>
      <w:szCs w:val="20"/>
      <w:lang w:val="zh-CN"/>
    </w:rPr>
  </w:style>
  <w:style w:type="paragraph" w:styleId="20">
    <w:name w:val="header"/>
    <w:basedOn w:val="1"/>
    <w:link w:val="48"/>
    <w:unhideWhenUsed/>
    <w:qFormat/>
    <w:uiPriority w:val="99"/>
    <w:pPr>
      <w:pBdr>
        <w:bottom w:val="single" w:color="auto" w:sz="6" w:space="1"/>
      </w:pBdr>
      <w:tabs>
        <w:tab w:val="center" w:pos="4153"/>
        <w:tab w:val="right" w:pos="8306"/>
      </w:tabs>
      <w:snapToGrid w:val="0"/>
      <w:jc w:val="center"/>
    </w:pPr>
    <w:rPr>
      <w:kern w:val="0"/>
      <w:sz w:val="18"/>
      <w:szCs w:val="20"/>
      <w:lang w:val="zh-CN"/>
    </w:rPr>
  </w:style>
  <w:style w:type="paragraph" w:styleId="21">
    <w:name w:val="Normal (Web)"/>
    <w:basedOn w:val="1"/>
    <w:link w:val="39"/>
    <w:semiHidden/>
    <w:unhideWhenUsed/>
    <w:qFormat/>
    <w:uiPriority w:val="99"/>
    <w:pPr>
      <w:widowControl/>
      <w:spacing w:before="100" w:beforeAutospacing="1" w:after="100" w:afterAutospacing="1"/>
      <w:jc w:val="left"/>
    </w:pPr>
    <w:rPr>
      <w:rFonts w:ascii="宋体" w:hAnsi="宋体"/>
      <w:kern w:val="0"/>
      <w:sz w:val="24"/>
      <w:szCs w:val="20"/>
      <w:lang w:val="zh-CN"/>
    </w:rPr>
  </w:style>
  <w:style w:type="paragraph" w:styleId="22">
    <w:name w:val="annotation subject"/>
    <w:basedOn w:val="11"/>
    <w:next w:val="11"/>
    <w:link w:val="47"/>
    <w:semiHidden/>
    <w:unhideWhenUsed/>
    <w:qFormat/>
    <w:uiPriority w:val="99"/>
    <w:rPr>
      <w:b/>
      <w:kern w:val="2"/>
    </w:rPr>
  </w:style>
  <w:style w:type="paragraph" w:styleId="23">
    <w:name w:val="Body Text First Indent"/>
    <w:basedOn w:val="12"/>
    <w:qFormat/>
    <w:uiPriority w:val="0"/>
    <w:pPr>
      <w:widowControl w:val="0"/>
      <w:snapToGrid/>
      <w:spacing w:before="0" w:after="120" w:line="240" w:lineRule="auto"/>
      <w:ind w:right="0" w:firstLine="420" w:firstLineChars="100"/>
    </w:pPr>
    <w:rPr>
      <w:kern w:val="2"/>
      <w:sz w:val="21"/>
      <w:szCs w:val="24"/>
      <w:lang w:val="en-US" w:eastAsia="zh-CN"/>
    </w:rPr>
  </w:style>
  <w:style w:type="paragraph" w:styleId="24">
    <w:name w:val="Body Text First Indent 2"/>
    <w:basedOn w:val="1"/>
    <w:next w:val="1"/>
    <w:unhideWhenUsed/>
    <w:qFormat/>
    <w:uiPriority w:val="99"/>
    <w:pPr>
      <w:tabs>
        <w:tab w:val="left" w:pos="210"/>
      </w:tabs>
      <w:spacing w:after="120"/>
      <w:ind w:left="420" w:leftChars="200" w:firstLine="420"/>
    </w:pPr>
    <w:rPr>
      <w:rFonts w:ascii="Times New Roman" w:hAnsi="Times New Roman"/>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semiHidden/>
    <w:unhideWhenUsed/>
    <w:qFormat/>
    <w:uiPriority w:val="99"/>
  </w:style>
  <w:style w:type="character" w:styleId="30">
    <w:name w:val="Emphasis"/>
    <w:basedOn w:val="27"/>
    <w:qFormat/>
    <w:uiPriority w:val="20"/>
    <w:rPr>
      <w:i/>
    </w:rPr>
  </w:style>
  <w:style w:type="character" w:styleId="31">
    <w:name w:val="Hyperlink"/>
    <w:semiHidden/>
    <w:unhideWhenUsed/>
    <w:qFormat/>
    <w:uiPriority w:val="99"/>
    <w:rPr>
      <w:color w:val="000000"/>
      <w:u w:val="none"/>
    </w:rPr>
  </w:style>
  <w:style w:type="character" w:styleId="32">
    <w:name w:val="annotation reference"/>
    <w:semiHidden/>
    <w:unhideWhenUsed/>
    <w:qFormat/>
    <w:uiPriority w:val="99"/>
    <w:rPr>
      <w:sz w:val="21"/>
    </w:rPr>
  </w:style>
  <w:style w:type="paragraph" w:customStyle="1" w:styleId="3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34">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6">
    <w:name w:val="页脚 字符1"/>
    <w:qFormat/>
    <w:locked/>
    <w:uiPriority w:val="99"/>
    <w:rPr>
      <w:sz w:val="18"/>
    </w:rPr>
  </w:style>
  <w:style w:type="character" w:customStyle="1" w:styleId="37">
    <w:name w:val="日期 字符1"/>
    <w:link w:val="15"/>
    <w:qFormat/>
    <w:locked/>
    <w:uiPriority w:val="0"/>
    <w:rPr>
      <w:rFonts w:ascii="Times New Roman" w:hAnsi="Times New Roman" w:eastAsia="宋体"/>
      <w:sz w:val="24"/>
    </w:rPr>
  </w:style>
  <w:style w:type="character" w:customStyle="1" w:styleId="38">
    <w:name w:val="页脚 字符"/>
    <w:basedOn w:val="27"/>
    <w:link w:val="19"/>
    <w:qFormat/>
    <w:uiPriority w:val="99"/>
  </w:style>
  <w:style w:type="character" w:customStyle="1" w:styleId="39">
    <w:name w:val="普通(网站) 字符1"/>
    <w:link w:val="21"/>
    <w:qFormat/>
    <w:locked/>
    <w:uiPriority w:val="0"/>
    <w:rPr>
      <w:rFonts w:ascii="宋体" w:hAnsi="宋体" w:eastAsia="宋体"/>
      <w:sz w:val="24"/>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正文文本 字符"/>
    <w:link w:val="12"/>
    <w:qFormat/>
    <w:locked/>
    <w:uiPriority w:val="0"/>
    <w:rPr>
      <w:sz w:val="18"/>
    </w:rPr>
  </w:style>
  <w:style w:type="character" w:customStyle="1" w:styleId="42">
    <w:name w:val="批注文字 字符"/>
    <w:link w:val="11"/>
    <w:qFormat/>
    <w:locked/>
    <w:uiPriority w:val="0"/>
    <w:rPr>
      <w:rFonts w:ascii="Times New Roman" w:hAnsi="Times New Roman" w:eastAsia="宋体"/>
      <w:sz w:val="24"/>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Cs w:val="20"/>
      <w:lang w:val="zh-CN"/>
    </w:rPr>
  </w:style>
  <w:style w:type="character" w:customStyle="1" w:styleId="45">
    <w:name w:val="日期 字符"/>
    <w:semiHidden/>
    <w:qFormat/>
    <w:uiPriority w:val="0"/>
    <w:rPr>
      <w:rFonts w:ascii="Times New Roman" w:hAnsi="Times New Roman" w:eastAsia="宋体"/>
      <w:sz w:val="24"/>
    </w:rPr>
  </w:style>
  <w:style w:type="character" w:customStyle="1" w:styleId="46">
    <w:name w:val="批注框文本 字符"/>
    <w:link w:val="18"/>
    <w:semiHidden/>
    <w:qFormat/>
    <w:locked/>
    <w:uiPriority w:val="0"/>
    <w:rPr>
      <w:rFonts w:ascii="Times New Roman" w:hAnsi="Times New Roman" w:eastAsia="宋体"/>
      <w:sz w:val="18"/>
    </w:rPr>
  </w:style>
  <w:style w:type="character" w:customStyle="1" w:styleId="47">
    <w:name w:val="批注主题 字符"/>
    <w:link w:val="22"/>
    <w:semiHidden/>
    <w:qFormat/>
    <w:locked/>
    <w:uiPriority w:val="0"/>
    <w:rPr>
      <w:rFonts w:ascii="Times New Roman" w:hAnsi="Times New Roman" w:eastAsia="宋体"/>
      <w:b/>
      <w:kern w:val="2"/>
      <w:sz w:val="24"/>
    </w:rPr>
  </w:style>
  <w:style w:type="character" w:customStyle="1" w:styleId="48">
    <w:name w:val="页眉 字符"/>
    <w:basedOn w:val="27"/>
    <w:link w:val="20"/>
    <w:qFormat/>
    <w:locked/>
    <w:uiPriority w:val="0"/>
    <w:rPr>
      <w:sz w:val="18"/>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正文文本缩进 字符"/>
    <w:link w:val="13"/>
    <w:semiHidden/>
    <w:qFormat/>
    <w:locked/>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鸿达表格文字"/>
    <w:basedOn w:val="1"/>
    <w:link w:val="54"/>
    <w:qFormat/>
    <w:uiPriority w:val="0"/>
    <w:pPr>
      <w:contextualSpacing/>
      <w:jc w:val="center"/>
      <w:textAlignment w:val="baseline"/>
    </w:pPr>
    <w:rPr>
      <w:kern w:val="0"/>
      <w:szCs w:val="21"/>
      <w:lang w:val="zh-CN"/>
    </w:rPr>
  </w:style>
  <w:style w:type="character" w:customStyle="1" w:styleId="54">
    <w:name w:val="鸿达表格文字 Char"/>
    <w:link w:val="53"/>
    <w:qFormat/>
    <w:uiPriority w:val="0"/>
    <w:rPr>
      <w:sz w:val="21"/>
      <w:szCs w:val="21"/>
    </w:rPr>
  </w:style>
  <w:style w:type="paragraph" w:customStyle="1" w:styleId="55">
    <w:name w:val="鸿达表格段落"/>
    <w:basedOn w:val="1"/>
    <w:qFormat/>
    <w:uiPriority w:val="0"/>
    <w:pPr>
      <w:adjustRightInd w:val="0"/>
      <w:snapToGrid w:val="0"/>
      <w:ind w:firstLine="200" w:firstLineChars="200"/>
      <w:jc w:val="left"/>
    </w:pPr>
    <w:rPr>
      <w:snapToGrid w:val="0"/>
      <w:kern w:val="0"/>
    </w:rPr>
  </w:style>
  <w:style w:type="paragraph" w:customStyle="1" w:styleId="56">
    <w:name w:val="鸿达表头"/>
    <w:basedOn w:val="1"/>
    <w:link w:val="57"/>
    <w:qFormat/>
    <w:uiPriority w:val="0"/>
    <w:pPr>
      <w:spacing w:beforeLines="100" w:afterLines="50"/>
      <w:ind w:firstLine="100" w:firstLineChars="100"/>
    </w:pPr>
    <w:rPr>
      <w:b/>
      <w:sz w:val="24"/>
      <w:lang w:val="zh-CN"/>
    </w:rPr>
  </w:style>
  <w:style w:type="character" w:customStyle="1" w:styleId="57">
    <w:name w:val="鸿达表头 Char"/>
    <w:link w:val="56"/>
    <w:qFormat/>
    <w:uiPriority w:val="0"/>
    <w:rPr>
      <w:b/>
      <w:kern w:val="2"/>
      <w:sz w:val="24"/>
      <w:szCs w:val="24"/>
    </w:rPr>
  </w:style>
  <w:style w:type="paragraph" w:customStyle="1" w:styleId="58">
    <w:name w:val="鸿达表加粗"/>
    <w:basedOn w:val="1"/>
    <w:qFormat/>
    <w:uiPriority w:val="0"/>
    <w:pPr>
      <w:jc w:val="center"/>
    </w:pPr>
    <w:rPr>
      <w:rFonts w:cs="宋体"/>
      <w:b/>
      <w:color w:val="000000"/>
      <w:szCs w:val="20"/>
    </w:rPr>
  </w:style>
  <w:style w:type="character" w:customStyle="1" w:styleId="59">
    <w:name w:val="段落 Char"/>
    <w:link w:val="60"/>
    <w:qFormat/>
    <w:uiPriority w:val="99"/>
    <w:rPr>
      <w:rFonts w:cs="Courier New"/>
      <w:kern w:val="2"/>
      <w:sz w:val="28"/>
      <w:szCs w:val="24"/>
    </w:rPr>
  </w:style>
  <w:style w:type="paragraph" w:customStyle="1" w:styleId="60">
    <w:name w:val="段落"/>
    <w:basedOn w:val="14"/>
    <w:link w:val="59"/>
    <w:qFormat/>
    <w:uiPriority w:val="99"/>
    <w:pPr>
      <w:spacing w:line="500" w:lineRule="exact"/>
      <w:ind w:firstLine="578"/>
    </w:pPr>
    <w:rPr>
      <w:rFonts w:ascii="Times New Roman" w:hAnsi="Times New Roman"/>
      <w:sz w:val="28"/>
      <w:szCs w:val="24"/>
    </w:rPr>
  </w:style>
  <w:style w:type="character" w:customStyle="1" w:styleId="61">
    <w:name w:val="纯文本 字符1"/>
    <w:link w:val="14"/>
    <w:qFormat/>
    <w:uiPriority w:val="0"/>
    <w:rPr>
      <w:rFonts w:ascii="宋体" w:hAnsi="Courier New" w:cs="Courier New"/>
      <w:kern w:val="2"/>
      <w:sz w:val="21"/>
      <w:szCs w:val="21"/>
    </w:rPr>
  </w:style>
  <w:style w:type="paragraph" w:customStyle="1" w:styleId="62">
    <w:name w:val="报告表表格文字"/>
    <w:basedOn w:val="1"/>
    <w:qFormat/>
    <w:uiPriority w:val="0"/>
    <w:pPr>
      <w:autoSpaceDE w:val="0"/>
      <w:autoSpaceDN w:val="0"/>
      <w:adjustRightInd w:val="0"/>
      <w:snapToGrid w:val="0"/>
      <w:jc w:val="center"/>
    </w:pPr>
    <w:rPr>
      <w:color w:val="000000"/>
      <w:kern w:val="0"/>
      <w:szCs w:val="21"/>
    </w:rPr>
  </w:style>
  <w:style w:type="character" w:customStyle="1" w:styleId="63">
    <w:name w:val="文档结构图 字符"/>
    <w:link w:val="10"/>
    <w:qFormat/>
    <w:uiPriority w:val="0"/>
    <w:rPr>
      <w:rFonts w:ascii="宋体"/>
      <w:kern w:val="2"/>
      <w:sz w:val="18"/>
      <w:szCs w:val="18"/>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纯文本 字符"/>
    <w:qFormat/>
    <w:uiPriority w:val="0"/>
    <w:rPr>
      <w:rFonts w:ascii="宋体" w:hAnsi="宋体" w:cs="宋体"/>
      <w:sz w:val="24"/>
    </w:rPr>
  </w:style>
  <w:style w:type="paragraph" w:customStyle="1" w:styleId="66">
    <w:name w:val="普通(网站)1"/>
    <w:basedOn w:val="1"/>
    <w:qFormat/>
    <w:uiPriority w:val="0"/>
    <w:pPr>
      <w:widowControl/>
      <w:spacing w:before="100" w:beforeAutospacing="1" w:after="100" w:afterAutospacing="1"/>
      <w:jc w:val="left"/>
    </w:pPr>
    <w:rPr>
      <w:rFonts w:ascii="宋体" w:hAnsi="宋体"/>
      <w:sz w:val="24"/>
      <w:szCs w:val="20"/>
    </w:rPr>
  </w:style>
  <w:style w:type="character" w:customStyle="1" w:styleId="67">
    <w:name w:val="普通(网站) 字符"/>
    <w:qFormat/>
    <w:locked/>
    <w:uiPriority w:val="0"/>
    <w:rPr>
      <w:rFonts w:ascii="宋体" w:hAnsi="宋体"/>
      <w:sz w:val="24"/>
      <w:lang w:val="zh-CN" w:eastAsia="zh-CN"/>
    </w:rPr>
  </w:style>
  <w:style w:type="paragraph" w:customStyle="1" w:styleId="68">
    <w:name w:val="标题 41"/>
    <w:basedOn w:val="1"/>
    <w:qFormat/>
    <w:uiPriority w:val="0"/>
    <w:pPr>
      <w:autoSpaceDE w:val="0"/>
      <w:autoSpaceDN w:val="0"/>
      <w:spacing w:before="100" w:beforeAutospacing="1" w:after="100" w:afterAutospacing="1"/>
      <w:ind w:left="228"/>
      <w:jc w:val="left"/>
      <w:outlineLvl w:val="4"/>
    </w:pPr>
    <w:rPr>
      <w:rFonts w:ascii="宋体" w:hAnsi="宋体" w:cs="宋体"/>
      <w:b/>
      <w:bCs/>
      <w:kern w:val="0"/>
      <w:sz w:val="24"/>
    </w:rPr>
  </w:style>
  <w:style w:type="character" w:customStyle="1" w:styleId="69">
    <w:name w:val="标题 1 字符"/>
    <w:basedOn w:val="27"/>
    <w:link w:val="3"/>
    <w:qFormat/>
    <w:uiPriority w:val="0"/>
    <w:rPr>
      <w:rFonts w:eastAsia="黑体"/>
      <w:b/>
      <w:bCs/>
      <w:color w:val="000000"/>
      <w:kern w:val="44"/>
      <w:sz w:val="30"/>
      <w:szCs w:val="30"/>
    </w:rPr>
  </w:style>
  <w:style w:type="paragraph" w:customStyle="1" w:styleId="70">
    <w:name w:val="正文1"/>
    <w:basedOn w:val="1"/>
    <w:qFormat/>
    <w:uiPriority w:val="0"/>
    <w:pPr>
      <w:jc w:val="center"/>
    </w:pPr>
    <w:rPr>
      <w:szCs w:val="21"/>
    </w:rPr>
  </w:style>
  <w:style w:type="paragraph" w:customStyle="1" w:styleId="71">
    <w:name w:val="正文缩进1"/>
    <w:basedOn w:val="1"/>
    <w:qFormat/>
    <w:uiPriority w:val="0"/>
    <w:rPr>
      <w:sz w:val="28"/>
    </w:rPr>
  </w:style>
  <w:style w:type="paragraph" w:customStyle="1" w:styleId="72">
    <w:name w:val="2表格标题"/>
    <w:basedOn w:val="7"/>
    <w:qFormat/>
    <w:uiPriority w:val="0"/>
    <w:pPr>
      <w:keepNext w:val="0"/>
      <w:keepLines w:val="0"/>
      <w:adjustRightInd w:val="0"/>
      <w:snapToGrid w:val="0"/>
      <w:spacing w:before="0" w:after="0" w:line="520" w:lineRule="exact"/>
      <w:jc w:val="center"/>
    </w:pPr>
    <w:rPr>
      <w:bCs w:val="0"/>
      <w:kern w:val="0"/>
      <w:szCs w:val="20"/>
    </w:rPr>
  </w:style>
  <w:style w:type="paragraph" w:customStyle="1" w:styleId="73">
    <w:name w:val="Table Paragraph"/>
    <w:basedOn w:val="1"/>
    <w:qFormat/>
    <w:uiPriority w:val="1"/>
    <w:rPr>
      <w:rFonts w:ascii="仿宋" w:hAnsi="仿宋" w:eastAsia="仿宋" w:cs="仿宋"/>
    </w:rPr>
  </w:style>
  <w:style w:type="paragraph" w:customStyle="1" w:styleId="74">
    <w:name w:val="【正文】"/>
    <w:basedOn w:val="1"/>
    <w:qFormat/>
    <w:uiPriority w:val="0"/>
    <w:pPr>
      <w:spacing w:line="500" w:lineRule="exact"/>
      <w:ind w:firstLine="200" w:firstLineChars="200"/>
    </w:pPr>
    <w:rPr>
      <w:rFonts w:ascii="宋体" w:hAnsi="宋体" w:cs="宋体"/>
      <w:sz w:val="24"/>
      <w:szCs w:val="20"/>
    </w:rPr>
  </w:style>
  <w:style w:type="paragraph" w:customStyle="1" w:styleId="75">
    <w:name w:val="表格第一行加粗"/>
    <w:basedOn w:val="76"/>
    <w:qFormat/>
    <w:uiPriority w:val="0"/>
    <w:rPr>
      <w:rFonts w:ascii="Times New Roman" w:hAnsi="Times New Roman" w:eastAsia="宋体"/>
      <w:b/>
      <w:sz w:val="21"/>
    </w:rPr>
  </w:style>
  <w:style w:type="paragraph" w:customStyle="1" w:styleId="76">
    <w:name w:val="表格文字"/>
    <w:basedOn w:val="1"/>
    <w:qFormat/>
    <w:uiPriority w:val="0"/>
    <w:pPr>
      <w:jc w:val="center"/>
    </w:pPr>
    <w:rPr>
      <w:rFonts w:ascii="Times New Roman" w:hAnsi="Times New Roman" w:cs="Times New Roman"/>
      <w:bCs/>
      <w:color w:val="000000"/>
    </w:rPr>
  </w:style>
  <w:style w:type="paragraph" w:customStyle="1" w:styleId="77">
    <w:name w:val="正文文本缩进1"/>
    <w:basedOn w:val="1"/>
    <w:qFormat/>
    <w:uiPriority w:val="0"/>
    <w:pPr>
      <w:tabs>
        <w:tab w:val="left" w:pos="210"/>
      </w:tabs>
      <w:spacing w:line="360" w:lineRule="auto"/>
      <w:ind w:firstLine="420" w:firstLineChars="175"/>
    </w:pPr>
  </w:style>
  <w:style w:type="character" w:customStyle="1" w:styleId="78">
    <w:name w:val="题注 Char"/>
    <w:link w:val="9"/>
    <w:qFormat/>
    <w:uiPriority w:val="0"/>
    <w:rPr>
      <w:rFonts w:ascii="Times New Roman" w:hAnsi="Times New Roman" w:eastAsia="宋体" w:cs="Times New Roman"/>
      <w:b/>
      <w:sz w:val="24"/>
      <w:szCs w:val="20"/>
    </w:rPr>
  </w:style>
  <w:style w:type="character" w:customStyle="1" w:styleId="79">
    <w:name w:val="fontstyle31"/>
    <w:qFormat/>
    <w:uiPriority w:val="0"/>
    <w:rPr>
      <w:rFonts w:hint="default" w:ascii="Times New Roman" w:hAnsi="Times New Roman" w:cs="Times New Roman"/>
      <w:color w:val="000000"/>
      <w:sz w:val="24"/>
      <w:szCs w:val="24"/>
    </w:rPr>
  </w:style>
  <w:style w:type="paragraph" w:customStyle="1" w:styleId="80">
    <w:name w:val="正文表"/>
    <w:basedOn w:val="1"/>
    <w:qFormat/>
    <w:uiPriority w:val="0"/>
    <w:pPr>
      <w:tabs>
        <w:tab w:val="left" w:pos="715"/>
        <w:tab w:val="left" w:pos="857"/>
        <w:tab w:val="left" w:pos="2428"/>
      </w:tabs>
      <w:spacing w:line="440" w:lineRule="exact"/>
      <w:ind w:firstLine="464" w:firstLineChars="200"/>
    </w:pPr>
    <w:rPr>
      <w:rFonts w:hAnsi="宋体"/>
      <w:spacing w:val="-4"/>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oleObject" Target="embeddings/oleObject2.bin"/><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C429C-4607-424C-AE68-9C4C5FE0BE28}">
  <ds:schemaRefs/>
</ds:datastoreItem>
</file>

<file path=docProps/app.xml><?xml version="1.0" encoding="utf-8"?>
<Properties xmlns="http://schemas.openxmlformats.org/officeDocument/2006/extended-properties" xmlns:vt="http://schemas.openxmlformats.org/officeDocument/2006/docPropsVTypes">
  <Template>wdzx97</Template>
  <Company>China</Company>
  <Pages>86</Pages>
  <Words>39285</Words>
  <Characters>43239</Characters>
  <Lines>342</Lines>
  <Paragraphs>96</Paragraphs>
  <TotalTime>3</TotalTime>
  <ScaleCrop>false</ScaleCrop>
  <LinksUpToDate>false</LinksUpToDate>
  <CharactersWithSpaces>44996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2022-07-26T07:11:00Z</dcterms:created>
  <dc:creator>乔 晓如</dc:creator>
  <cp:lastModifiedBy>苏格拉没有底</cp:lastModifiedBy>
  <cp:lastPrinted>2020-12-29T02:43:00Z</cp:lastPrinted>
  <dcterms:modified xsi:type="dcterms:W3CDTF">2023-03-23T03:35:52Z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34DA1D6F0FBD4DE3AA8B6B86FBCDB0AD</vt:lpwstr>
  </property>
</Properties>
</file>