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360" w:lineRule="auto"/>
        <w:jc w:val="center"/>
        <w:rPr>
          <w:rFonts w:hint="eastAsia" w:ascii="黑体" w:hAnsi="黑体" w:eastAsia="黑体" w:cs="黑体"/>
          <w:b w:val="0"/>
          <w:bCs w:val="0"/>
          <w:sz w:val="30"/>
          <w:szCs w:val="30"/>
          <w:lang w:eastAsia="zh-CN"/>
        </w:rPr>
        <w:sectPr>
          <w:footerReference r:id="rId3" w:type="default"/>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bookmarkStart w:id="4" w:name="_GoBack"/>
      <w:r>
        <w:rPr>
          <w:rFonts w:hint="eastAsia" w:ascii="黑体" w:hAnsi="黑体" w:eastAsia="黑体" w:cs="黑体"/>
          <w:b w:val="0"/>
          <w:bCs w:val="0"/>
          <w:sz w:val="30"/>
          <w:szCs w:val="30"/>
          <w:lang w:eastAsia="zh-CN"/>
        </w:rPr>
        <w:drawing>
          <wp:anchor distT="0" distB="0" distL="114300" distR="114300" simplePos="0" relativeHeight="251710464" behindDoc="0" locked="0" layoutInCell="1" allowOverlap="1">
            <wp:simplePos x="0" y="0"/>
            <wp:positionH relativeFrom="column">
              <wp:posOffset>42545</wp:posOffset>
            </wp:positionH>
            <wp:positionV relativeFrom="paragraph">
              <wp:posOffset>0</wp:posOffset>
            </wp:positionV>
            <wp:extent cx="7467600" cy="10270490"/>
            <wp:effectExtent l="0" t="0" r="0" b="16510"/>
            <wp:wrapNone/>
            <wp:docPr id="52" name="图片 5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封面"/>
                    <pic:cNvPicPr>
                      <a:picLocks noChangeAspect="1"/>
                    </pic:cNvPicPr>
                  </pic:nvPicPr>
                  <pic:blipFill>
                    <a:blip r:embed="rId8"/>
                    <a:stretch>
                      <a:fillRect/>
                    </a:stretch>
                  </pic:blipFill>
                  <pic:spPr>
                    <a:xfrm>
                      <a:off x="0" y="0"/>
                      <a:ext cx="7467600" cy="10270490"/>
                    </a:xfrm>
                    <a:prstGeom prst="rect">
                      <a:avLst/>
                    </a:prstGeom>
                  </pic:spPr>
                </pic:pic>
              </a:graphicData>
            </a:graphic>
          </wp:anchor>
        </w:drawing>
      </w:r>
      <w:bookmarkEnd w:id="4"/>
    </w:p>
    <w:p>
      <w:pPr>
        <w:pStyle w:val="10"/>
        <w:rPr>
          <w:rFonts w:hint="eastAsia" w:eastAsia="宋体"/>
          <w:lang w:eastAsia="zh-CN"/>
        </w:rPr>
        <w:sectPr>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708416" behindDoc="0" locked="0" layoutInCell="1" allowOverlap="1">
            <wp:simplePos x="0" y="0"/>
            <wp:positionH relativeFrom="column">
              <wp:posOffset>15875</wp:posOffset>
            </wp:positionH>
            <wp:positionV relativeFrom="paragraph">
              <wp:posOffset>104775</wp:posOffset>
            </wp:positionV>
            <wp:extent cx="7509510" cy="10405110"/>
            <wp:effectExtent l="0" t="0" r="15240" b="15240"/>
            <wp:wrapNone/>
            <wp:docPr id="50" name="图片 50" descr="申请扫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申请扫描"/>
                    <pic:cNvPicPr>
                      <a:picLocks noChangeAspect="1"/>
                    </pic:cNvPicPr>
                  </pic:nvPicPr>
                  <pic:blipFill>
                    <a:blip r:embed="rId9"/>
                    <a:stretch>
                      <a:fillRect/>
                    </a:stretch>
                  </pic:blipFill>
                  <pic:spPr>
                    <a:xfrm>
                      <a:off x="0" y="0"/>
                      <a:ext cx="7509510" cy="10405110"/>
                    </a:xfrm>
                    <a:prstGeom prst="rect">
                      <a:avLst/>
                    </a:prstGeom>
                  </pic:spPr>
                </pic:pic>
              </a:graphicData>
            </a:graphic>
          </wp:anchor>
        </w:drawing>
      </w:r>
    </w:p>
    <w:p>
      <w:pPr>
        <w:pStyle w:val="10"/>
        <w:rPr>
          <w:rFonts w:hint="eastAsia" w:eastAsia="宋体"/>
          <w:lang w:eastAsia="zh-CN"/>
        </w:rPr>
        <w:sectPr>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709440" behindDoc="0" locked="0" layoutInCell="1" allowOverlap="1">
            <wp:simplePos x="0" y="0"/>
            <wp:positionH relativeFrom="column">
              <wp:posOffset>4445</wp:posOffset>
            </wp:positionH>
            <wp:positionV relativeFrom="paragraph">
              <wp:posOffset>38100</wp:posOffset>
            </wp:positionV>
            <wp:extent cx="7512050" cy="10407650"/>
            <wp:effectExtent l="0" t="0" r="12700" b="12700"/>
            <wp:wrapNone/>
            <wp:docPr id="51" name="图片 51" descr="签名页扫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签名页扫描"/>
                    <pic:cNvPicPr>
                      <a:picLocks noChangeAspect="1"/>
                    </pic:cNvPicPr>
                  </pic:nvPicPr>
                  <pic:blipFill>
                    <a:blip r:embed="rId10"/>
                    <a:stretch>
                      <a:fillRect/>
                    </a:stretch>
                  </pic:blipFill>
                  <pic:spPr>
                    <a:xfrm>
                      <a:off x="0" y="0"/>
                      <a:ext cx="7512050" cy="10407650"/>
                    </a:xfrm>
                    <a:prstGeom prst="rect">
                      <a:avLst/>
                    </a:prstGeom>
                  </pic:spPr>
                </pic:pic>
              </a:graphicData>
            </a:graphic>
          </wp:anchor>
        </w:drawing>
      </w:r>
    </w:p>
    <w:p>
      <w:pPr>
        <w:pStyle w:val="10"/>
        <w:rPr>
          <w:rFonts w:hint="eastAsia"/>
        </w:rPr>
        <w:sectPr>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ascii="Times New Roman" w:hAnsi="Times New Roman" w:eastAsia="宋体" w:cs="Times New Roman"/>
          <w:b/>
          <w:sz w:val="28"/>
          <w:lang w:eastAsia="zh-CN"/>
        </w:rPr>
        <w:drawing>
          <wp:anchor distT="0" distB="0" distL="114300" distR="114300" simplePos="0" relativeHeight="251662336" behindDoc="0" locked="0" layoutInCell="1" allowOverlap="1">
            <wp:simplePos x="0" y="0"/>
            <wp:positionH relativeFrom="column">
              <wp:posOffset>-513080</wp:posOffset>
            </wp:positionH>
            <wp:positionV relativeFrom="paragraph">
              <wp:posOffset>2633345</wp:posOffset>
            </wp:positionV>
            <wp:extent cx="8592820" cy="5330825"/>
            <wp:effectExtent l="0" t="0" r="3175" b="17780"/>
            <wp:wrapNone/>
            <wp:docPr id="1" name="图片 697" descr="huhong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97" descr="huhongyan"/>
                    <pic:cNvPicPr>
                      <a:picLocks noChangeAspect="1"/>
                    </pic:cNvPicPr>
                  </pic:nvPicPr>
                  <pic:blipFill>
                    <a:blip r:embed="rId11"/>
                    <a:stretch>
                      <a:fillRect/>
                    </a:stretch>
                  </pic:blipFill>
                  <pic:spPr>
                    <a:xfrm rot="-5400000">
                      <a:off x="0" y="0"/>
                      <a:ext cx="8592820" cy="5330825"/>
                    </a:xfrm>
                    <a:prstGeom prst="rect">
                      <a:avLst/>
                    </a:prstGeom>
                    <a:noFill/>
                    <a:ln>
                      <a:noFill/>
                    </a:ln>
                  </pic:spPr>
                </pic:pic>
              </a:graphicData>
            </a:graphic>
          </wp:anchor>
        </w:drawing>
      </w:r>
    </w:p>
    <w:p>
      <w:pPr>
        <w:pStyle w:val="10"/>
        <w:rPr>
          <w:rFonts w:hint="eastAsia" w:eastAsia="宋体"/>
          <w:lang w:eastAsia="zh-CN"/>
        </w:rPr>
        <w:sectPr>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3360" behindDoc="0" locked="0" layoutInCell="1" allowOverlap="1">
            <wp:simplePos x="0" y="0"/>
            <wp:positionH relativeFrom="column">
              <wp:posOffset>-24130</wp:posOffset>
            </wp:positionH>
            <wp:positionV relativeFrom="paragraph">
              <wp:posOffset>142875</wp:posOffset>
            </wp:positionV>
            <wp:extent cx="7562850" cy="9313545"/>
            <wp:effectExtent l="0" t="0" r="0" b="1905"/>
            <wp:wrapNone/>
            <wp:docPr id="4" name="图片 4" descr="167757070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570705360"/>
                    <pic:cNvPicPr>
                      <a:picLocks noChangeAspect="1"/>
                    </pic:cNvPicPr>
                  </pic:nvPicPr>
                  <pic:blipFill>
                    <a:blip r:embed="rId12"/>
                    <a:stretch>
                      <a:fillRect/>
                    </a:stretch>
                  </pic:blipFill>
                  <pic:spPr>
                    <a:xfrm>
                      <a:off x="0" y="0"/>
                      <a:ext cx="7562850" cy="9313545"/>
                    </a:xfrm>
                    <a:prstGeom prst="rect">
                      <a:avLst/>
                    </a:prstGeom>
                  </pic:spPr>
                </pic:pic>
              </a:graphicData>
            </a:graphic>
          </wp:anchor>
        </w:drawing>
      </w:r>
    </w:p>
    <w:p>
      <w:pPr>
        <w:pStyle w:val="10"/>
        <w:rPr>
          <w:rFonts w:hint="eastAsia"/>
        </w:rPr>
        <w:sectPr>
          <w:pgSz w:w="11906" w:h="16838"/>
          <w:pgMar w:top="0" w:right="0" w:bottom="0" w:left="0" w:header="851" w:footer="851" w:gutter="0"/>
          <w:pgBorders>
            <w:top w:val="none" w:sz="0" w:space="0"/>
            <w:left w:val="none" w:sz="0" w:space="0"/>
            <w:bottom w:val="none" w:sz="0" w:space="0"/>
            <w:right w:val="none" w:sz="0" w:space="0"/>
          </w:pgBorders>
          <w:pgNumType w:start="1"/>
          <w:cols w:space="720" w:num="1"/>
          <w:docGrid w:linePitch="312" w:charSpace="0"/>
        </w:sectPr>
      </w:pPr>
      <w:r>
        <w:rPr>
          <w:rFonts w:hint="eastAsia" w:eastAsia="宋体"/>
          <w:lang w:eastAsia="zh-CN"/>
        </w:rPr>
        <w:drawing>
          <wp:anchor distT="0" distB="0" distL="114300" distR="114300" simplePos="0" relativeHeight="251664384" behindDoc="0" locked="0" layoutInCell="1" allowOverlap="1">
            <wp:simplePos x="0" y="0"/>
            <wp:positionH relativeFrom="column">
              <wp:posOffset>495300</wp:posOffset>
            </wp:positionH>
            <wp:positionV relativeFrom="paragraph">
              <wp:posOffset>634365</wp:posOffset>
            </wp:positionV>
            <wp:extent cx="6417310" cy="8891905"/>
            <wp:effectExtent l="0" t="0" r="2540" b="4445"/>
            <wp:wrapNone/>
            <wp:docPr id="5" name="图片 2" descr="bdd3be1baccdd0b7821821cb5573d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bdd3be1baccdd0b7821821cb5573da8"/>
                    <pic:cNvPicPr>
                      <a:picLocks noChangeAspect="1"/>
                    </pic:cNvPicPr>
                  </pic:nvPicPr>
                  <pic:blipFill>
                    <a:blip r:embed="rId13"/>
                    <a:stretch>
                      <a:fillRect/>
                    </a:stretch>
                  </pic:blipFill>
                  <pic:spPr>
                    <a:xfrm>
                      <a:off x="0" y="0"/>
                      <a:ext cx="6417310" cy="8891905"/>
                    </a:xfrm>
                    <a:prstGeom prst="rect">
                      <a:avLst/>
                    </a:prstGeom>
                    <a:noFill/>
                    <a:ln>
                      <a:noFill/>
                    </a:ln>
                  </pic:spPr>
                </pic:pic>
              </a:graphicData>
            </a:graphic>
          </wp:anchor>
        </w:drawing>
      </w:r>
    </w:p>
    <w:p>
      <w:pPr>
        <w:bidi w:val="0"/>
        <w:spacing w:line="360" w:lineRule="auto"/>
        <w:jc w:val="center"/>
        <w:rPr>
          <w:rFonts w:hint="eastAsia" w:ascii="黑体" w:hAnsi="黑体" w:eastAsia="黑体" w:cs="黑体"/>
          <w:b w:val="0"/>
          <w:bCs w:val="0"/>
          <w:sz w:val="30"/>
          <w:szCs w:val="30"/>
          <w:lang w:val="en-US" w:eastAsia="zh-CN"/>
        </w:rPr>
      </w:pPr>
      <w:r>
        <w:rPr>
          <w:rFonts w:hint="eastAsia" w:ascii="黑体" w:hAnsi="黑体" w:eastAsia="黑体" w:cs="黑体"/>
          <w:b w:val="0"/>
          <w:bCs w:val="0"/>
          <w:sz w:val="30"/>
          <w:szCs w:val="30"/>
        </w:rPr>
        <w:t>一、建设项目基本情况</w:t>
      </w:r>
    </w:p>
    <w:tbl>
      <w:tblPr>
        <w:tblStyle w:val="22"/>
        <w:tblW w:w="98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2"/>
        <w:gridCol w:w="608"/>
        <w:gridCol w:w="1350"/>
        <w:gridCol w:w="2693"/>
        <w:gridCol w:w="2120"/>
        <w:gridCol w:w="2891"/>
        <w:gridCol w:w="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建设项目名称</w:t>
            </w:r>
          </w:p>
        </w:tc>
        <w:tc>
          <w:tcPr>
            <w:tcW w:w="7796"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4"/>
                <w:lang w:val="en-US" w:eastAsia="zh-CN"/>
              </w:rPr>
            </w:pPr>
            <w:r>
              <w:rPr>
                <w:rFonts w:hint="eastAsia" w:ascii="宋体" w:hAnsi="宋体"/>
                <w:color w:val="000000"/>
                <w:sz w:val="24"/>
                <w:lang w:val="en-US" w:eastAsia="zh-CN"/>
              </w:rPr>
              <w:t>年产</w:t>
            </w:r>
            <w:r>
              <w:rPr>
                <w:rFonts w:hint="default" w:ascii="Times New Roman" w:hAnsi="Times New Roman" w:cs="Times New Roman"/>
                <w:color w:val="000000"/>
                <w:sz w:val="24"/>
                <w:lang w:val="en-US" w:eastAsia="zh-CN"/>
              </w:rPr>
              <w:t>900</w:t>
            </w:r>
            <w:r>
              <w:rPr>
                <w:rFonts w:hint="eastAsia" w:ascii="宋体" w:hAnsi="宋体"/>
                <w:color w:val="000000"/>
                <w:sz w:val="24"/>
                <w:lang w:val="en-US" w:eastAsia="zh-CN"/>
              </w:rPr>
              <w:t>吨环保型包装印刷材料项目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项目代码</w:t>
            </w:r>
          </w:p>
        </w:tc>
        <w:tc>
          <w:tcPr>
            <w:tcW w:w="7796"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olor w:val="FF0000"/>
                <w:sz w:val="24"/>
                <w:lang w:val="en-US" w:eastAsia="zh-CN"/>
              </w:rPr>
            </w:pPr>
            <w:r>
              <w:rPr>
                <w:rFonts w:hint="default" w:ascii="Times New Roman" w:hAnsi="Times New Roman" w:eastAsia="宋体" w:cs="Times New Roman"/>
                <w:sz w:val="24"/>
                <w:szCs w:val="24"/>
              </w:rPr>
              <w:t>2302-410721-04-01-368819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建设单位联系人</w:t>
            </w:r>
          </w:p>
        </w:tc>
        <w:tc>
          <w:tcPr>
            <w:tcW w:w="26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olor w:val="auto"/>
                <w:sz w:val="24"/>
                <w:highlight w:val="none"/>
                <w:lang w:val="en-US" w:eastAsia="zh-CN"/>
              </w:rPr>
            </w:pPr>
            <w:r>
              <w:rPr>
                <w:rFonts w:hint="eastAsia" w:ascii="宋体" w:hAnsi="宋体"/>
                <w:bCs/>
                <w:color w:val="auto"/>
                <w:sz w:val="24"/>
                <w:highlight w:val="none"/>
                <w:lang w:val="en-US" w:eastAsia="zh-CN"/>
              </w:rPr>
              <w:t>王宗辉</w:t>
            </w:r>
          </w:p>
        </w:tc>
        <w:tc>
          <w:tcPr>
            <w:tcW w:w="212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4"/>
                <w:highlight w:val="none"/>
              </w:rPr>
            </w:pPr>
            <w:r>
              <w:rPr>
                <w:rFonts w:hint="default" w:ascii="宋体" w:hAnsi="宋体"/>
                <w:color w:val="auto"/>
                <w:sz w:val="24"/>
                <w:highlight w:val="none"/>
              </w:rPr>
              <w:t>联系方式</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13262126788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建设单位法人</w:t>
            </w:r>
          </w:p>
        </w:tc>
        <w:tc>
          <w:tcPr>
            <w:tcW w:w="26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Cs/>
                <w:color w:val="auto"/>
                <w:sz w:val="24"/>
                <w:highlight w:val="none"/>
                <w:lang w:val="en-US"/>
              </w:rPr>
            </w:pPr>
            <w:r>
              <w:rPr>
                <w:rFonts w:hint="eastAsia" w:ascii="宋体" w:hAnsi="宋体"/>
                <w:bCs/>
                <w:color w:val="auto"/>
                <w:sz w:val="24"/>
                <w:highlight w:val="none"/>
                <w:lang w:val="en-US" w:eastAsia="zh-CN"/>
              </w:rPr>
              <w:t>王宗辉</w:t>
            </w:r>
            <w:r>
              <w:rPr>
                <w:rFonts w:hint="eastAsia" w:cs="Times New Roman"/>
                <w:bCs/>
                <w:color w:val="auto"/>
                <w:sz w:val="24"/>
                <w:highlight w:val="none"/>
                <w:lang w:val="en-US" w:eastAsia="zh-CN"/>
              </w:rPr>
              <w:t>410721199011113033</w:t>
            </w:r>
          </w:p>
        </w:tc>
        <w:tc>
          <w:tcPr>
            <w:tcW w:w="212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4"/>
                <w:highlight w:val="none"/>
              </w:rPr>
            </w:pPr>
            <w:r>
              <w:rPr>
                <w:rFonts w:hint="default" w:ascii="宋体" w:hAnsi="宋体"/>
                <w:color w:val="auto"/>
                <w:sz w:val="24"/>
                <w:highlight w:val="none"/>
              </w:rPr>
              <w:t>统一社会信用代码</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4"/>
                <w:highlight w:val="none"/>
                <w:lang w:val="en-US" w:eastAsia="zh-CN"/>
              </w:rPr>
            </w:pPr>
            <w:r>
              <w:rPr>
                <w:rFonts w:hint="eastAsia" w:cs="Times New Roman"/>
                <w:color w:val="auto"/>
                <w:sz w:val="24"/>
                <w:szCs w:val="24"/>
                <w:highlight w:val="none"/>
                <w:lang w:val="en-US" w:eastAsia="zh-CN"/>
              </w:rPr>
              <w:t>91410721MA477TP157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eastAsia" w:hAnsi="宋体"/>
                <w:color w:val="000000"/>
                <w:sz w:val="24"/>
              </w:rPr>
              <w:t>建设单位</w:t>
            </w:r>
          </w:p>
        </w:tc>
        <w:tc>
          <w:tcPr>
            <w:tcW w:w="7796"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olor w:val="000000"/>
                <w:sz w:val="24"/>
                <w:lang w:val="en-US" w:eastAsia="zh-CN"/>
              </w:rPr>
            </w:pPr>
            <w:r>
              <w:rPr>
                <w:rFonts w:hint="eastAsia" w:ascii="宋体" w:hAnsi="宋体"/>
                <w:color w:val="000000"/>
                <w:sz w:val="24"/>
                <w:lang w:val="en-US" w:eastAsia="zh-CN"/>
              </w:rPr>
              <w:t>新乡市凯盛新材料科技有限公司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建设地点</w:t>
            </w:r>
          </w:p>
        </w:tc>
        <w:tc>
          <w:tcPr>
            <w:tcW w:w="7796"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sz w:val="24"/>
                <w:lang w:val="en-US" w:eastAsia="zh-CN"/>
              </w:rPr>
            </w:pPr>
            <w:r>
              <w:rPr>
                <w:rFonts w:hint="eastAsia" w:ascii="宋体" w:hAnsi="宋体" w:cs="宋体"/>
                <w:sz w:val="24"/>
                <w:szCs w:val="24"/>
                <w:lang w:val="en-US" w:eastAsia="zh-CN"/>
              </w:rPr>
              <w:t>河南省新乡市新乡县七里营镇工业园区阳光路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地理坐标</w:t>
            </w:r>
          </w:p>
        </w:tc>
        <w:tc>
          <w:tcPr>
            <w:tcW w:w="7796" w:type="dxa"/>
            <w:gridSpan w:val="4"/>
            <w:noWrap w:val="0"/>
            <w:vAlign w:val="center"/>
          </w:tcPr>
          <w:p>
            <w:pPr>
              <w:keepNext w:val="0"/>
              <w:keepLines w:val="0"/>
              <w:suppressLineNumbers w:val="0"/>
              <w:spacing w:before="0" w:beforeAutospacing="0" w:after="0" w:afterAutospacing="0"/>
              <w:ind w:left="0" w:right="0"/>
              <w:jc w:val="center"/>
              <w:rPr>
                <w:rFonts w:hint="default" w:ascii="宋体" w:hAnsi="宋体"/>
                <w:sz w:val="24"/>
              </w:rPr>
            </w:pPr>
            <w:r>
              <w:rPr>
                <w:rFonts w:hint="default" w:ascii="Times New Roman" w:hAnsi="Times New Roman" w:cs="Times New Roman"/>
                <w:color w:val="auto"/>
                <w:sz w:val="24"/>
              </w:rPr>
              <w:t>（</w:t>
            </w:r>
            <w:r>
              <w:rPr>
                <w:rFonts w:hint="eastAsia" w:ascii="Times New Roman" w:hAnsi="Times New Roman" w:cs="Times New Roman"/>
                <w:color w:val="auto"/>
                <w:sz w:val="24"/>
                <w:u w:val="single"/>
                <w:lang w:val="en-US" w:eastAsia="zh-CN"/>
              </w:rPr>
              <w:t>113</w:t>
            </w:r>
            <w:r>
              <w:rPr>
                <w:rFonts w:hint="default" w:ascii="Times New Roman" w:hAnsi="Times New Roman" w:cs="Times New Roman"/>
                <w:color w:val="auto"/>
                <w:sz w:val="24"/>
              </w:rPr>
              <w:t>度</w:t>
            </w:r>
            <w:r>
              <w:rPr>
                <w:rFonts w:hint="default" w:ascii="Times New Roman" w:hAnsi="Times New Roman" w:cs="Times New Roman"/>
                <w:color w:val="auto"/>
                <w:sz w:val="24"/>
                <w:u w:val="single"/>
              </w:rPr>
              <w:t>4</w:t>
            </w:r>
            <w:r>
              <w:rPr>
                <w:rFonts w:hint="eastAsia" w:ascii="Times New Roman" w:hAnsi="Times New Roman" w:cs="Times New Roman"/>
                <w:color w:val="auto"/>
                <w:sz w:val="24"/>
                <w:u w:val="single"/>
                <w:lang w:val="en-US" w:eastAsia="zh-CN"/>
              </w:rPr>
              <w:t>7</w:t>
            </w:r>
            <w:r>
              <w:rPr>
                <w:rFonts w:hint="default" w:ascii="Times New Roman" w:hAnsi="Times New Roman" w:cs="Times New Roman"/>
                <w:color w:val="auto"/>
                <w:sz w:val="24"/>
              </w:rPr>
              <w:t>分</w:t>
            </w:r>
            <w:r>
              <w:rPr>
                <w:rFonts w:hint="eastAsia" w:ascii="Times New Roman" w:hAnsi="Times New Roman" w:cs="Times New Roman"/>
                <w:color w:val="auto"/>
                <w:sz w:val="24"/>
                <w:u w:val="single"/>
                <w:lang w:val="en-US" w:eastAsia="zh-CN"/>
              </w:rPr>
              <w:t>38.630</w:t>
            </w:r>
            <w:r>
              <w:rPr>
                <w:rFonts w:hint="default" w:ascii="Times New Roman" w:hAnsi="Times New Roman" w:cs="Times New Roman"/>
                <w:color w:val="auto"/>
                <w:sz w:val="24"/>
              </w:rPr>
              <w:t>秒，</w:t>
            </w:r>
            <w:r>
              <w:rPr>
                <w:rFonts w:hint="default" w:ascii="Times New Roman" w:hAnsi="Times New Roman" w:cs="Times New Roman"/>
                <w:color w:val="auto"/>
                <w:sz w:val="24"/>
                <w:u w:val="single"/>
              </w:rPr>
              <w:t>35</w:t>
            </w:r>
            <w:r>
              <w:rPr>
                <w:rFonts w:hint="default" w:ascii="Times New Roman" w:hAnsi="Times New Roman" w:cs="Times New Roman"/>
                <w:color w:val="auto"/>
                <w:sz w:val="24"/>
              </w:rPr>
              <w:t>度</w:t>
            </w:r>
            <w:r>
              <w:rPr>
                <w:rFonts w:hint="eastAsia" w:cs="Times New Roman"/>
                <w:color w:val="auto"/>
                <w:sz w:val="24"/>
                <w:u w:val="single"/>
                <w:lang w:val="en-US" w:eastAsia="zh-CN"/>
              </w:rPr>
              <w:t>8</w:t>
            </w:r>
            <w:r>
              <w:rPr>
                <w:rFonts w:hint="default" w:ascii="Times New Roman" w:hAnsi="Times New Roman" w:cs="Times New Roman"/>
                <w:color w:val="auto"/>
                <w:sz w:val="24"/>
              </w:rPr>
              <w:t>分</w:t>
            </w:r>
            <w:r>
              <w:rPr>
                <w:rFonts w:hint="eastAsia" w:cs="Times New Roman"/>
                <w:color w:val="auto"/>
                <w:sz w:val="24"/>
                <w:u w:val="single"/>
                <w:lang w:val="en-US" w:eastAsia="zh-CN"/>
              </w:rPr>
              <w:t>31.999</w:t>
            </w:r>
            <w:r>
              <w:rPr>
                <w:rFonts w:hint="default" w:ascii="Times New Roman" w:hAnsi="Times New Roman"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561"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国民经济</w:t>
            </w:r>
          </w:p>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行业类别</w:t>
            </w:r>
          </w:p>
        </w:tc>
        <w:tc>
          <w:tcPr>
            <w:tcW w:w="2693" w:type="dxa"/>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宋体" w:hAnsi="宋体"/>
                <w:color w:val="FF0000"/>
                <w:sz w:val="24"/>
                <w:lang w:val="en-US"/>
              </w:rPr>
            </w:pPr>
            <w:r>
              <w:rPr>
                <w:rFonts w:hint="default" w:ascii="Times New Roman" w:hAnsi="Times New Roman" w:cs="Times New Roman"/>
                <w:sz w:val="24"/>
              </w:rPr>
              <w:t>C</w:t>
            </w:r>
            <w:r>
              <w:rPr>
                <w:rFonts w:hint="eastAsia" w:ascii="Times New Roman" w:hAnsi="Times New Roman" w:cs="Times New Roman"/>
                <w:sz w:val="24"/>
                <w:lang w:val="en-US" w:eastAsia="zh-CN"/>
              </w:rPr>
              <w:t>2929</w:t>
            </w:r>
            <w:r>
              <w:rPr>
                <w:rFonts w:hint="eastAsia" w:cs="Times New Roman"/>
                <w:sz w:val="24"/>
                <w:lang w:val="en-US" w:eastAsia="zh-CN"/>
              </w:rPr>
              <w:t>塑料零件及其他塑料制品制造</w:t>
            </w:r>
          </w:p>
        </w:tc>
        <w:tc>
          <w:tcPr>
            <w:tcW w:w="212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bookmarkStart w:id="0" w:name="_Hlk49843745"/>
            <w:r>
              <w:rPr>
                <w:rFonts w:hint="default" w:ascii="宋体" w:hAnsi="宋体"/>
                <w:sz w:val="24"/>
              </w:rPr>
              <w:t>建设项目</w:t>
            </w:r>
          </w:p>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行业类别</w:t>
            </w:r>
            <w:bookmarkEnd w:id="0"/>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rPr>
                <w:rFonts w:hint="default" w:ascii="宋体" w:hAnsi="宋体"/>
                <w:sz w:val="24"/>
                <w:lang w:val="en-US"/>
              </w:rPr>
            </w:pPr>
            <w:r>
              <w:rPr>
                <w:rFonts w:hint="eastAsia" w:ascii="宋体" w:hAnsi="宋体"/>
                <w:sz w:val="24"/>
                <w:lang w:val="en-US" w:eastAsia="zh-CN"/>
              </w:rPr>
              <w:t>二十六</w:t>
            </w:r>
            <w:r>
              <w:rPr>
                <w:rFonts w:hint="eastAsia" w:ascii="宋体" w:hAnsi="宋体"/>
                <w:sz w:val="24"/>
              </w:rPr>
              <w:t>、</w:t>
            </w:r>
            <w:r>
              <w:rPr>
                <w:rFonts w:hint="eastAsia" w:ascii="宋体" w:hAnsi="宋体"/>
                <w:sz w:val="24"/>
                <w:lang w:val="en-US" w:eastAsia="zh-CN"/>
              </w:rPr>
              <w:t>橡胶和塑料制品业</w:t>
            </w:r>
            <w:r>
              <w:rPr>
                <w:rFonts w:hint="eastAsia" w:ascii="宋体" w:hAnsi="宋体"/>
                <w:sz w:val="24"/>
              </w:rPr>
              <w:t>，</w:t>
            </w:r>
            <w:r>
              <w:rPr>
                <w:rFonts w:hint="eastAsia" w:ascii="Times New Roman" w:hAnsi="Times New Roman" w:cs="Times New Roman"/>
                <w:sz w:val="24"/>
                <w:lang w:val="en-US" w:eastAsia="zh-CN"/>
              </w:rPr>
              <w:t>53塑料制品业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1219"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hAnsi="宋体"/>
                <w:sz w:val="24"/>
              </w:rPr>
              <w:t>建设性质</w:t>
            </w:r>
          </w:p>
        </w:tc>
        <w:tc>
          <w:tcPr>
            <w:tcW w:w="2693" w:type="dxa"/>
            <w:noWrap w:val="0"/>
            <w:vAlign w:val="center"/>
          </w:tcPr>
          <w:p>
            <w:pPr>
              <w:keepNext w:val="0"/>
              <w:keepLines w:val="0"/>
              <w:suppressLineNumbers w:val="0"/>
              <w:spacing w:before="0" w:beforeAutospacing="0" w:after="0" w:afterAutospacing="0"/>
              <w:ind w:left="0" w:right="0"/>
              <w:jc w:val="left"/>
              <w:rPr>
                <w:rFonts w:hint="default" w:ascii="宋体" w:hAnsi="宋体"/>
                <w:sz w:val="24"/>
              </w:rPr>
            </w:pPr>
            <w:r>
              <w:rPr>
                <w:rFonts w:hint="eastAsia" w:ascii="宋体" w:hAnsi="宋体"/>
                <w:sz w:val="24"/>
                <w:lang w:eastAsia="zh-CN"/>
              </w:rPr>
              <w:t>☑</w:t>
            </w:r>
            <w:r>
              <w:rPr>
                <w:rFonts w:hint="default" w:ascii="宋体" w:hAnsi="宋体"/>
                <w:sz w:val="24"/>
              </w:rPr>
              <w:t>新建（迁建）</w:t>
            </w:r>
          </w:p>
          <w:p>
            <w:pPr>
              <w:keepNext w:val="0"/>
              <w:keepLines w:val="0"/>
              <w:suppressLineNumbers w:val="0"/>
              <w:spacing w:before="0" w:beforeAutospacing="0" w:after="0" w:afterAutospacing="0"/>
              <w:ind w:left="0" w:right="0"/>
              <w:jc w:val="left"/>
              <w:rPr>
                <w:rFonts w:hint="default" w:ascii="宋体" w:hAnsi="宋体"/>
                <w:sz w:val="24"/>
              </w:rPr>
            </w:pPr>
            <w:r>
              <w:rPr>
                <w:rFonts w:hint="eastAsia" w:ascii="宋体" w:hAnsi="宋体"/>
                <w:sz w:val="24"/>
                <w:lang w:eastAsia="zh-CN"/>
              </w:rPr>
              <w:t>□</w:t>
            </w:r>
            <w:r>
              <w:rPr>
                <w:rFonts w:hint="default" w:ascii="宋体" w:hAnsi="宋体"/>
                <w:sz w:val="24"/>
              </w:rPr>
              <w:t>改建</w:t>
            </w:r>
          </w:p>
          <w:p>
            <w:pPr>
              <w:keepNext w:val="0"/>
              <w:keepLines w:val="0"/>
              <w:suppressLineNumbers w:val="0"/>
              <w:spacing w:before="0" w:beforeAutospacing="0" w:after="0" w:afterAutospacing="0"/>
              <w:ind w:left="0" w:right="0"/>
              <w:jc w:val="left"/>
              <w:rPr>
                <w:rFonts w:hint="default" w:ascii="宋体" w:hAnsi="宋体"/>
                <w:sz w:val="24"/>
              </w:rPr>
            </w:pPr>
            <w:r>
              <w:rPr>
                <w:rFonts w:hint="default" w:ascii="宋体" w:hAnsi="宋体"/>
                <w:sz w:val="24"/>
              </w:rPr>
              <w:t>□扩建</w:t>
            </w:r>
          </w:p>
          <w:p>
            <w:pPr>
              <w:keepNext w:val="0"/>
              <w:keepLines w:val="0"/>
              <w:suppressLineNumbers w:val="0"/>
              <w:spacing w:before="0" w:beforeAutospacing="0" w:after="0" w:afterAutospacing="0"/>
              <w:ind w:left="0" w:right="0"/>
              <w:jc w:val="left"/>
              <w:rPr>
                <w:rFonts w:hint="default"/>
                <w:sz w:val="24"/>
              </w:rPr>
            </w:pPr>
            <w:r>
              <w:rPr>
                <w:rFonts w:hint="default" w:ascii="宋体" w:hAnsi="宋体"/>
                <w:sz w:val="24"/>
              </w:rPr>
              <w:t>□技术改造</w:t>
            </w:r>
          </w:p>
        </w:tc>
        <w:tc>
          <w:tcPr>
            <w:tcW w:w="212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hAnsi="宋体"/>
                <w:sz w:val="24"/>
              </w:rPr>
              <w:t>建设项目</w:t>
            </w:r>
          </w:p>
          <w:p>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hAnsi="宋体"/>
                <w:sz w:val="24"/>
              </w:rPr>
              <w:t>申报情形</w:t>
            </w:r>
          </w:p>
        </w:tc>
        <w:tc>
          <w:tcPr>
            <w:tcW w:w="2983" w:type="dxa"/>
            <w:gridSpan w:val="2"/>
            <w:noWrap w:val="0"/>
            <w:vAlign w:val="center"/>
          </w:tcPr>
          <w:p>
            <w:pPr>
              <w:keepNext w:val="0"/>
              <w:keepLines w:val="0"/>
              <w:suppressLineNumbers w:val="0"/>
              <w:spacing w:before="0" w:beforeAutospacing="0" w:after="0" w:afterAutospacing="0"/>
              <w:ind w:left="0" w:right="0"/>
              <w:jc w:val="left"/>
              <w:rPr>
                <w:rFonts w:hint="default"/>
                <w:sz w:val="24"/>
              </w:rPr>
            </w:pPr>
            <w:r>
              <w:rPr>
                <w:rFonts w:hint="eastAsia" w:ascii="宋体" w:hAnsi="宋体"/>
                <w:sz w:val="24"/>
                <w:lang w:eastAsia="zh-CN"/>
              </w:rPr>
              <w:t>☑</w:t>
            </w:r>
            <w:r>
              <w:rPr>
                <w:rFonts w:hint="default" w:hAnsi="宋体"/>
                <w:sz w:val="24"/>
              </w:rPr>
              <w:t>首次申报项目</w:t>
            </w:r>
            <w:r>
              <w:rPr>
                <w:rFonts w:hint="default"/>
                <w:sz w:val="24"/>
              </w:rPr>
              <w:t xml:space="preserve">             </w:t>
            </w:r>
          </w:p>
          <w:p>
            <w:pPr>
              <w:keepNext w:val="0"/>
              <w:keepLines w:val="0"/>
              <w:suppressLineNumbers w:val="0"/>
              <w:spacing w:before="0" w:beforeAutospacing="0" w:after="0" w:afterAutospacing="0"/>
              <w:ind w:left="0" w:right="0"/>
              <w:jc w:val="left"/>
              <w:rPr>
                <w:rFonts w:hint="default" w:ascii="宋体" w:hAnsi="宋体"/>
                <w:sz w:val="24"/>
              </w:rPr>
            </w:pPr>
            <w:r>
              <w:rPr>
                <w:rFonts w:hint="default" w:ascii="宋体" w:hAnsi="宋体"/>
                <w:sz w:val="24"/>
              </w:rPr>
              <w:t>□不予批准后再次申报项目</w:t>
            </w:r>
          </w:p>
          <w:p>
            <w:pPr>
              <w:keepNext w:val="0"/>
              <w:keepLines w:val="0"/>
              <w:suppressLineNumbers w:val="0"/>
              <w:spacing w:before="0" w:beforeAutospacing="0" w:after="0" w:afterAutospacing="0"/>
              <w:ind w:left="0" w:right="0"/>
              <w:jc w:val="left"/>
              <w:rPr>
                <w:rFonts w:hint="default" w:ascii="宋体" w:hAnsi="宋体"/>
                <w:sz w:val="24"/>
              </w:rPr>
            </w:pPr>
            <w:r>
              <w:rPr>
                <w:rFonts w:hint="default" w:ascii="宋体" w:hAnsi="宋体"/>
                <w:sz w:val="24"/>
              </w:rPr>
              <w:t xml:space="preserve">□超五年重新审核项目     </w:t>
            </w:r>
          </w:p>
          <w:p>
            <w:pPr>
              <w:keepNext w:val="0"/>
              <w:keepLines w:val="0"/>
              <w:suppressLineNumbers w:val="0"/>
              <w:spacing w:before="0" w:beforeAutospacing="0" w:after="0" w:afterAutospacing="0"/>
              <w:ind w:left="0" w:right="0"/>
              <w:jc w:val="left"/>
              <w:rPr>
                <w:rFonts w:hint="default"/>
                <w:sz w:val="24"/>
              </w:rPr>
            </w:pPr>
            <w:r>
              <w:rPr>
                <w:rFonts w:hint="default" w:ascii="宋体" w:hAnsi="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851"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备案）部门（选填）</w:t>
            </w:r>
          </w:p>
        </w:tc>
        <w:tc>
          <w:tcPr>
            <w:tcW w:w="269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sz w:val="24"/>
              </w:rPr>
            </w:pPr>
            <w:r>
              <w:rPr>
                <w:rFonts w:hint="eastAsia" w:ascii="宋体" w:hAnsi="宋体"/>
                <w:sz w:val="24"/>
                <w:lang w:val="en-US" w:eastAsia="zh-CN"/>
              </w:rPr>
              <w:t>新乡县</w:t>
            </w:r>
            <w:r>
              <w:rPr>
                <w:rFonts w:hint="eastAsia" w:ascii="宋体" w:hAnsi="宋体"/>
                <w:sz w:val="24"/>
              </w:rPr>
              <w:t>发展和改革委员会</w:t>
            </w:r>
          </w:p>
        </w:tc>
        <w:tc>
          <w:tcPr>
            <w:tcW w:w="212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项目审批（核准/</w:t>
            </w:r>
          </w:p>
          <w:p>
            <w:pPr>
              <w:keepNext w:val="0"/>
              <w:keepLines w:val="0"/>
              <w:suppressLineNumbers w:val="0"/>
              <w:adjustRightInd w:val="0"/>
              <w:snapToGrid w:val="0"/>
              <w:spacing w:before="0" w:beforeAutospacing="0" w:after="0" w:afterAutospacing="0"/>
              <w:ind w:left="0" w:right="0"/>
              <w:jc w:val="center"/>
              <w:rPr>
                <w:rFonts w:hint="default" w:ascii="宋体" w:hAnsi="宋体"/>
                <w:sz w:val="24"/>
              </w:rPr>
            </w:pPr>
            <w:r>
              <w:rPr>
                <w:rFonts w:hint="default" w:ascii="宋体" w:hAnsi="宋体"/>
                <w:sz w:val="24"/>
              </w:rPr>
              <w:t>备案）文号（选填）</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4"/>
              </w:rPr>
            </w:pPr>
            <w:r>
              <w:rPr>
                <w:rFonts w:hint="default" w:ascii="宋体" w:hAnsi="宋体"/>
                <w:color w:val="000000"/>
                <w:sz w:val="24"/>
              </w:rPr>
              <w:t>总投资（万元）</w:t>
            </w:r>
          </w:p>
        </w:tc>
        <w:tc>
          <w:tcPr>
            <w:tcW w:w="26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sz w:val="24"/>
                <w:lang w:val="en-US" w:eastAsia="zh-CN"/>
              </w:rPr>
              <w:t>1000</w:t>
            </w:r>
          </w:p>
        </w:tc>
        <w:tc>
          <w:tcPr>
            <w:tcW w:w="212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rPr>
            </w:pPr>
            <w:r>
              <w:rPr>
                <w:rFonts w:hint="default" w:ascii="Times New Roman" w:hAnsi="Times New Roman" w:cs="Times New Roman"/>
                <w:color w:val="000000"/>
                <w:sz w:val="24"/>
              </w:rPr>
              <w:t>环保投资（万元）</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4"/>
              </w:rPr>
            </w:pPr>
            <w:r>
              <w:rPr>
                <w:rFonts w:hint="default" w:ascii="宋体" w:hAnsi="宋体"/>
                <w:color w:val="000000"/>
                <w:sz w:val="24"/>
              </w:rPr>
              <w:t>环保投资占比（%）</w:t>
            </w:r>
          </w:p>
        </w:tc>
        <w:tc>
          <w:tcPr>
            <w:tcW w:w="2693"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z w:val="24"/>
              </w:rPr>
            </w:pPr>
            <w:r>
              <w:rPr>
                <w:rFonts w:hint="default" w:ascii="Times New Roman" w:hAnsi="Times New Roman" w:cs="Times New Roman"/>
                <w:sz w:val="24"/>
              </w:rPr>
              <w:t>3</w:t>
            </w:r>
          </w:p>
        </w:tc>
        <w:tc>
          <w:tcPr>
            <w:tcW w:w="212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rPr>
            </w:pPr>
            <w:r>
              <w:rPr>
                <w:rFonts w:hint="default" w:ascii="Times New Roman" w:hAnsi="Times New Roman" w:cs="Times New Roman"/>
                <w:color w:val="000000"/>
                <w:sz w:val="24"/>
              </w:rPr>
              <w:t>施工工期</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rPr>
            </w:pPr>
            <w:r>
              <w:rPr>
                <w:rFonts w:hint="default" w:ascii="Times New Roman" w:hAnsi="Times New Roman" w:cs="Times New Roman"/>
                <w:color w:val="000000"/>
                <w:sz w:val="24"/>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Before w:val="1"/>
          <w:wBefore w:w="92" w:type="dxa"/>
          <w:trHeight w:val="497" w:hRule="atLeast"/>
          <w:jc w:val="center"/>
        </w:trPr>
        <w:tc>
          <w:tcPr>
            <w:tcW w:w="1958" w:type="dxa"/>
            <w:gridSpan w:val="2"/>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hAnsi="宋体"/>
                <w:sz w:val="24"/>
              </w:rPr>
              <w:t>是否开工建设</w:t>
            </w:r>
          </w:p>
        </w:tc>
        <w:tc>
          <w:tcPr>
            <w:tcW w:w="2693"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sz w:val="24"/>
              </w:rPr>
            </w:pPr>
            <w:r>
              <w:rPr>
                <w:rFonts w:hint="eastAsia" w:ascii="Times New Roman" w:hAnsi="Times New Roman" w:cs="Times New Roman"/>
                <w:sz w:val="24"/>
                <w:lang w:eastAsia="zh-CN"/>
              </w:rPr>
              <w:t>□</w:t>
            </w:r>
            <w:r>
              <w:rPr>
                <w:rFonts w:hint="default" w:ascii="Times New Roman" w:hAnsi="Times New Roman" w:cs="Times New Roman"/>
                <w:sz w:val="24"/>
              </w:rPr>
              <w:t>是：</w:t>
            </w:r>
            <w:r>
              <w:rPr>
                <w:rFonts w:hint="default" w:ascii="Times New Roman" w:hAnsi="Times New Roman" w:cs="Times New Roman"/>
                <w:sz w:val="24"/>
                <w:u w:val="single"/>
              </w:rPr>
              <w:t xml:space="preserve">             </w:t>
            </w:r>
          </w:p>
        </w:tc>
        <w:tc>
          <w:tcPr>
            <w:tcW w:w="2120"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spacing w:val="-6"/>
                <w:sz w:val="24"/>
              </w:rPr>
            </w:pPr>
            <w:r>
              <w:rPr>
                <w:rFonts w:hint="default" w:ascii="Times New Roman" w:hAnsi="Times New Roman" w:cs="Times New Roman"/>
                <w:spacing w:val="-6"/>
                <w:sz w:val="24"/>
              </w:rPr>
              <w:t>用地面积（m</w:t>
            </w:r>
            <w:r>
              <w:rPr>
                <w:rFonts w:hint="default" w:ascii="Times New Roman" w:hAnsi="Times New Roman" w:cs="Times New Roman"/>
                <w:spacing w:val="-6"/>
                <w:sz w:val="24"/>
                <w:vertAlign w:val="superscript"/>
              </w:rPr>
              <w:t>2</w:t>
            </w:r>
            <w:r>
              <w:rPr>
                <w:rFonts w:hint="default" w:ascii="Times New Roman" w:hAnsi="Times New Roman" w:cs="Times New Roman"/>
                <w:spacing w:val="-6"/>
                <w:sz w:val="24"/>
              </w:rPr>
              <w:t>）</w:t>
            </w:r>
          </w:p>
        </w:tc>
        <w:tc>
          <w:tcPr>
            <w:tcW w:w="2983"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lang w:val="en-US" w:eastAsia="zh-CN"/>
              </w:rPr>
            </w:pPr>
            <w:r>
              <w:rPr>
                <w:rFonts w:hint="eastAsia" w:cs="Times New Roman"/>
                <w:color w:val="000000" w:themeColor="text1"/>
                <w:sz w:val="24"/>
                <w:lang w:val="en-US" w:eastAsia="zh-CN"/>
                <w14:textFill>
                  <w14:solidFill>
                    <w14:schemeClr w14:val="tx1"/>
                  </w14:solidFill>
                </w14:textFill>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795" w:hRule="atLeast"/>
          <w:jc w:val="center"/>
        </w:trPr>
        <w:tc>
          <w:tcPr>
            <w:tcW w:w="1958"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 w:val="24"/>
              </w:rPr>
            </w:pPr>
            <w:r>
              <w:rPr>
                <w:rFonts w:hint="default" w:hAnsi="宋体"/>
                <w:kern w:val="0"/>
                <w:sz w:val="24"/>
              </w:rPr>
              <w:t>专项评价设置情况</w:t>
            </w:r>
          </w:p>
        </w:tc>
        <w:tc>
          <w:tcPr>
            <w:tcW w:w="7796" w:type="dxa"/>
            <w:gridSpan w:val="4"/>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 w:val="24"/>
              </w:rPr>
            </w:pPr>
            <w:r>
              <w:rPr>
                <w:rFonts w:hint="eastAsia"/>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1680" w:hRule="atLeast"/>
          <w:jc w:val="center"/>
        </w:trPr>
        <w:tc>
          <w:tcPr>
            <w:tcW w:w="1958" w:type="dxa"/>
            <w:gridSpan w:val="2"/>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kern w:val="0"/>
                <w:sz w:val="24"/>
              </w:rPr>
            </w:pPr>
            <w:r>
              <w:rPr>
                <w:rFonts w:hint="default" w:hAnsi="宋体"/>
                <w:sz w:val="24"/>
              </w:rPr>
              <w:t>规划情况</w:t>
            </w:r>
          </w:p>
        </w:tc>
        <w:tc>
          <w:tcPr>
            <w:tcW w:w="7796" w:type="dxa"/>
            <w:gridSpan w:val="4"/>
            <w:noWrap w:val="0"/>
            <w:vAlign w:val="center"/>
          </w:tcPr>
          <w:p>
            <w:pPr>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规划名称：</w:t>
            </w:r>
            <w:r>
              <w:rPr>
                <w:rFonts w:hint="eastAsia" w:ascii="Times New Roman" w:hAnsi="Times New Roman" w:eastAsia="宋体" w:cs="Times New Roman"/>
                <w:sz w:val="24"/>
                <w:szCs w:val="24"/>
                <w:lang w:val="en-US" w:eastAsia="zh-CN"/>
              </w:rPr>
              <w:t>新乡经济技术产业集聚区总体规划</w:t>
            </w:r>
            <w:r>
              <w:rPr>
                <w:rFonts w:hint="default" w:ascii="Times New Roman" w:hAnsi="Times New Roman" w:eastAsia="宋体" w:cs="Times New Roman"/>
                <w:sz w:val="24"/>
                <w:szCs w:val="24"/>
              </w:rPr>
              <w:t>（20</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2025</w:t>
            </w:r>
            <w:r>
              <w:rPr>
                <w:rFonts w:hint="eastAsia" w:cs="Times New Roman"/>
                <w:sz w:val="24"/>
                <w:szCs w:val="24"/>
                <w:lang w:eastAsia="zh-CN"/>
              </w:rPr>
              <w:t>）</w:t>
            </w:r>
            <w:r>
              <w:rPr>
                <w:rFonts w:hint="default" w:ascii="Times New Roman" w:hAnsi="Times New Roman" w:eastAsia="宋体" w:cs="Times New Roman"/>
                <w:sz w:val="24"/>
                <w:szCs w:val="24"/>
                <w:lang w:eastAsia="zh-CN"/>
              </w:rPr>
              <w:t>；</w:t>
            </w:r>
          </w:p>
          <w:p>
            <w:pPr>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（2）审批机关：</w:t>
            </w:r>
            <w:r>
              <w:rPr>
                <w:rFonts w:hint="eastAsia" w:ascii="Times New Roman" w:hAnsi="Times New Roman" w:eastAsia="宋体" w:cs="Times New Roman"/>
                <w:sz w:val="24"/>
                <w:szCs w:val="24"/>
                <w:lang w:val="en-US" w:eastAsia="zh-CN"/>
              </w:rPr>
              <w:t>河南省发展和改革委员会</w:t>
            </w:r>
          </w:p>
          <w:p>
            <w:pPr>
              <w:keepNext w:val="0"/>
              <w:keepLines w:val="0"/>
              <w:suppressLineNumbers w:val="0"/>
              <w:bidi w:val="0"/>
              <w:spacing w:before="0" w:beforeAutospacing="0" w:after="0" w:afterAutospacing="0" w:line="240" w:lineRule="auto"/>
              <w:ind w:left="0" w:right="0"/>
              <w:rPr>
                <w:rFonts w:hint="default"/>
                <w:lang w:val="en-US" w:eastAsia="zh-CN"/>
              </w:rPr>
            </w:pPr>
            <w:r>
              <w:rPr>
                <w:rFonts w:hint="default" w:ascii="Times New Roman" w:hAnsi="Times New Roman" w:eastAsia="宋体" w:cs="Times New Roman"/>
                <w:sz w:val="24"/>
                <w:szCs w:val="24"/>
                <w:lang w:val="en-US" w:eastAsia="zh-CN"/>
              </w:rPr>
              <w:t>（3）审批审批文件名称及文号：《</w:t>
            </w:r>
            <w:r>
              <w:rPr>
                <w:rFonts w:hint="eastAsia" w:ascii="Times New Roman" w:hAnsi="Times New Roman" w:eastAsia="宋体" w:cs="Times New Roman"/>
                <w:sz w:val="24"/>
                <w:szCs w:val="24"/>
                <w:lang w:val="en-US" w:eastAsia="zh-CN"/>
              </w:rPr>
              <w:t>关于新乡经济技术产业集聚区总体发展规划（2017-2025）的批复</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豫发改工业</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1090</w:t>
            </w:r>
            <w:r>
              <w:rPr>
                <w:rFonts w:hint="default" w:ascii="Times New Roman" w:hAnsi="Times New Roman" w:eastAsia="宋体" w:cs="Times New Roman"/>
                <w:sz w:val="24"/>
                <w:szCs w:val="24"/>
                <w:lang w:val="en-US"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92" w:type="dxa"/>
          <w:trHeight w:val="2393" w:hRule="atLeast"/>
          <w:jc w:val="center"/>
        </w:trPr>
        <w:tc>
          <w:tcPr>
            <w:tcW w:w="1958"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4"/>
              </w:rPr>
            </w:pPr>
            <w:r>
              <w:rPr>
                <w:rFonts w:hint="default" w:hAnsi="宋体"/>
                <w:sz w:val="24"/>
              </w:rPr>
              <w:t>规划环境影响</w:t>
            </w:r>
          </w:p>
          <w:p>
            <w:pPr>
              <w:keepNext w:val="0"/>
              <w:keepLines w:val="0"/>
              <w:suppressLineNumbers w:val="0"/>
              <w:adjustRightInd w:val="0"/>
              <w:snapToGrid w:val="0"/>
              <w:spacing w:before="0" w:beforeAutospacing="0" w:after="0" w:afterAutospacing="0"/>
              <w:ind w:left="0" w:right="0"/>
              <w:jc w:val="center"/>
              <w:rPr>
                <w:rFonts w:hint="default"/>
                <w:kern w:val="0"/>
                <w:sz w:val="24"/>
              </w:rPr>
            </w:pPr>
            <w:r>
              <w:rPr>
                <w:rFonts w:hint="default" w:hAnsi="宋体"/>
                <w:sz w:val="24"/>
              </w:rPr>
              <w:t>评价情况</w:t>
            </w:r>
          </w:p>
        </w:tc>
        <w:tc>
          <w:tcPr>
            <w:tcW w:w="7796" w:type="dxa"/>
            <w:gridSpan w:val="4"/>
            <w:noWrap w:val="0"/>
            <w:vAlign w:val="center"/>
          </w:tcPr>
          <w:p>
            <w:pPr>
              <w:keepNext w:val="0"/>
              <w:keepLines w:val="0"/>
              <w:suppressLineNumbers w:val="0"/>
              <w:bidi w:val="0"/>
              <w:spacing w:before="0" w:beforeAutospacing="0" w:after="0" w:afterAutospacing="0" w:line="240" w:lineRule="auto"/>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（1）规划环境影响评价文件：《</w:t>
            </w:r>
            <w:r>
              <w:rPr>
                <w:rFonts w:hint="eastAsia" w:ascii="Times New Roman" w:hAnsi="Times New Roman" w:eastAsia="宋体" w:cs="Times New Roman"/>
                <w:sz w:val="24"/>
                <w:szCs w:val="24"/>
                <w:lang w:val="en-US" w:eastAsia="zh-CN"/>
              </w:rPr>
              <w:t>新乡经济技术产业集聚区总体发展规划（2017-2025）环境影响报告书</w:t>
            </w:r>
            <w:r>
              <w:rPr>
                <w:rFonts w:hint="default" w:ascii="Times New Roman" w:hAnsi="Times New Roman" w:eastAsia="宋体" w:cs="Times New Roman"/>
                <w:sz w:val="24"/>
                <w:szCs w:val="24"/>
              </w:rPr>
              <w:t>》；</w:t>
            </w:r>
          </w:p>
          <w:p>
            <w:pPr>
              <w:keepNext w:val="0"/>
              <w:keepLines w:val="0"/>
              <w:suppressLineNumbers w:val="0"/>
              <w:bidi w:val="0"/>
              <w:spacing w:before="0" w:beforeAutospacing="0" w:after="0" w:afterAutospacing="0" w:line="240" w:lineRule="auto"/>
              <w:ind w:left="0"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（2）召集审查机关：</w:t>
            </w:r>
            <w:r>
              <w:rPr>
                <w:rFonts w:hint="eastAsia" w:ascii="Times New Roman" w:hAnsi="Times New Roman" w:eastAsia="宋体" w:cs="Times New Roman"/>
                <w:sz w:val="24"/>
                <w:szCs w:val="24"/>
                <w:lang w:val="en-US" w:eastAsia="zh-CN"/>
              </w:rPr>
              <w:t>河南省生态环境厅</w:t>
            </w:r>
            <w:r>
              <w:rPr>
                <w:rFonts w:hint="default" w:ascii="Times New Roman" w:hAnsi="Times New Roman" w:eastAsia="宋体" w:cs="Times New Roman"/>
                <w:sz w:val="24"/>
                <w:szCs w:val="24"/>
              </w:rPr>
              <w:t>；</w:t>
            </w:r>
          </w:p>
          <w:p>
            <w:pPr>
              <w:keepNext w:val="0"/>
              <w:keepLines w:val="0"/>
              <w:suppressLineNumbers w:val="0"/>
              <w:bidi w:val="0"/>
              <w:spacing w:before="0" w:beforeAutospacing="0" w:after="0" w:afterAutospacing="0" w:line="240" w:lineRule="auto"/>
              <w:ind w:left="0" w:right="0"/>
              <w:jc w:val="left"/>
              <w:rPr>
                <w:rFonts w:hint="default"/>
                <w:kern w:val="0"/>
              </w:rPr>
            </w:pPr>
            <w:r>
              <w:rPr>
                <w:rFonts w:hint="default" w:ascii="Times New Roman" w:hAnsi="Times New Roman" w:eastAsia="宋体" w:cs="Times New Roman"/>
                <w:sz w:val="24"/>
                <w:szCs w:val="24"/>
              </w:rPr>
              <w:t>（3）审查文件名称及文号：河南省生态环境厅，《新乡经济技术产业集聚区总体发展规划（2017-2025）环境影响报告书》（豫环函（2018）28号）。河南省生态环境厅关于新乡经济技术产业集聚区总体发展规划（2015-2025）环境影响补充分析报告的审查意见（豫环函（2019）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2" w:type="dxa"/>
          <w:trHeight w:val="13562" w:hRule="atLeast"/>
          <w:jc w:val="center"/>
        </w:trPr>
        <w:tc>
          <w:tcPr>
            <w:tcW w:w="700"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kern w:val="0"/>
                <w:sz w:val="24"/>
              </w:rPr>
            </w:pPr>
            <w:r>
              <w:rPr>
                <w:rFonts w:hint="default" w:hAnsi="宋体"/>
                <w:kern w:val="0"/>
                <w:sz w:val="24"/>
              </w:rPr>
              <w:t>规划及规划环境影响评价符合性分析</w:t>
            </w:r>
          </w:p>
        </w:tc>
        <w:tc>
          <w:tcPr>
            <w:tcW w:w="9054" w:type="dxa"/>
            <w:gridSpan w:val="4"/>
            <w:noWrap w:val="0"/>
            <w:vAlign w:val="top"/>
          </w:tcPr>
          <w:p>
            <w:pPr>
              <w:keepNext w:val="0"/>
              <w:keepLines w:val="0"/>
              <w:suppressLineNumbers w:val="0"/>
              <w:bidi w:val="0"/>
              <w:spacing w:before="0" w:beforeAutospacing="0" w:after="0" w:afterAutospacing="0"/>
              <w:ind w:left="0" w:right="0" w:firstLine="482" w:firstLineChars="200"/>
              <w:rPr>
                <w:rFonts w:hint="default" w:ascii="Times New Roman" w:hAnsi="Times New Roman" w:eastAsia="宋体" w:cs="Times New Roman"/>
                <w:b/>
                <w:bCs/>
                <w:sz w:val="24"/>
                <w:szCs w:val="24"/>
                <w:u w:val="none"/>
              </w:rPr>
            </w:pPr>
            <w:r>
              <w:rPr>
                <w:rFonts w:hint="eastAsia"/>
                <w:b/>
                <w:bCs/>
                <w:lang w:val="en-US" w:eastAsia="zh-CN"/>
              </w:rPr>
              <w:t>1、</w:t>
            </w:r>
            <w:r>
              <w:rPr>
                <w:rFonts w:hint="default" w:ascii="Times New Roman" w:hAnsi="Times New Roman" w:eastAsia="宋体" w:cs="Times New Roman"/>
                <w:b/>
                <w:bCs/>
                <w:sz w:val="24"/>
                <w:szCs w:val="24"/>
                <w:u w:val="none"/>
              </w:rPr>
              <w:t>《新乡经济技术产业集聚区总体发展规划》（2017～2025年）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规划范围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集聚区规划范围分为北、中、南三个区，北区位于新乡县中心城区的东北部，青龙路和新菏铁路之间位置；中区位于七里营镇区南环路南部和二支排的北部位置；南区位于七里营镇府庄村南、胡韦线两侧位置。总规划总面积为19.9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，具体规划范围如下：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北区规划范围——东至文化路，南以青龙路为界，西至消防大队西侧规划路（环城东路），北至新荷铁路南240 m处规划路（化工一路），规划总面积3.71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中区规划范围——东至阳光西路、中央大道、青年路，南至二支排，西至胡韦线、青年路，北至七里营南环路、金融大道，规划总面积13.03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南区规划范围——东至规划经五路，南至胡韦线南段，西至印海西路（规划经一路），北至府庄南路（规划纬二路），规划面积3.16 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w:t>
            </w:r>
            <w:r>
              <w:rPr>
                <w:rFonts w:hint="eastAsia" w:ascii="宋体" w:hAnsi="宋体" w:cs="宋体"/>
                <w:sz w:val="24"/>
                <w:szCs w:val="24"/>
                <w:lang w:val="en-US" w:eastAsia="zh-CN"/>
              </w:rPr>
              <w:t>新乡市新乡县七里营镇工业园区阳光路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eastAsia" w:ascii="Times New Roman" w:hAnsi="Times New Roman" w:eastAsia="宋体" w:cs="Times New Roman"/>
                <w:sz w:val="24"/>
                <w:szCs w:val="24"/>
                <w:lang w:val="en-US" w:eastAsia="zh-CN"/>
              </w:rPr>
              <w:t>属于</w:t>
            </w:r>
            <w:r>
              <w:rPr>
                <w:rFonts w:hint="default" w:ascii="Times New Roman" w:hAnsi="Times New Roman" w:eastAsia="宋体" w:cs="Times New Roman"/>
                <w:sz w:val="24"/>
                <w:szCs w:val="24"/>
              </w:rPr>
              <w:t>新乡经济技术产业集聚区</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区范围。</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主导产业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新乡经济技术产业集聚区主导产业为化工产业、医药产业和装备制造业。</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本项目为</w:t>
            </w:r>
            <w:r>
              <w:rPr>
                <w:rFonts w:hint="eastAsia" w:ascii="宋体" w:hAnsi="宋体"/>
                <w:sz w:val="24"/>
                <w:lang w:val="en-US" w:eastAsia="zh-CN"/>
              </w:rPr>
              <w:t>塑料制品业</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主要产品为环保型书刊胶装机专用树脂颗粒</w:t>
            </w:r>
            <w:r>
              <w:rPr>
                <w:rFonts w:hint="eastAsia" w:ascii="Times New Roman" w:hAnsi="Times New Roman" w:eastAsia="宋体" w:cs="Times New Roman"/>
                <w:color w:val="auto"/>
                <w:sz w:val="24"/>
                <w:szCs w:val="24"/>
                <w:lang w:val="en-US" w:eastAsia="zh-CN"/>
              </w:rPr>
              <w:t>，不属</w:t>
            </w:r>
            <w:r>
              <w:rPr>
                <w:rFonts w:hint="default" w:ascii="Times New Roman" w:hAnsi="Times New Roman" w:eastAsia="宋体" w:cs="Times New Roman"/>
                <w:color w:val="auto"/>
                <w:sz w:val="24"/>
                <w:szCs w:val="24"/>
              </w:rPr>
              <w:t>集聚区发展的主导产业</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但是与园区主导产业不冲突</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土地利用规划根据《新乡经济技术产业集聚区总体发展规划（2017~2025）》及补充说明可知，本项目位于新乡经济技术产业集聚区</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区规划范围，用地性质为</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类工业用地。</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规划布局结合产业发展重点和现有产业布局特点，集聚区布局为“三区、多园”。三区为北区、中区、南区三个片区，多园为化工产业园、医药产业园、装备制造产业园、纸制品印刷包装产业园和生活配套区。</w:t>
            </w:r>
          </w:p>
          <w:p>
            <w:pPr>
              <w:keepNext w:val="0"/>
              <w:keepLines w:val="0"/>
              <w:pageBreakBefore w:val="0"/>
              <w:widowControl w:val="0"/>
              <w:numPr>
                <w:ilvl w:val="0"/>
                <w:numId w:val="1"/>
              </w:numPr>
              <w:suppressLineNumbers w:val="0"/>
              <w:kinsoku/>
              <w:wordWrap/>
              <w:overflowPunct/>
              <w:topLinePunct w:val="0"/>
              <w:autoSpaceDE/>
              <w:autoSpaceDN/>
              <w:bidi w:val="0"/>
              <w:adjustRightInd/>
              <w:snapToGrid/>
              <w:spacing w:before="0" w:beforeAutospacing="0" w:after="0" w:afterAutospacing="0" w:line="440" w:lineRule="exact"/>
              <w:ind w:left="0" w:leftChars="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根据规划，</w:t>
            </w:r>
            <w:r>
              <w:rPr>
                <w:rFonts w:hint="eastAsia" w:ascii="Times New Roman" w:hAnsi="Times New Roman" w:eastAsia="宋体" w:cs="Times New Roman"/>
                <w:sz w:val="24"/>
                <w:szCs w:val="24"/>
                <w:lang w:val="en-US" w:eastAsia="zh-CN"/>
              </w:rPr>
              <w:t>中区</w:t>
            </w:r>
            <w:r>
              <w:rPr>
                <w:rFonts w:hint="default" w:ascii="Times New Roman" w:hAnsi="Times New Roman" w:eastAsia="宋体" w:cs="Times New Roman"/>
                <w:sz w:val="24"/>
                <w:szCs w:val="24"/>
              </w:rPr>
              <w:t>布置为装备制造</w:t>
            </w:r>
            <w:r>
              <w:rPr>
                <w:rFonts w:hint="eastAsia" w:ascii="Times New Roman" w:hAnsi="Times New Roman" w:eastAsia="宋体" w:cs="Times New Roman"/>
                <w:sz w:val="24"/>
                <w:szCs w:val="24"/>
                <w:lang w:val="en-US" w:eastAsia="zh-CN"/>
              </w:rPr>
              <w:t>产业园和</w:t>
            </w:r>
            <w:r>
              <w:rPr>
                <w:rFonts w:hint="default" w:ascii="Times New Roman" w:hAnsi="Times New Roman" w:eastAsia="宋体" w:cs="Times New Roman"/>
                <w:sz w:val="24"/>
                <w:szCs w:val="24"/>
              </w:rPr>
              <w:t>医药产业</w:t>
            </w:r>
            <w:r>
              <w:rPr>
                <w:rFonts w:hint="eastAsia" w:ascii="Times New Roman" w:hAnsi="Times New Roman" w:eastAsia="宋体" w:cs="Times New Roman"/>
                <w:sz w:val="24"/>
                <w:szCs w:val="24"/>
                <w:lang w:val="en-US" w:eastAsia="zh-CN"/>
              </w:rPr>
              <w:t>园</w:t>
            </w:r>
            <w:r>
              <w:rPr>
                <w:rFonts w:hint="default" w:ascii="Times New Roman" w:hAnsi="Times New Roman" w:eastAsia="宋体" w:cs="Times New Roman"/>
                <w:sz w:val="24"/>
                <w:szCs w:val="24"/>
              </w:rPr>
              <w:t>，本项目位于</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lang w:val="en-US" w:eastAsia="zh-CN"/>
              </w:rPr>
              <w:t>区—</w:t>
            </w:r>
            <w:r>
              <w:rPr>
                <w:rFonts w:hint="eastAsia" w:ascii="Times New Roman" w:hAnsi="Times New Roman" w:eastAsia="宋体" w:cs="Times New Roman"/>
                <w:sz w:val="24"/>
                <w:szCs w:val="24"/>
                <w:lang w:val="en-US" w:eastAsia="zh-CN"/>
              </w:rPr>
              <w:t>装备制造</w:t>
            </w:r>
            <w:r>
              <w:rPr>
                <w:rFonts w:hint="default" w:ascii="Times New Roman" w:hAnsi="Times New Roman" w:eastAsia="宋体" w:cs="Times New Roman"/>
                <w:sz w:val="24"/>
                <w:szCs w:val="24"/>
              </w:rPr>
              <w:t>产业</w:t>
            </w:r>
            <w:r>
              <w:rPr>
                <w:rFonts w:hint="eastAsia" w:ascii="Times New Roman" w:hAnsi="Times New Roman" w:eastAsia="宋体" w:cs="Times New Roman"/>
                <w:sz w:val="24"/>
                <w:szCs w:val="24"/>
                <w:lang w:val="en-US" w:eastAsia="zh-CN"/>
              </w:rPr>
              <w:t>园</w:t>
            </w:r>
            <w:r>
              <w:rPr>
                <w:rFonts w:hint="default" w:ascii="Times New Roman" w:hAnsi="Times New Roman" w:eastAsia="宋体" w:cs="Times New Roman"/>
                <w:sz w:val="24"/>
                <w:szCs w:val="24"/>
              </w:rPr>
              <w:t>，属于</w:t>
            </w:r>
            <w:r>
              <w:rPr>
                <w:rFonts w:hint="default" w:ascii="宋体" w:hAnsi="宋体"/>
                <w:color w:val="auto"/>
                <w:sz w:val="24"/>
                <w:szCs w:val="24"/>
              </w:rPr>
              <w:t>塑料</w:t>
            </w:r>
            <w:r>
              <w:rPr>
                <w:rFonts w:hint="eastAsia" w:ascii="宋体" w:hAnsi="宋体"/>
                <w:color w:val="auto"/>
                <w:sz w:val="24"/>
                <w:szCs w:val="24"/>
                <w:lang w:val="en-US" w:eastAsia="zh-CN"/>
              </w:rPr>
              <w:t>制品</w:t>
            </w:r>
            <w:r>
              <w:rPr>
                <w:rFonts w:hint="default" w:ascii="宋体" w:hAnsi="宋体"/>
                <w:color w:val="auto"/>
                <w:sz w:val="24"/>
                <w:szCs w:val="24"/>
              </w:rPr>
              <w:t>业</w:t>
            </w:r>
            <w:r>
              <w:rPr>
                <w:rFonts w:hint="default" w:ascii="宋体"/>
                <w:color w:val="auto"/>
                <w:sz w:val="24"/>
                <w:szCs w:val="24"/>
              </w:rPr>
              <w:t>，主要产品为环保型书刊胶装机专用树脂颗粒，不属集聚区发展的主导产业，但是与园区主导产业不冲突。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Times New Roman" w:hAnsi="Times New Roman" w:eastAsia="宋体" w:cs="Times New Roman"/>
                <w:b/>
                <w:bCs/>
                <w:sz w:val="24"/>
                <w:szCs w:val="24"/>
                <w:u w:val="none"/>
                <w:lang w:val="en-US" w:eastAsia="zh-CN"/>
              </w:rPr>
            </w:pPr>
            <w:r>
              <w:rPr>
                <w:rFonts w:hint="default" w:ascii="Times New Roman" w:hAnsi="Times New Roman" w:eastAsia="宋体" w:cs="Times New Roman"/>
                <w:sz w:val="24"/>
                <w:szCs w:val="24"/>
              </w:rPr>
              <w:t>本项目建设单位为</w:t>
            </w:r>
            <w:r>
              <w:rPr>
                <w:rFonts w:hint="eastAsia" w:ascii="宋体" w:hAnsi="宋体"/>
                <w:color w:val="000000"/>
                <w:sz w:val="24"/>
                <w:lang w:val="en-US" w:eastAsia="zh-CN"/>
              </w:rPr>
              <w:t>新乡市凯盛新材料科技有限公司</w:t>
            </w:r>
            <w:r>
              <w:rPr>
                <w:rFonts w:hint="default" w:ascii="Times New Roman" w:hAnsi="Times New Roman" w:eastAsia="宋体" w:cs="Times New Roman"/>
                <w:sz w:val="24"/>
                <w:szCs w:val="24"/>
              </w:rPr>
              <w:t>，本次</w:t>
            </w:r>
            <w:r>
              <w:rPr>
                <w:rFonts w:hint="eastAsia" w:ascii="Times New Roman" w:hAnsi="Times New Roman" w:eastAsia="宋体" w:cs="Times New Roman"/>
                <w:sz w:val="24"/>
                <w:szCs w:val="24"/>
                <w:lang w:eastAsia="zh-CN"/>
              </w:rPr>
              <w:t>新建</w:t>
            </w:r>
            <w:r>
              <w:rPr>
                <w:rFonts w:hint="eastAsia" w:ascii="宋体" w:hAnsi="宋体"/>
                <w:color w:val="000000"/>
                <w:sz w:val="24"/>
                <w:lang w:val="en-US" w:eastAsia="zh-CN"/>
              </w:rPr>
              <w:t>年产</w:t>
            </w:r>
            <w:r>
              <w:rPr>
                <w:rFonts w:hint="default" w:ascii="Times New Roman" w:hAnsi="Times New Roman" w:cs="Times New Roman"/>
                <w:color w:val="000000"/>
                <w:sz w:val="24"/>
                <w:lang w:val="en-US" w:eastAsia="zh-CN"/>
              </w:rPr>
              <w:t>900</w:t>
            </w:r>
            <w:r>
              <w:rPr>
                <w:rFonts w:hint="eastAsia" w:ascii="宋体" w:hAnsi="宋体"/>
                <w:color w:val="000000"/>
                <w:sz w:val="24"/>
                <w:lang w:val="en-US" w:eastAsia="zh-CN"/>
              </w:rPr>
              <w:t>吨环保型包装印刷材料项目</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租赁</w:t>
            </w:r>
            <w:r>
              <w:rPr>
                <w:rFonts w:hint="eastAsia" w:ascii="Times New Roman" w:hAnsi="Times New Roman" w:eastAsia="宋体" w:cs="Times New Roman"/>
                <w:sz w:val="24"/>
                <w:szCs w:val="24"/>
                <w:lang w:val="en-US" w:eastAsia="zh-CN"/>
              </w:rPr>
              <w:t>现有</w:t>
            </w:r>
            <w:r>
              <w:rPr>
                <w:rFonts w:hint="eastAsia" w:ascii="Times New Roman" w:hAnsi="Times New Roman" w:eastAsia="宋体" w:cs="Times New Roman"/>
                <w:sz w:val="24"/>
                <w:szCs w:val="24"/>
                <w:lang w:eastAsia="zh-CN"/>
              </w:rPr>
              <w:t>厂房建设，</w:t>
            </w:r>
            <w:r>
              <w:rPr>
                <w:rFonts w:hint="default" w:ascii="Times New Roman" w:hAnsi="Times New Roman" w:eastAsia="宋体" w:cs="Times New Roman"/>
                <w:sz w:val="24"/>
                <w:szCs w:val="24"/>
              </w:rPr>
              <w:t>本项目符合集聚区</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区功能布局。</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eastAsia"/>
                <w:b/>
                <w:bCs/>
              </w:rPr>
            </w:pPr>
            <w:r>
              <w:rPr>
                <w:rFonts w:hint="eastAsia"/>
                <w:b/>
                <w:bCs/>
                <w:lang w:val="en-US" w:eastAsia="zh-CN"/>
              </w:rPr>
              <w:t>2</w:t>
            </w:r>
            <w:r>
              <w:rPr>
                <w:rFonts w:hint="default"/>
                <w:b/>
                <w:bCs/>
              </w:rPr>
              <w:t>、本项目与</w:t>
            </w:r>
            <w:r>
              <w:rPr>
                <w:rFonts w:hint="eastAsia"/>
                <w:b/>
                <w:bCs/>
                <w:lang w:val="en-US" w:eastAsia="zh-CN"/>
              </w:rPr>
              <w:t>新乡经济技术产业集聚区准入条件对照分析如下：</w:t>
            </w:r>
          </w:p>
          <w:p>
            <w:pPr>
              <w:keepNext w:val="0"/>
              <w:keepLines w:val="0"/>
              <w:suppressLineNumbers w:val="0"/>
              <w:bidi w:val="0"/>
              <w:spacing w:before="0" w:beforeAutospacing="0" w:after="0" w:afterAutospacing="0"/>
              <w:ind w:left="0" w:right="0"/>
              <w:jc w:val="center"/>
              <w:rPr>
                <w:rFonts w:hint="eastAsia"/>
                <w:b/>
                <w:bCs/>
              </w:rPr>
            </w:pPr>
          </w:p>
          <w:p>
            <w:pPr>
              <w:keepNext w:val="0"/>
              <w:keepLines w:val="0"/>
              <w:suppressLineNumbers w:val="0"/>
              <w:bidi w:val="0"/>
              <w:spacing w:before="0" w:beforeAutospacing="0" w:after="0" w:afterAutospacing="0"/>
              <w:ind w:left="0" w:right="0"/>
              <w:jc w:val="center"/>
              <w:rPr>
                <w:rFonts w:hint="eastAsia"/>
                <w:b/>
                <w:bCs/>
              </w:rPr>
            </w:pPr>
          </w:p>
          <w:p>
            <w:pPr>
              <w:keepNext w:val="0"/>
              <w:keepLines w:val="0"/>
              <w:suppressLineNumbers w:val="0"/>
              <w:bidi w:val="0"/>
              <w:spacing w:before="0" w:beforeAutospacing="0" w:after="0" w:afterAutospacing="0"/>
              <w:ind w:left="0" w:right="0"/>
              <w:jc w:val="center"/>
              <w:rPr>
                <w:rFonts w:hint="eastAsia"/>
                <w:b/>
                <w:bCs/>
              </w:rPr>
            </w:pPr>
            <w:r>
              <w:rPr>
                <w:rFonts w:hint="eastAsia"/>
                <w:b/>
                <w:bCs/>
              </w:rPr>
              <w:t>表1  项目与</w:t>
            </w:r>
            <w:r>
              <w:rPr>
                <w:rFonts w:hint="eastAsia"/>
                <w:b/>
                <w:bCs/>
                <w:lang w:val="en-US" w:eastAsia="zh-CN"/>
              </w:rPr>
              <w:t>新乡经济技术产业集聚区准入条件</w:t>
            </w:r>
            <w:r>
              <w:rPr>
                <w:rFonts w:hint="eastAsia"/>
                <w:b/>
                <w:bCs/>
              </w:rPr>
              <w:t>相符性分析</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4"/>
              <w:gridCol w:w="480"/>
              <w:gridCol w:w="4425"/>
              <w:gridCol w:w="2715"/>
              <w:gridCol w:w="8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gridSpan w:val="2"/>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类别</w:t>
                  </w:r>
                </w:p>
              </w:tc>
              <w:tc>
                <w:tcPr>
                  <w:tcW w:w="2503"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color w:val="000000"/>
                      <w:sz w:val="21"/>
                      <w:szCs w:val="21"/>
                      <w:lang w:eastAsia="zh-CN"/>
                    </w:rPr>
                  </w:pPr>
                  <w:r>
                    <w:rPr>
                      <w:rFonts w:hint="eastAsia" w:ascii="Times New Roman" w:hAnsi="Times New Roman" w:eastAsia="宋体" w:cs="Times New Roman"/>
                      <w:b/>
                      <w:color w:val="000000"/>
                      <w:sz w:val="21"/>
                      <w:szCs w:val="21"/>
                      <w:lang w:val="en-US" w:eastAsia="zh-CN"/>
                    </w:rPr>
                    <w:t>准入条件</w:t>
                  </w:r>
                </w:p>
              </w:tc>
              <w:tc>
                <w:tcPr>
                  <w:tcW w:w="153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本项目</w:t>
                  </w:r>
                </w:p>
              </w:tc>
              <w:tc>
                <w:tcPr>
                  <w:tcW w:w="483" w:type="pct"/>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 w:type="pct"/>
                  <w:vMerge w:val="restar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 w:val="21"/>
                      <w:szCs w:val="21"/>
                    </w:rPr>
                  </w:pPr>
                  <w:r>
                    <w:rPr>
                      <w:rFonts w:hint="default"/>
                      <w:sz w:val="21"/>
                      <w:szCs w:val="21"/>
                    </w:rPr>
                    <w:t>产业政策</w:t>
                  </w:r>
                </w:p>
              </w:tc>
              <w:tc>
                <w:tcPr>
                  <w:tcW w:w="271"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sz w:val="21"/>
                      <w:szCs w:val="21"/>
                    </w:rPr>
                    <w:t>鼓励引进的项目和优先发展行业</w:t>
                  </w:r>
                </w:p>
              </w:tc>
              <w:tc>
                <w:tcPr>
                  <w:tcW w:w="2503" w:type="pct"/>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left"/>
                    <w:textAlignment w:val="auto"/>
                    <w:rPr>
                      <w:rFonts w:hint="default"/>
                      <w:sz w:val="21"/>
                      <w:szCs w:val="21"/>
                    </w:rPr>
                  </w:pPr>
                  <w:r>
                    <w:rPr>
                      <w:rFonts w:hint="default"/>
                      <w:sz w:val="21"/>
                      <w:szCs w:val="21"/>
                    </w:rPr>
                    <w:t>①集聚区已按照主导产业及辅助产业对各园区功能布局进行合理布局，企业入驻应按照产业政策要求优先入驻与主导产业相符的产业，鼓励入驻《产业结构调整指导目录》鼓励类项目。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left"/>
                    <w:textAlignment w:val="auto"/>
                    <w:rPr>
                      <w:rFonts w:hint="default"/>
                      <w:sz w:val="21"/>
                      <w:szCs w:val="21"/>
                    </w:rPr>
                  </w:pPr>
                  <w:r>
                    <w:rPr>
                      <w:rFonts w:hint="default"/>
                      <w:sz w:val="21"/>
                      <w:szCs w:val="21"/>
                    </w:rPr>
                    <w:t>②鼓励中水回用项目、污水深度治理等基础设施、资源综合利用项目入驻集聚区。</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left"/>
                    <w:textAlignment w:val="auto"/>
                    <w:rPr>
                      <w:rFonts w:hint="default"/>
                      <w:sz w:val="21"/>
                      <w:szCs w:val="21"/>
                    </w:rPr>
                  </w:pPr>
                  <w:r>
                    <w:rPr>
                      <w:rFonts w:hint="default"/>
                      <w:sz w:val="21"/>
                      <w:szCs w:val="21"/>
                    </w:rPr>
                    <w:t>③鼓励清洁生产水平较高，且能够进一步拉长集聚区产业链，符合集聚区产业定位的企业入驻集聚区。</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left"/>
                    <w:textAlignment w:val="auto"/>
                    <w:rPr>
                      <w:rFonts w:hint="default"/>
                      <w:sz w:val="21"/>
                      <w:szCs w:val="21"/>
                    </w:rPr>
                  </w:pPr>
                  <w:r>
                    <w:rPr>
                      <w:rFonts w:hint="default"/>
                      <w:sz w:val="21"/>
                      <w:szCs w:val="21"/>
                    </w:rPr>
                    <w:t>④鼓励园区内符合产业定位的现有企业对产品进行提升，延长产业链条。</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jc w:val="left"/>
                    <w:textAlignment w:val="auto"/>
                    <w:rPr>
                      <w:rFonts w:hint="default"/>
                      <w:sz w:val="21"/>
                      <w:szCs w:val="21"/>
                    </w:rPr>
                  </w:pPr>
                  <w:r>
                    <w:rPr>
                      <w:rFonts w:hint="default"/>
                      <w:sz w:val="21"/>
                      <w:szCs w:val="21"/>
                    </w:rPr>
                    <w:t>⑤以化工、医药、装备制造和纸制品印刷包装产业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sz w:val="21"/>
                      <w:szCs w:val="21"/>
                    </w:rPr>
                    <w:t>⑥允许入驻符合集聚区产业定位及产业类别的医药、装备制造以及煤化工的下游企业，符合集聚区循环经济发展产业链上下游产业的补链项目。</w:t>
                  </w:r>
                </w:p>
              </w:tc>
              <w:tc>
                <w:tcPr>
                  <w:tcW w:w="1535" w:type="pct"/>
                  <w:tcBorders>
                    <w:top w:val="single" w:color="auto" w:sz="8" w:space="0"/>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spacing w:before="0" w:beforeAutospacing="0" w:after="0" w:afterAutospacing="0" w:line="240" w:lineRule="auto"/>
                    <w:ind w:left="0" w:right="0" w:firstLine="0"/>
                    <w:jc w:val="left"/>
                    <w:textAlignment w:val="auto"/>
                    <w:rPr>
                      <w:rFonts w:hint="default" w:ascii="Times New Roman" w:hAnsi="Times New Roman" w:eastAsia="宋体" w:cs="Times New Roman"/>
                      <w:b w:val="0"/>
                      <w:bCs w:val="0"/>
                      <w:sz w:val="21"/>
                      <w:szCs w:val="21"/>
                    </w:rPr>
                  </w:pPr>
                  <w:r>
                    <w:rPr>
                      <w:rFonts w:hint="default"/>
                      <w:sz w:val="21"/>
                      <w:szCs w:val="21"/>
                    </w:rPr>
                    <w:t>①本项目位于</w:t>
                  </w:r>
                  <w:r>
                    <w:rPr>
                      <w:rFonts w:hint="eastAsia"/>
                      <w:sz w:val="21"/>
                      <w:szCs w:val="21"/>
                      <w:lang w:val="en-US" w:eastAsia="zh-CN"/>
                    </w:rPr>
                    <w:t>产业集聚区中</w:t>
                  </w:r>
                  <w:r>
                    <w:rPr>
                      <w:rFonts w:hint="default"/>
                      <w:sz w:val="21"/>
                      <w:szCs w:val="21"/>
                      <w:lang w:val="en-US" w:eastAsia="zh-CN"/>
                    </w:rPr>
                    <w:t>区—</w:t>
                  </w:r>
                  <w:r>
                    <w:rPr>
                      <w:rFonts w:hint="eastAsia"/>
                      <w:sz w:val="21"/>
                      <w:szCs w:val="21"/>
                      <w:lang w:val="en-US" w:eastAsia="zh-CN"/>
                    </w:rPr>
                    <w:t>装备制造</w:t>
                  </w:r>
                  <w:r>
                    <w:rPr>
                      <w:rFonts w:hint="default"/>
                      <w:sz w:val="21"/>
                      <w:szCs w:val="21"/>
                    </w:rPr>
                    <w:t>产业</w:t>
                  </w:r>
                  <w:r>
                    <w:rPr>
                      <w:rFonts w:hint="default"/>
                      <w:sz w:val="21"/>
                      <w:szCs w:val="21"/>
                      <w:lang w:val="en-US" w:eastAsia="zh-CN"/>
                    </w:rPr>
                    <w:t>区</w:t>
                  </w:r>
                  <w:r>
                    <w:rPr>
                      <w:rFonts w:hint="default"/>
                      <w:sz w:val="21"/>
                      <w:szCs w:val="21"/>
                    </w:rPr>
                    <w:t>，</w:t>
                  </w:r>
                  <w:r>
                    <w:rPr>
                      <w:rFonts w:hint="default"/>
                      <w:sz w:val="21"/>
                      <w:szCs w:val="21"/>
                      <w:lang w:val="en-US" w:eastAsia="zh-CN"/>
                    </w:rPr>
                    <w:t>项目为</w:t>
                  </w:r>
                  <w:r>
                    <w:rPr>
                      <w:rFonts w:hint="eastAsia" w:cs="Times New Roman"/>
                      <w:color w:val="000000"/>
                      <w:sz w:val="21"/>
                      <w:szCs w:val="21"/>
                      <w:lang w:val="en-US" w:eastAsia="zh-CN"/>
                    </w:rPr>
                    <w:t>与主导产业不冲突，不影响主导产业发展</w:t>
                  </w:r>
                  <w:r>
                    <w:rPr>
                      <w:rFonts w:hint="default" w:ascii="Times New Roman" w:hAnsi="Times New Roman" w:eastAsia="宋体" w:cs="Times New Roman"/>
                      <w:b w:val="0"/>
                      <w:bCs w:val="0"/>
                      <w:sz w:val="21"/>
                      <w:szCs w:val="21"/>
                    </w:rPr>
                    <w:t>。</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b w:val="0"/>
                      <w:bCs w:val="0"/>
                      <w:sz w:val="21"/>
                      <w:szCs w:val="21"/>
                    </w:rPr>
                    <w:t>②</w:t>
                  </w:r>
                  <w:r>
                    <w:rPr>
                      <w:rFonts w:hint="default" w:ascii="Times New Roman" w:hAnsi="Times New Roman" w:eastAsia="宋体" w:cs="Times New Roman"/>
                      <w:b w:val="0"/>
                      <w:bCs w:val="0"/>
                      <w:sz w:val="21"/>
                      <w:szCs w:val="21"/>
                      <w:lang w:val="en-US" w:eastAsia="zh-CN"/>
                    </w:rPr>
                    <w:t>本项目属于《产业结构调整指导目录（2019年本）》中</w:t>
                  </w:r>
                  <w:r>
                    <w:rPr>
                      <w:rFonts w:hint="eastAsia" w:cs="Times New Roman"/>
                      <w:b w:val="0"/>
                      <w:bCs w:val="0"/>
                      <w:sz w:val="21"/>
                      <w:szCs w:val="21"/>
                      <w:lang w:val="en-US" w:eastAsia="zh-CN"/>
                    </w:rPr>
                    <w:t>允许类</w:t>
                  </w:r>
                  <w:r>
                    <w:rPr>
                      <w:rFonts w:hint="default" w:ascii="Times New Roman" w:hAnsi="Times New Roman" w:eastAsia="宋体" w:cs="Times New Roman"/>
                      <w:b w:val="0"/>
                      <w:bCs w:val="0"/>
                      <w:sz w:val="21"/>
                      <w:szCs w:val="21"/>
                      <w:lang w:val="en-US" w:eastAsia="zh-CN"/>
                    </w:rPr>
                    <w:t>项目，符合国家产业政策。</w:t>
                  </w:r>
                </w:p>
              </w:tc>
              <w:tc>
                <w:tcPr>
                  <w:tcW w:w="483" w:type="pc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p>
              </w:tc>
              <w:tc>
                <w:tcPr>
                  <w:tcW w:w="27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sz w:val="21"/>
                      <w:szCs w:val="21"/>
                    </w:rPr>
                    <w:t>限制或禁止入驻项目</w:t>
                  </w:r>
                </w:p>
              </w:tc>
              <w:tc>
                <w:tcPr>
                  <w:tcW w:w="2503" w:type="pct"/>
                  <w:tcBorders>
                    <w:tl2br w:val="nil"/>
                    <w:tr2bl w:val="nil"/>
                  </w:tcBorders>
                  <w:noWrap w:val="0"/>
                  <w:vAlign w:val="center"/>
                </w:tcPr>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sz w:val="21"/>
                      <w:szCs w:val="21"/>
                    </w:rPr>
                  </w:pPr>
                  <w:r>
                    <w:rPr>
                      <w:rFonts w:hint="default"/>
                      <w:sz w:val="21"/>
                      <w:szCs w:val="21"/>
                    </w:rPr>
                    <w:t>①原则上仅允许入驻符合集聚区产业定位，且项目选址须符合集聚区产业布局及用地性质的项目。</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sz w:val="21"/>
                      <w:szCs w:val="21"/>
                    </w:rPr>
                  </w:pPr>
                  <w:r>
                    <w:rPr>
                      <w:rFonts w:hint="default"/>
                      <w:sz w:val="21"/>
                      <w:szCs w:val="21"/>
                    </w:rPr>
                    <w:t>②按照国家相关产业政策，严禁淘汰和限制类工业企业入园。</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sz w:val="21"/>
                      <w:szCs w:val="21"/>
                    </w:rPr>
                  </w:pPr>
                  <w:r>
                    <w:rPr>
                      <w:rFonts w:hint="default"/>
                      <w:sz w:val="21"/>
                      <w:szCs w:val="21"/>
                    </w:rPr>
                    <w:t>③建议化工园区发展方向立足于河南心连心化肥有限公司退城入园项目和该公司自身产业链的发展项目，控制其用地（包括三类工业用地）和产业发展规模。</w:t>
                  </w:r>
                </w:p>
                <w:p>
                  <w:pPr>
                    <w:keepNext w:val="0"/>
                    <w:keepLines w:val="0"/>
                    <w:pageBreakBefore w:val="0"/>
                    <w:widowControl w:val="0"/>
                    <w:suppressLineNumbers w:val="0"/>
                    <w:kinsoku/>
                    <w:wordWrap/>
                    <w:topLinePunct w:val="0"/>
                    <w:autoSpaceDE/>
                    <w:autoSpaceDN/>
                    <w:bidi w:val="0"/>
                    <w:adjustRightInd w:val="0"/>
                    <w:snapToGrid w:val="0"/>
                    <w:spacing w:before="0" w:beforeAutospacing="0" w:after="0" w:afterAutospacing="0"/>
                    <w:ind w:left="0" w:right="0"/>
                    <w:textAlignment w:val="auto"/>
                    <w:rPr>
                      <w:rFonts w:hint="default"/>
                      <w:sz w:val="21"/>
                      <w:szCs w:val="21"/>
                    </w:rPr>
                  </w:pPr>
                  <w:r>
                    <w:rPr>
                      <w:rFonts w:hint="default"/>
                      <w:sz w:val="21"/>
                      <w:szCs w:val="21"/>
                    </w:rPr>
                    <w:t>④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200万吨。</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sz w:val="21"/>
                      <w:szCs w:val="21"/>
                    </w:rPr>
                    <w:t>⑤禁止建设或使用《产业结构调整指导目录（2011年本）（2013年修正）》明令淘汰的生产工艺或设备。</w:t>
                  </w:r>
                </w:p>
              </w:tc>
              <w:tc>
                <w:tcPr>
                  <w:tcW w:w="15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sz w:val="21"/>
                      <w:szCs w:val="21"/>
                    </w:rPr>
                    <w:t>项目用地性质为</w:t>
                  </w:r>
                  <w:r>
                    <w:rPr>
                      <w:rFonts w:hint="eastAsia"/>
                      <w:sz w:val="21"/>
                      <w:szCs w:val="21"/>
                      <w:lang w:val="en-US" w:eastAsia="zh-CN"/>
                    </w:rPr>
                    <w:t>二</w:t>
                  </w:r>
                  <w:r>
                    <w:rPr>
                      <w:rFonts w:hint="default"/>
                      <w:sz w:val="21"/>
                      <w:szCs w:val="21"/>
                    </w:rPr>
                    <w:t>类工业用地；本项目符合国家及地方产业政策要求，不属于国家产业</w:t>
                  </w:r>
                  <w:r>
                    <w:rPr>
                      <w:rFonts w:hint="eastAsia"/>
                      <w:sz w:val="21"/>
                      <w:szCs w:val="21"/>
                      <w:lang w:eastAsia="zh-CN"/>
                    </w:rPr>
                    <w:t>明令</w:t>
                  </w:r>
                  <w:r>
                    <w:rPr>
                      <w:rFonts w:hint="default"/>
                      <w:sz w:val="21"/>
                      <w:szCs w:val="21"/>
                    </w:rPr>
                    <w:t>淘汰、限制发展的项目类别。</w:t>
                  </w:r>
                </w:p>
              </w:tc>
              <w:tc>
                <w:tcPr>
                  <w:tcW w:w="4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生产规模和工艺装备水平</w:t>
                  </w:r>
                </w:p>
              </w:tc>
              <w:tc>
                <w:tcPr>
                  <w:tcW w:w="2503" w:type="pct"/>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（1）入区企业建设规模应符合国家相关行业准入条件中的经济、产品规模和生产工艺要求；</w:t>
                  </w:r>
                </w:p>
                <w:p>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（2）在生产工艺、技术水平、装备规格上，要求入区项目达到国内同行业领先水平、或具备国际先进水平。</w:t>
                  </w:r>
                </w:p>
              </w:tc>
              <w:tc>
                <w:tcPr>
                  <w:tcW w:w="15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1</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本项目为年产900吨环保型包装印刷材料项目，规模符合国家相关行业准入条件中的经济、产品规模和生产工艺要求；</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2</w:t>
                  </w:r>
                  <w:r>
                    <w:rPr>
                      <w:rFonts w:hint="eastAsia"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本项目</w:t>
                  </w:r>
                  <w:r>
                    <w:rPr>
                      <w:rFonts w:hint="eastAsia" w:ascii="Times New Roman" w:hAnsi="Times New Roman" w:eastAsia="宋体" w:cs="Times New Roman"/>
                      <w:color w:val="000000"/>
                      <w:sz w:val="21"/>
                      <w:szCs w:val="21"/>
                      <w:lang w:val="en-US" w:eastAsia="zh-CN"/>
                    </w:rPr>
                    <w:t>工艺</w:t>
                  </w:r>
                  <w:r>
                    <w:rPr>
                      <w:rFonts w:hint="default" w:ascii="Times New Roman" w:hAnsi="Times New Roman" w:eastAsia="宋体" w:cs="Times New Roman"/>
                      <w:color w:val="000000"/>
                      <w:sz w:val="21"/>
                      <w:szCs w:val="21"/>
                    </w:rPr>
                    <w:t>可以达到国内同行业领先水平。</w:t>
                  </w:r>
                </w:p>
              </w:tc>
              <w:tc>
                <w:tcPr>
                  <w:tcW w:w="4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清洁生产水平</w:t>
                  </w:r>
                </w:p>
              </w:tc>
              <w:tc>
                <w:tcPr>
                  <w:tcW w:w="250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（1）应选择使用原料和产品为环境友好型的项目，避免集聚区大规模建设造成的不良辐射效应，诱使国家明令禁止项目在集聚区周边出现；</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（2）入区项目在单位产品水耗、能耗、污染物排放量等清洁生产指标应达到国内同类行业先进水平；</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（3）按照循环经济发展之路，评价建议能够与集聚区定位发展产业形成良好循环经济链条的项目可优先入园</w:t>
                  </w:r>
                </w:p>
              </w:tc>
              <w:tc>
                <w:tcPr>
                  <w:tcW w:w="1535"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sz w:val="21"/>
                      <w:szCs w:val="21"/>
                    </w:rPr>
                  </w:pPr>
                  <w:r>
                    <w:rPr>
                      <w:rFonts w:hint="default"/>
                      <w:sz w:val="21"/>
                      <w:szCs w:val="21"/>
                    </w:rPr>
                    <w:t>本项目使用原料和产品为环境友好型，不会造成不良辐射效应；单位产品水耗、电耗、综合能耗等清洁生产指标达到国内相关行业指标要求。</w:t>
                  </w:r>
                </w:p>
              </w:tc>
              <w:tc>
                <w:tcPr>
                  <w:tcW w:w="4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gridSpan w:val="2"/>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sz w:val="21"/>
                      <w:szCs w:val="21"/>
                    </w:rPr>
                    <w:t>污染物排放总量控制</w:t>
                  </w:r>
                </w:p>
              </w:tc>
              <w:tc>
                <w:tcPr>
                  <w:tcW w:w="2503" w:type="pct"/>
                  <w:tcBorders>
                    <w:tl2br w:val="nil"/>
                    <w:tr2bl w:val="nil"/>
                  </w:tcBorders>
                  <w:noWrap w:val="0"/>
                  <w:vAlign w:val="center"/>
                </w:tcPr>
                <w:p>
                  <w:pPr>
                    <w:keepNext w:val="0"/>
                    <w:keepLines w:val="0"/>
                    <w:widowControl w:val="0"/>
                    <w:numPr>
                      <w:ilvl w:val="0"/>
                      <w:numId w:val="2"/>
                    </w:numPr>
                    <w:suppressLineNumbers w:val="0"/>
                    <w:autoSpaceDE w:val="0"/>
                    <w:autoSpaceDN/>
                    <w:adjustRightInd w:val="0"/>
                    <w:snapToGrid w:val="0"/>
                    <w:spacing w:before="0" w:beforeAutospacing="0" w:after="0" w:afterAutospacing="0" w:line="240" w:lineRule="auto"/>
                    <w:ind w:left="0" w:right="0"/>
                    <w:jc w:val="left"/>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新建项目的污染物排放指标必须满足区域总量要求；</w:t>
                  </w:r>
                </w:p>
                <w:p>
                  <w:pPr>
                    <w:keepNext w:val="0"/>
                    <w:keepLines w:val="0"/>
                    <w:widowControl w:val="0"/>
                    <w:numPr>
                      <w:ilvl w:val="0"/>
                      <w:numId w:val="2"/>
                    </w:numPr>
                    <w:suppressLineNumbers w:val="0"/>
                    <w:autoSpaceDE w:val="0"/>
                    <w:autoSpaceDN/>
                    <w:adjustRightInd w:val="0"/>
                    <w:snapToGrid w:val="0"/>
                    <w:spacing w:before="0" w:beforeAutospacing="0" w:after="0" w:afterAutospacing="0" w:line="240" w:lineRule="auto"/>
                    <w:ind w:left="0" w:right="0"/>
                    <w:jc w:val="left"/>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禁止发展环境污染严重、无污染治理技术或治理技术在技术经济上不可行的项目；</w:t>
                  </w:r>
                </w:p>
                <w:p>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）新建项目的大气污染物处理达到相关行业标准或大气污染物综合排放标准后方可排放，水污染物排放应达到相关行业标准或水污染物综合排放标准后才能进入集聚区污水处理厂</w:t>
                  </w:r>
                </w:p>
              </w:tc>
              <w:tc>
                <w:tcPr>
                  <w:tcW w:w="1535" w:type="pct"/>
                  <w:tcBorders>
                    <w:tl2br w:val="nil"/>
                    <w:tr2bl w:val="nil"/>
                  </w:tcBorders>
                  <w:noWrap w:val="0"/>
                  <w:vAlign w:val="center"/>
                </w:tcPr>
                <w:p>
                  <w:pPr>
                    <w:keepNext w:val="0"/>
                    <w:keepLines w:val="0"/>
                    <w:widowControl w:val="0"/>
                    <w:suppressLineNumbers w:val="0"/>
                    <w:autoSpaceDE w:val="0"/>
                    <w:autoSpaceDN/>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（1）</w:t>
                  </w:r>
                  <w:r>
                    <w:rPr>
                      <w:rFonts w:hint="eastAsia" w:ascii="宋体" w:hAnsi="宋体" w:eastAsia="宋体" w:cs="宋体"/>
                      <w:color w:val="auto"/>
                      <w:kern w:val="2"/>
                      <w:sz w:val="21"/>
                      <w:szCs w:val="21"/>
                      <w:lang w:val="en-US" w:eastAsia="zh-CN" w:bidi="ar"/>
                    </w:rPr>
                    <w:t>本项目新增的污染物排放指标从区域内总量替代，能够满足区域总量要求；</w:t>
                  </w:r>
                </w:p>
                <w:p>
                  <w:pPr>
                    <w:keepNext w:val="0"/>
                    <w:keepLines w:val="0"/>
                    <w:widowControl w:val="0"/>
                    <w:suppressLineNumbers w:val="0"/>
                    <w:autoSpaceDE w:val="0"/>
                    <w:autoSpaceDN/>
                    <w:spacing w:before="0" w:beforeAutospacing="0" w:after="0" w:afterAutospacing="0" w:line="240" w:lineRule="auto"/>
                    <w:ind w:left="0" w:right="0"/>
                    <w:jc w:val="left"/>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（2）</w:t>
                  </w:r>
                  <w:r>
                    <w:rPr>
                      <w:rFonts w:hint="eastAsia" w:ascii="宋体" w:hAnsi="宋体" w:eastAsia="宋体" w:cs="宋体"/>
                      <w:color w:val="auto"/>
                      <w:kern w:val="2"/>
                      <w:sz w:val="21"/>
                      <w:szCs w:val="21"/>
                      <w:lang w:val="en-US" w:eastAsia="zh-CN" w:bidi="ar"/>
                    </w:rPr>
                    <w:t>本项目产生的有机废气经</w:t>
                  </w:r>
                  <w:r>
                    <w:rPr>
                      <w:rFonts w:hint="eastAsia" w:hAnsi="宋体"/>
                      <w:color w:val="000000"/>
                      <w:sz w:val="21"/>
                      <w:szCs w:val="21"/>
                      <w:highlight w:val="none"/>
                      <w:lang w:val="en-US" w:eastAsia="zh-CN"/>
                    </w:rPr>
                    <w:t>密闭负压管道收集后</w:t>
                  </w:r>
                  <w:r>
                    <w:rPr>
                      <w:rFonts w:hint="eastAsia" w:ascii="宋体" w:hAnsi="宋体" w:eastAsia="宋体" w:cs="宋体"/>
                      <w:color w:val="auto"/>
                      <w:kern w:val="2"/>
                      <w:sz w:val="21"/>
                      <w:szCs w:val="21"/>
                      <w:lang w:val="en-US" w:eastAsia="zh-CN" w:bidi="ar"/>
                    </w:rPr>
                    <w:t>“活性炭吸附</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脱附</w:t>
                  </w:r>
                  <w:r>
                    <w:rPr>
                      <w:rFonts w:hint="default" w:ascii="Times New Roman" w:hAnsi="Times New Roman" w:eastAsia="宋体" w:cs="Times New Roman"/>
                      <w:color w:val="auto"/>
                      <w:kern w:val="2"/>
                      <w:sz w:val="21"/>
                      <w:szCs w:val="21"/>
                      <w:lang w:val="en-US" w:eastAsia="zh-CN" w:bidi="ar"/>
                    </w:rPr>
                    <w:t>+</w:t>
                  </w:r>
                  <w:r>
                    <w:rPr>
                      <w:rFonts w:hint="eastAsia" w:ascii="宋体" w:hAnsi="宋体" w:eastAsia="宋体" w:cs="宋体"/>
                      <w:color w:val="auto"/>
                      <w:kern w:val="2"/>
                      <w:sz w:val="21"/>
                      <w:szCs w:val="21"/>
                      <w:lang w:val="en-US" w:eastAsia="zh-CN" w:bidi="ar"/>
                    </w:rPr>
                    <w:t>催化燃烧”装置处理，治理技术在技术经济上可行；</w:t>
                  </w:r>
                </w:p>
                <w:p>
                  <w:pPr>
                    <w:keepNext w:val="0"/>
                    <w:keepLines w:val="0"/>
                    <w:widowControl w:val="0"/>
                    <w:suppressLineNumbers w:val="0"/>
                    <w:autoSpaceDE w:val="0"/>
                    <w:autoSpaceDN/>
                    <w:spacing w:before="0" w:beforeAutospacing="0" w:after="0" w:afterAutospacing="0" w:line="240" w:lineRule="auto"/>
                    <w:ind w:left="0" w:leftChars="0" w:right="0" w:rightChars="0"/>
                    <w:jc w:val="left"/>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（3）</w:t>
                  </w:r>
                  <w:r>
                    <w:rPr>
                      <w:rFonts w:hint="eastAsia" w:ascii="宋体" w:hAnsi="宋体" w:eastAsia="宋体" w:cs="宋体"/>
                      <w:color w:val="auto"/>
                      <w:kern w:val="2"/>
                      <w:sz w:val="21"/>
                      <w:szCs w:val="21"/>
                      <w:lang w:val="en-US" w:eastAsia="zh-CN" w:bidi="ar"/>
                    </w:rPr>
                    <w:t>本项目单位产品污染物排放满足行业污染物排放标准。</w:t>
                  </w:r>
                </w:p>
              </w:tc>
              <w:tc>
                <w:tcPr>
                  <w:tcW w:w="483" w:type="pc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土地利用</w:t>
                  </w:r>
                </w:p>
              </w:tc>
              <w:tc>
                <w:tcPr>
                  <w:tcW w:w="2503" w:type="pct"/>
                  <w:tcBorders>
                    <w:bottom w:val="single" w:color="auto" w:sz="8" w:space="0"/>
                  </w:tcBorders>
                  <w:noWrap w:val="0"/>
                  <w:vAlign w:val="center"/>
                </w:tcPr>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）入园项目必须达到《河南省工业项目建设用地控制指标》要求；</w:t>
                  </w:r>
                </w:p>
                <w:p>
                  <w:pPr>
                    <w:keepNext w:val="0"/>
                    <w:keepLines w:val="0"/>
                    <w:widowControl w:val="0"/>
                    <w:suppressLineNumbers w:val="0"/>
                    <w:autoSpaceDE w:val="0"/>
                    <w:autoSpaceDN/>
                    <w:adjustRightInd w:val="0"/>
                    <w:snapToGrid w:val="0"/>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）入园项目用地必须符合集聚区土地利用规划要求。</w:t>
                  </w:r>
                </w:p>
                <w:p>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）入园项目必须符合园区产业布局要求。</w:t>
                  </w:r>
                </w:p>
              </w:tc>
              <w:tc>
                <w:tcPr>
                  <w:tcW w:w="1535" w:type="pct"/>
                  <w:tcBorders>
                    <w:bottom w:val="single" w:color="auto" w:sz="8" w:space="0"/>
                  </w:tcBorders>
                  <w:noWrap w:val="0"/>
                  <w:vAlign w:val="center"/>
                </w:tcPr>
                <w:p>
                  <w:pPr>
                    <w:keepNext w:val="0"/>
                    <w:keepLines w:val="0"/>
                    <w:widowControl w:val="0"/>
                    <w:suppressLineNumbers w:val="0"/>
                    <w:autoSpaceDE w:val="0"/>
                    <w:autoSpaceDN/>
                    <w:spacing w:before="0" w:beforeAutospacing="0" w:after="0" w:afterAutospacing="0"/>
                    <w:ind w:left="0" w:right="0"/>
                    <w:jc w:val="both"/>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（1）</w:t>
                  </w:r>
                  <w:r>
                    <w:rPr>
                      <w:rFonts w:hint="eastAsia" w:ascii="宋体" w:hAnsi="宋体" w:eastAsia="宋体" w:cs="宋体"/>
                      <w:kern w:val="2"/>
                      <w:sz w:val="21"/>
                      <w:szCs w:val="21"/>
                      <w:lang w:val="en-US" w:eastAsia="zh-CN" w:bidi="ar"/>
                    </w:rPr>
                    <w:t>本项目符合《河南省工业项目建设用地控制指标》</w:t>
                  </w:r>
                  <w:r>
                    <w:rPr>
                      <w:rFonts w:hint="default" w:ascii="Times New Roman" w:hAnsi="Times New Roman" w:eastAsia="宋体" w:cs="Times New Roman"/>
                      <w:kern w:val="2"/>
                      <w:sz w:val="21"/>
                      <w:szCs w:val="21"/>
                      <w:lang w:val="en-US" w:eastAsia="zh-CN" w:bidi="ar"/>
                    </w:rPr>
                    <w:t>440</w:t>
                  </w:r>
                  <w:r>
                    <w:rPr>
                      <w:rFonts w:hint="eastAsia" w:ascii="宋体" w:hAnsi="宋体" w:eastAsia="宋体" w:cs="宋体"/>
                      <w:kern w:val="2"/>
                      <w:sz w:val="21"/>
                      <w:szCs w:val="21"/>
                      <w:lang w:val="en-US" w:eastAsia="zh-CN" w:bidi="ar"/>
                    </w:rPr>
                    <w:t>万元</w:t>
                  </w:r>
                  <w:r>
                    <w:rPr>
                      <w:rFonts w:hint="default" w:ascii="Times New Roman" w:hAnsi="Times New Roman" w:eastAsia="宋体" w:cs="Times New Roman"/>
                      <w:kern w:val="2"/>
                      <w:sz w:val="21"/>
                      <w:szCs w:val="21"/>
                      <w:lang w:val="en-US" w:eastAsia="zh-CN" w:bidi="ar"/>
                    </w:rPr>
                    <w:t>/</w:t>
                  </w:r>
                  <w:r>
                    <w:rPr>
                      <w:rFonts w:hint="eastAsia" w:ascii="宋体" w:hAnsi="宋体" w:eastAsia="宋体" w:cs="宋体"/>
                      <w:kern w:val="2"/>
                      <w:sz w:val="21"/>
                      <w:szCs w:val="21"/>
                      <w:lang w:val="en-US" w:eastAsia="zh-CN" w:bidi="ar"/>
                    </w:rPr>
                    <w:t>公顷的要求；</w:t>
                  </w:r>
                </w:p>
                <w:p>
                  <w:pPr>
                    <w:keepNext w:val="0"/>
                    <w:keepLines w:val="0"/>
                    <w:widowControl w:val="0"/>
                    <w:suppressLineNumbers w:val="0"/>
                    <w:autoSpaceDE w:val="0"/>
                    <w:autoSpaceDN/>
                    <w:spacing w:before="0" w:beforeAutospacing="0" w:after="0" w:afterAutospacing="0"/>
                    <w:ind w:left="0" w:leftChars="0" w:right="0" w:rightChars="0"/>
                    <w:jc w:val="both"/>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
                    </w:rPr>
                    <w:t>（2）</w:t>
                  </w:r>
                  <w:r>
                    <w:rPr>
                      <w:rFonts w:hint="eastAsia" w:ascii="宋体" w:hAnsi="宋体" w:eastAsia="宋体" w:cs="宋体"/>
                      <w:kern w:val="2"/>
                      <w:sz w:val="21"/>
                      <w:szCs w:val="21"/>
                      <w:lang w:val="en-US" w:eastAsia="zh-CN" w:bidi="ar"/>
                    </w:rPr>
                    <w:t>占地为二类工业用地，符合集聚区用地规划。</w:t>
                  </w:r>
                </w:p>
              </w:tc>
              <w:tc>
                <w:tcPr>
                  <w:tcW w:w="483"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bl>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rPr>
                <w:rFonts w:hint="eastAsia"/>
                <w:b/>
                <w:bCs/>
                <w:lang w:val="en-US" w:eastAsia="zh-CN"/>
              </w:rPr>
            </w:pPr>
            <w:r>
              <w:rPr>
                <w:rFonts w:hint="default" w:ascii="Times New Roman" w:hAnsi="Times New Roman" w:eastAsia="宋体" w:cs="Times New Roman"/>
                <w:sz w:val="24"/>
                <w:szCs w:val="24"/>
              </w:rPr>
              <w:t>由</w:t>
            </w:r>
            <w:r>
              <w:rPr>
                <w:rFonts w:hint="default" w:ascii="Times New Roman" w:hAnsi="Times New Roman" w:eastAsia="宋体" w:cs="Times New Roman"/>
                <w:sz w:val="24"/>
                <w:szCs w:val="24"/>
                <w:lang w:val="en-US" w:eastAsia="zh-CN"/>
              </w:rPr>
              <w:t>上</w:t>
            </w:r>
            <w:r>
              <w:rPr>
                <w:rFonts w:hint="default" w:ascii="Times New Roman" w:hAnsi="Times New Roman" w:eastAsia="宋体" w:cs="Times New Roman"/>
                <w:sz w:val="24"/>
                <w:szCs w:val="24"/>
              </w:rPr>
              <w:t>表可知，本项目符合新乡经济技术产业集聚区产业规划要求，能够满足准入条件。</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jc w:val="left"/>
              <w:rPr>
                <w:rFonts w:hint="default"/>
                <w:b/>
                <w:bCs/>
                <w:lang w:val="en-US" w:eastAsia="zh-CN"/>
              </w:rPr>
            </w:pPr>
            <w:r>
              <w:rPr>
                <w:rFonts w:hint="eastAsia"/>
                <w:b/>
                <w:bCs/>
                <w:lang w:val="en-US" w:eastAsia="zh-CN"/>
              </w:rPr>
              <w:t>3、本项目与</w:t>
            </w:r>
            <w:r>
              <w:rPr>
                <w:rFonts w:hint="default" w:ascii="Times New Roman" w:hAnsi="Times New Roman" w:eastAsia="宋体" w:cs="Times New Roman"/>
                <w:b/>
                <w:bCs/>
                <w:sz w:val="24"/>
                <w:szCs w:val="24"/>
              </w:rPr>
              <w:t>新乡经济技术产业集聚区产业发展</w:t>
            </w:r>
            <w:r>
              <w:rPr>
                <w:rFonts w:hint="eastAsia" w:ascii="Times New Roman" w:hAnsi="Times New Roman" w:eastAsia="宋体" w:cs="Times New Roman"/>
                <w:b/>
                <w:bCs/>
                <w:sz w:val="24"/>
                <w:szCs w:val="24"/>
                <w:lang w:val="en-US" w:eastAsia="zh-CN"/>
              </w:rPr>
              <w:t>正、</w:t>
            </w:r>
            <w:r>
              <w:rPr>
                <w:rFonts w:hint="default" w:ascii="Times New Roman" w:hAnsi="Times New Roman" w:eastAsia="宋体" w:cs="Times New Roman"/>
                <w:b/>
                <w:bCs/>
                <w:sz w:val="24"/>
                <w:szCs w:val="24"/>
              </w:rPr>
              <w:t>负面清单</w:t>
            </w:r>
            <w:r>
              <w:rPr>
                <w:rFonts w:hint="eastAsia" w:ascii="Times New Roman" w:hAnsi="Times New Roman" w:eastAsia="宋体" w:cs="Times New Roman"/>
                <w:b/>
                <w:bCs/>
                <w:sz w:val="24"/>
                <w:szCs w:val="24"/>
                <w:lang w:val="en-US" w:eastAsia="zh-CN"/>
              </w:rPr>
              <w:t>相符性</w:t>
            </w:r>
            <w:r>
              <w:rPr>
                <w:rFonts w:hint="default" w:ascii="Times New Roman" w:hAnsi="Times New Roman" w:eastAsia="宋体" w:cs="Times New Roman"/>
                <w:b/>
                <w:bCs/>
                <w:sz w:val="24"/>
                <w:szCs w:val="24"/>
              </w:rPr>
              <w:t>分析如下：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baseline"/>
              <w:rPr>
                <w:rFonts w:hint="default"/>
                <w:b/>
                <w:bCs/>
                <w:color w:val="000000"/>
                <w:sz w:val="24"/>
                <w:lang w:val="pt-BR"/>
              </w:rPr>
            </w:pPr>
            <w:r>
              <w:rPr>
                <w:rFonts w:hint="default"/>
                <w:b/>
                <w:bCs/>
                <w:color w:val="000000"/>
                <w:sz w:val="24"/>
                <w:lang w:val="pt-BR"/>
              </w:rPr>
              <w:t>表</w:t>
            </w:r>
            <w:r>
              <w:rPr>
                <w:rFonts w:hint="eastAsia"/>
                <w:b/>
                <w:bCs/>
                <w:color w:val="000000"/>
                <w:sz w:val="24"/>
              </w:rPr>
              <w:t>2</w:t>
            </w:r>
            <w:r>
              <w:rPr>
                <w:rFonts w:hint="default"/>
                <w:b/>
                <w:bCs/>
                <w:color w:val="000000"/>
                <w:sz w:val="24"/>
              </w:rPr>
              <w:t xml:space="preserve">  </w:t>
            </w:r>
            <w:r>
              <w:rPr>
                <w:rFonts w:hint="eastAsia"/>
                <w:b/>
                <w:bCs/>
                <w:color w:val="000000"/>
                <w:sz w:val="24"/>
                <w:lang w:val="pt-BR"/>
              </w:rPr>
              <w:t>集聚区产业发展正面清单一览表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1"/>
              <w:gridCol w:w="1245"/>
              <w:gridCol w:w="750"/>
              <w:gridCol w:w="5166"/>
              <w:gridCol w:w="1316"/>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tcBorders>
                    <w:top w:val="single" w:color="auto" w:sz="8" w:space="0"/>
                    <w:left w:val="nil"/>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sz w:val="21"/>
                      <w:szCs w:val="21"/>
                      <w:lang w:eastAsia="zh-CN"/>
                    </w:rPr>
                  </w:pPr>
                  <w:r>
                    <w:rPr>
                      <w:rFonts w:hint="eastAsia"/>
                      <w:b/>
                      <w:bCs/>
                      <w:sz w:val="21"/>
                      <w:szCs w:val="21"/>
                      <w:lang w:val="en-US" w:eastAsia="zh-CN"/>
                    </w:rPr>
                    <w:t>序号</w:t>
                  </w:r>
                </w:p>
              </w:tc>
              <w:tc>
                <w:tcPr>
                  <w:tcW w:w="704"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要求</w:t>
                  </w:r>
                </w:p>
              </w:tc>
              <w:tc>
                <w:tcPr>
                  <w:tcW w:w="424"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sz w:val="21"/>
                      <w:szCs w:val="21"/>
                      <w:lang w:val="en-US" w:eastAsia="zh-CN"/>
                    </w:rPr>
                  </w:pPr>
                  <w:r>
                    <w:rPr>
                      <w:rFonts w:hint="eastAsia"/>
                      <w:b/>
                      <w:bCs/>
                      <w:sz w:val="21"/>
                      <w:szCs w:val="21"/>
                      <w:lang w:val="en-US" w:eastAsia="zh-CN"/>
                    </w:rPr>
                    <w:t>行业</w:t>
                  </w:r>
                </w:p>
              </w:tc>
              <w:tc>
                <w:tcPr>
                  <w:tcW w:w="2921"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有限发展内容</w:t>
                  </w:r>
                </w:p>
              </w:tc>
              <w:tc>
                <w:tcPr>
                  <w:tcW w:w="744" w:type="pct"/>
                  <w:tcBorders>
                    <w:top w:val="single" w:color="auto" w:sz="8" w:space="0"/>
                    <w:left w:val="single" w:color="auto" w:sz="8"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000000"/>
                      <w:sz w:val="21"/>
                      <w:szCs w:val="21"/>
                      <w:lang w:val="en-US" w:eastAsia="zh-CN"/>
                    </w:rPr>
                  </w:pPr>
                  <w:r>
                    <w:rPr>
                      <w:rFonts w:hint="eastAsia"/>
                      <w:color w:val="000000"/>
                      <w:sz w:val="21"/>
                      <w:szCs w:val="21"/>
                      <w:lang w:val="en-US" w:eastAsia="zh-CN"/>
                    </w:rPr>
                    <w:t>1</w:t>
                  </w:r>
                </w:p>
              </w:tc>
              <w:tc>
                <w:tcPr>
                  <w:tcW w:w="704" w:type="pct"/>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r>
                    <w:rPr>
                      <w:rFonts w:hint="eastAsia"/>
                      <w:color w:val="000000"/>
                      <w:sz w:val="21"/>
                      <w:szCs w:val="21"/>
                    </w:rPr>
                    <w:t>符合集聚区产业定位，符合国家政策，不属于淘汰类和限制类工艺，能耗少、污染物产生量小</w:t>
                  </w:r>
                </w:p>
              </w:tc>
              <w:tc>
                <w:tcPr>
                  <w:tcW w:w="424"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000000"/>
                      <w:sz w:val="21"/>
                      <w:szCs w:val="21"/>
                      <w:lang w:val="en-US" w:eastAsia="zh-CN"/>
                    </w:rPr>
                  </w:pPr>
                  <w:r>
                    <w:rPr>
                      <w:rFonts w:hint="eastAsia"/>
                      <w:color w:val="000000"/>
                      <w:sz w:val="21"/>
                      <w:szCs w:val="21"/>
                      <w:lang w:val="en-US" w:eastAsia="zh-CN"/>
                    </w:rPr>
                    <w:t>化工</w:t>
                  </w:r>
                </w:p>
              </w:tc>
              <w:tc>
                <w:tcPr>
                  <w:tcW w:w="2921"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r>
                    <w:rPr>
                      <w:rFonts w:hint="default" w:ascii="Times New Roman" w:hAnsi="Times New Roman" w:cs="Times New Roman"/>
                      <w:kern w:val="0"/>
                      <w:sz w:val="21"/>
                      <w:szCs w:val="21"/>
                      <w:u w:val="none"/>
                      <w:vertAlign w:val="baseline"/>
                      <w:lang w:val="en-US" w:eastAsia="zh-CN"/>
                    </w:rPr>
                    <w:t>重点依托现有企业河南心连心化肥有限公司发展，支持现有心连心企业的升级改造，重点发展以现有产品为原料的基础化工及下游产业链产品，延长煤化工产业链</w:t>
                  </w:r>
                </w:p>
              </w:tc>
              <w:tc>
                <w:tcPr>
                  <w:tcW w:w="744" w:type="pct"/>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sz w:val="21"/>
                      <w:szCs w:val="21"/>
                    </w:rPr>
                  </w:pPr>
                  <w:r>
                    <w:rPr>
                      <w:rFonts w:hint="eastAsia"/>
                      <w:sz w:val="21"/>
                      <w:szCs w:val="21"/>
                    </w:rPr>
                    <w:t>本项目为</w:t>
                  </w:r>
                  <w:r>
                    <w:rPr>
                      <w:rFonts w:hint="eastAsia"/>
                      <w:sz w:val="21"/>
                      <w:szCs w:val="21"/>
                      <w:lang w:val="en-US" w:eastAsia="zh-CN"/>
                    </w:rPr>
                    <w:t>塑料制品制造</w:t>
                  </w:r>
                  <w:r>
                    <w:rPr>
                      <w:rFonts w:hint="eastAsia"/>
                      <w:sz w:val="21"/>
                      <w:szCs w:val="21"/>
                    </w:rPr>
                    <w:t>，位于装备制造园区，符合集聚区产业定位及国家政策</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sz w:val="21"/>
                      <w:szCs w:val="21"/>
                      <w:lang w:val="en-US" w:eastAsia="zh-CN"/>
                    </w:rPr>
                  </w:pPr>
                  <w:r>
                    <w:rPr>
                      <w:rFonts w:hint="eastAsia"/>
                      <w:sz w:val="21"/>
                      <w:szCs w:val="21"/>
                      <w:lang w:val="en-US" w:eastAsia="zh-CN"/>
                    </w:rPr>
                    <w:t>2</w:t>
                  </w:r>
                </w:p>
              </w:tc>
              <w:tc>
                <w:tcPr>
                  <w:tcW w:w="7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424"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sz w:val="21"/>
                      <w:szCs w:val="21"/>
                      <w:lang w:val="en-US" w:eastAsia="zh-CN"/>
                    </w:rPr>
                  </w:pPr>
                  <w:r>
                    <w:rPr>
                      <w:rFonts w:hint="eastAsia"/>
                      <w:sz w:val="21"/>
                      <w:szCs w:val="21"/>
                      <w:lang w:val="en-US" w:eastAsia="zh-CN"/>
                    </w:rPr>
                    <w:t>医药</w:t>
                  </w:r>
                </w:p>
              </w:tc>
              <w:tc>
                <w:tcPr>
                  <w:tcW w:w="292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r>
                    <w:rPr>
                      <w:rFonts w:hint="default" w:ascii="Times New Roman" w:hAnsi="Times New Roman" w:cs="Times New Roman"/>
                      <w:kern w:val="0"/>
                      <w:sz w:val="21"/>
                      <w:szCs w:val="21"/>
                      <w:u w:val="none"/>
                      <w:vertAlign w:val="baseline"/>
                      <w:lang w:val="en-US" w:eastAsia="zh-CN"/>
                    </w:rPr>
                    <w:t>中药饮片加工及中药配方颗粒制剂项目</w:t>
                  </w:r>
                </w:p>
              </w:tc>
              <w:tc>
                <w:tcPr>
                  <w:tcW w:w="74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rPr>
                  </w:pPr>
                </w:p>
              </w:tc>
              <w:tc>
                <w:tcPr>
                  <w:tcW w:w="7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rPr>
                  </w:pPr>
                </w:p>
              </w:tc>
              <w:tc>
                <w:tcPr>
                  <w:tcW w:w="42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rPr>
                  </w:pPr>
                </w:p>
              </w:tc>
              <w:tc>
                <w:tcPr>
                  <w:tcW w:w="292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r>
                    <w:rPr>
                      <w:rFonts w:hint="default" w:ascii="Times New Roman" w:hAnsi="Times New Roman" w:cs="Times New Roman"/>
                      <w:kern w:val="0"/>
                      <w:sz w:val="21"/>
                      <w:szCs w:val="21"/>
                      <w:u w:val="none"/>
                      <w:vertAlign w:val="baseline"/>
                      <w:lang w:val="en-US" w:eastAsia="zh-CN"/>
                    </w:rPr>
                    <w:t>现代中药、中药制剂项目</w:t>
                  </w:r>
                </w:p>
              </w:tc>
              <w:tc>
                <w:tcPr>
                  <w:tcW w:w="74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7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42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292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r>
                    <w:rPr>
                      <w:rFonts w:hint="default" w:ascii="Times New Roman" w:hAnsi="Times New Roman" w:cs="Times New Roman"/>
                      <w:kern w:val="0"/>
                      <w:sz w:val="21"/>
                      <w:szCs w:val="21"/>
                      <w:u w:val="none"/>
                      <w:vertAlign w:val="baseline"/>
                      <w:lang w:val="en-US" w:eastAsia="zh-CN"/>
                    </w:rPr>
                    <w:t>医药产业中成品复配、混装、灌装及封装类项目</w:t>
                  </w:r>
                </w:p>
              </w:tc>
              <w:tc>
                <w:tcPr>
                  <w:tcW w:w="74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70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42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292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r>
                    <w:rPr>
                      <w:rFonts w:hint="default" w:ascii="Times New Roman" w:hAnsi="Times New Roman" w:cs="Times New Roman"/>
                      <w:kern w:val="0"/>
                      <w:sz w:val="21"/>
                      <w:szCs w:val="21"/>
                      <w:u w:val="none"/>
                      <w:vertAlign w:val="baseline"/>
                      <w:lang w:val="en-US" w:eastAsia="zh-CN"/>
                    </w:rPr>
                    <w:t>卫生材料及医药用品制造项目</w:t>
                  </w:r>
                </w:p>
              </w:tc>
              <w:tc>
                <w:tcPr>
                  <w:tcW w:w="74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4" w:type="pct"/>
                  <w:noWrap w:val="0"/>
                  <w:vAlign w:val="center"/>
                </w:tcPr>
                <w:p>
                  <w:pPr>
                    <w:keepNext w:val="0"/>
                    <w:keepLines w:val="0"/>
                    <w:suppressLineNumbers w:val="0"/>
                    <w:tabs>
                      <w:tab w:val="left" w:pos="7200"/>
                    </w:tabs>
                    <w:spacing w:before="0" w:beforeAutospacing="0" w:after="0" w:afterAutospacing="0" w:line="240" w:lineRule="auto"/>
                    <w:ind w:left="0" w:right="0"/>
                    <w:rPr>
                      <w:rFonts w:hint="eastAsia" w:eastAsia="宋体"/>
                      <w:bCs/>
                      <w:sz w:val="21"/>
                      <w:szCs w:val="21"/>
                      <w:lang w:val="en-US" w:eastAsia="zh-CN"/>
                    </w:rPr>
                  </w:pPr>
                  <w:r>
                    <w:rPr>
                      <w:rFonts w:hint="eastAsia"/>
                      <w:bCs/>
                      <w:sz w:val="21"/>
                      <w:szCs w:val="21"/>
                      <w:lang w:val="en-US" w:eastAsia="zh-CN"/>
                    </w:rPr>
                    <w:t>3</w:t>
                  </w:r>
                </w:p>
              </w:tc>
              <w:tc>
                <w:tcPr>
                  <w:tcW w:w="704" w:type="pct"/>
                  <w:vMerge w:val="continue"/>
                  <w:noWrap w:val="0"/>
                  <w:vAlign w:val="center"/>
                </w:tcPr>
                <w:p>
                  <w:pPr>
                    <w:keepNext w:val="0"/>
                    <w:keepLines w:val="0"/>
                    <w:suppressLineNumbers w:val="0"/>
                    <w:tabs>
                      <w:tab w:val="left" w:pos="7200"/>
                    </w:tabs>
                    <w:spacing w:before="0" w:beforeAutospacing="0" w:after="0" w:afterAutospacing="0" w:line="240" w:lineRule="auto"/>
                    <w:ind w:left="0" w:right="0"/>
                    <w:rPr>
                      <w:rFonts w:hint="default"/>
                      <w:bCs/>
                      <w:sz w:val="21"/>
                      <w:szCs w:val="21"/>
                    </w:rPr>
                  </w:pPr>
                </w:p>
              </w:tc>
              <w:tc>
                <w:tcPr>
                  <w:tcW w:w="424"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lang w:val="en-US" w:eastAsia="zh-CN"/>
                    </w:rPr>
                    <w:t>装备制造</w:t>
                  </w:r>
                </w:p>
              </w:tc>
              <w:tc>
                <w:tcPr>
                  <w:tcW w:w="2921" w:type="pct"/>
                  <w:noWrap w:val="0"/>
                  <w:vAlign w:val="center"/>
                </w:tcPr>
                <w:p>
                  <w:pPr>
                    <w:keepNext w:val="0"/>
                    <w:keepLines w:val="0"/>
                    <w:suppressLineNumbers w:val="0"/>
                    <w:adjustRightInd w:val="0"/>
                    <w:snapToGrid w:val="0"/>
                    <w:spacing w:before="0" w:beforeAutospacing="0" w:after="0" w:afterAutospacing="0"/>
                    <w:ind w:left="0" w:right="0"/>
                    <w:jc w:val="left"/>
                    <w:rPr>
                      <w:rFonts w:hint="default"/>
                      <w:sz w:val="21"/>
                      <w:szCs w:val="21"/>
                    </w:rPr>
                  </w:pPr>
                  <w:r>
                    <w:rPr>
                      <w:rFonts w:hint="default" w:ascii="Times New Roman" w:hAnsi="Times New Roman" w:cs="Times New Roman"/>
                      <w:kern w:val="0"/>
                      <w:sz w:val="21"/>
                      <w:szCs w:val="21"/>
                      <w:u w:val="none"/>
                      <w:vertAlign w:val="baseline"/>
                      <w:lang w:val="en-US" w:eastAsia="zh-CN"/>
                    </w:rPr>
                    <w:t>以振动机械制造、石化煤化工设备制造、家电设备制造为主</w:t>
                  </w:r>
                </w:p>
              </w:tc>
              <w:tc>
                <w:tcPr>
                  <w:tcW w:w="744"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center"/>
              <w:textAlignment w:val="auto"/>
              <w:rPr>
                <w:rFonts w:hint="eastAsia" w:ascii="宋体" w:hAnsi="宋体" w:cs="宋体"/>
                <w:b/>
                <w:bCs/>
                <w:kern w:val="0"/>
                <w:sz w:val="24"/>
              </w:rPr>
            </w:pPr>
            <w:r>
              <w:rPr>
                <w:rFonts w:hint="default"/>
                <w:b/>
                <w:bCs/>
              </w:rPr>
              <w:t>表</w:t>
            </w:r>
            <w:r>
              <w:rPr>
                <w:rFonts w:hint="eastAsia"/>
                <w:b/>
                <w:bCs/>
              </w:rPr>
              <w:t>3</w:t>
            </w:r>
            <w:r>
              <w:rPr>
                <w:rFonts w:hint="default"/>
                <w:b/>
                <w:bCs/>
              </w:rPr>
              <w:t xml:space="preserve">  </w:t>
            </w:r>
            <w:r>
              <w:rPr>
                <w:rFonts w:hint="default" w:ascii="Times New Roman" w:hAnsi="Times New Roman" w:eastAsia="宋体" w:cs="Times New Roman"/>
                <w:b/>
                <w:bCs/>
                <w:sz w:val="24"/>
                <w:szCs w:val="24"/>
              </w:rPr>
              <w:t>集聚区产业发展负面清单一览表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095"/>
              <w:gridCol w:w="4791"/>
              <w:gridCol w:w="194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tcBorders>
                    <w:top w:val="single" w:color="auto" w:sz="8" w:space="0"/>
                    <w:left w:val="nil"/>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要求</w:t>
                  </w:r>
                </w:p>
              </w:tc>
              <w:tc>
                <w:tcPr>
                  <w:tcW w:w="619"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sz w:val="21"/>
                      <w:szCs w:val="21"/>
                      <w:lang w:val="en-US" w:eastAsia="zh-CN"/>
                    </w:rPr>
                  </w:pPr>
                  <w:r>
                    <w:rPr>
                      <w:rFonts w:hint="eastAsia"/>
                      <w:b/>
                      <w:bCs/>
                      <w:sz w:val="21"/>
                      <w:szCs w:val="21"/>
                      <w:lang w:val="en-US" w:eastAsia="zh-CN"/>
                    </w:rPr>
                    <w:t>行业</w:t>
                  </w:r>
                </w:p>
              </w:tc>
              <w:tc>
                <w:tcPr>
                  <w:tcW w:w="2709"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禁止和限制发展内容</w:t>
                  </w:r>
                </w:p>
              </w:tc>
              <w:tc>
                <w:tcPr>
                  <w:tcW w:w="1101" w:type="pct"/>
                  <w:tcBorders>
                    <w:top w:val="single" w:color="auto" w:sz="8" w:space="0"/>
                    <w:left w:val="single" w:color="auto" w:sz="8"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sz w:val="21"/>
                      <w:szCs w:val="21"/>
                      <w:lang w:val="en-US" w:eastAsia="zh-CN"/>
                    </w:rPr>
                  </w:pPr>
                  <w:r>
                    <w:rPr>
                      <w:rFonts w:hint="eastAsia"/>
                      <w:b/>
                      <w:bCs/>
                      <w:sz w:val="21"/>
                      <w:szCs w:val="21"/>
                      <w:lang w:val="en-US" w:eastAsia="zh-CN"/>
                    </w:rPr>
                    <w:t>本项目情况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r>
                    <w:rPr>
                      <w:rFonts w:hint="eastAsia"/>
                      <w:color w:val="000000"/>
                      <w:sz w:val="21"/>
                      <w:szCs w:val="21"/>
                    </w:rPr>
                    <w:t>不符合国家政策，属于淘汰产品，能耗大、污染物产生量大，产业规模达不到要求及国家限制发展行业</w:t>
                  </w:r>
                </w:p>
              </w:tc>
              <w:tc>
                <w:tcPr>
                  <w:tcW w:w="619" w:type="pct"/>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000000"/>
                      <w:sz w:val="21"/>
                      <w:szCs w:val="21"/>
                      <w:lang w:val="en-US" w:eastAsia="zh-CN"/>
                    </w:rPr>
                  </w:pPr>
                  <w:r>
                    <w:rPr>
                      <w:rFonts w:hint="eastAsia"/>
                      <w:color w:val="000000"/>
                      <w:sz w:val="21"/>
                      <w:szCs w:val="21"/>
                      <w:lang w:val="en-US" w:eastAsia="zh-CN"/>
                    </w:rPr>
                    <w:t>化工</w:t>
                  </w:r>
                </w:p>
              </w:tc>
              <w:tc>
                <w:tcPr>
                  <w:tcW w:w="2709" w:type="pct"/>
                  <w:tcBorders>
                    <w:top w:val="single" w:color="auto" w:sz="8" w:space="0"/>
                    <w:bottom w:val="nil"/>
                  </w:tcBorders>
                  <w:noWrap w:val="0"/>
                  <w:vAlign w:val="center"/>
                </w:tcPr>
                <w:p>
                  <w:pPr>
                    <w:keepNext w:val="0"/>
                    <w:keepLines w:val="0"/>
                    <w:widowControl w:val="0"/>
                    <w:suppressLineNumbers w:val="0"/>
                    <w:autoSpaceDE w:val="0"/>
                    <w:autoSpaceDN/>
                    <w:adjustRightInd w:val="0"/>
                    <w:snapToGrid w:val="0"/>
                    <w:spacing w:before="0" w:beforeAutospacing="0" w:after="0" w:afterAutospacing="0"/>
                    <w:ind w:left="0" w:leftChars="0" w:right="0" w:right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Pr>
                      <w:rFonts w:hint="default" w:ascii="Times New Roman" w:hAnsi="Times New Roman" w:eastAsia="宋体" w:cs="Times New Roman"/>
                      <w:kern w:val="2"/>
                      <w:sz w:val="21"/>
                      <w:szCs w:val="21"/>
                      <w:lang w:val="en-US" w:eastAsia="zh-CN" w:bidi="ar"/>
                    </w:rPr>
                    <w:t>200</w:t>
                  </w:r>
                  <w:r>
                    <w:rPr>
                      <w:rFonts w:hint="eastAsia" w:ascii="宋体" w:hAnsi="宋体" w:eastAsia="宋体" w:cs="宋体"/>
                      <w:kern w:val="2"/>
                      <w:sz w:val="21"/>
                      <w:szCs w:val="21"/>
                      <w:lang w:val="en-US" w:eastAsia="zh-CN" w:bidi="ar"/>
                    </w:rPr>
                    <w:t>万吨。</w:t>
                  </w:r>
                </w:p>
              </w:tc>
              <w:tc>
                <w:tcPr>
                  <w:tcW w:w="1101" w:type="pct"/>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eastAsia"/>
                      <w:sz w:val="21"/>
                      <w:szCs w:val="21"/>
                    </w:rPr>
                  </w:pPr>
                  <w:r>
                    <w:rPr>
                      <w:rFonts w:hint="eastAsia"/>
                      <w:sz w:val="21"/>
                      <w:szCs w:val="21"/>
                    </w:rPr>
                    <w:t>1、本项目符合国家政策，不属于淘汰产品，能耗大、污染物产生量大，产业规模达不到要求及国家限制发展行业。故本项目符合集聚区要求。</w:t>
                  </w:r>
                </w:p>
                <w:p>
                  <w:pPr>
                    <w:keepNext w:val="0"/>
                    <w:keepLines w:val="0"/>
                    <w:suppressLineNumbers w:val="0"/>
                    <w:adjustRightInd w:val="0"/>
                    <w:snapToGrid w:val="0"/>
                    <w:spacing w:before="0" w:beforeAutospacing="0" w:after="0" w:afterAutospacing="0" w:line="240" w:lineRule="auto"/>
                    <w:ind w:left="0" w:right="0"/>
                    <w:jc w:val="left"/>
                    <w:rPr>
                      <w:rFonts w:hint="eastAsia"/>
                      <w:sz w:val="21"/>
                      <w:szCs w:val="21"/>
                    </w:rPr>
                  </w:pPr>
                  <w:r>
                    <w:rPr>
                      <w:rFonts w:hint="eastAsia"/>
                      <w:sz w:val="21"/>
                      <w:szCs w:val="21"/>
                    </w:rPr>
                    <w:t>2、本项目不属于制革、化纤浆粕、黑色冶金、焦化、独立电镀、皂素、金属冶炼等不符合园区产业定位且污染较重的项目。故本项目不属于集聚区产业发展负面清单（禁止和限制发展项目）。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rPr>
                  </w:pPr>
                </w:p>
              </w:tc>
              <w:tc>
                <w:tcPr>
                  <w:tcW w:w="6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rPr>
                  </w:pPr>
                </w:p>
              </w:tc>
              <w:tc>
                <w:tcPr>
                  <w:tcW w:w="2709" w:type="pct"/>
                  <w:tcBorders>
                    <w:top w:val="nil"/>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禁止新建或扩建以天然气为原料生产甲醇及甲醇生产下游产品；禁止以天然气代煤制甲醇项目</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6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2709" w:type="pct"/>
                  <w:tcBorders>
                    <w:top w:val="single" w:color="auto" w:sz="4" w:space="0"/>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禁止焦化行业炼焦和煤焦油加工项目入驻</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6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2709" w:type="pct"/>
                  <w:tcBorders>
                    <w:top w:val="single" w:color="auto" w:sz="4" w:space="0"/>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限制新建、扩建以天然气为原料的合成氨项目</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6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c>
                <w:tcPr>
                  <w:tcW w:w="2709" w:type="pct"/>
                  <w:tcBorders>
                    <w:top w:val="single" w:color="auto" w:sz="4" w:space="0"/>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其它行业政策禁止或限制发展的化工项目</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color w:val="00000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sz w:val="21"/>
                      <w:szCs w:val="21"/>
                    </w:rPr>
                  </w:pPr>
                </w:p>
              </w:tc>
              <w:tc>
                <w:tcPr>
                  <w:tcW w:w="619"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sz w:val="21"/>
                      <w:szCs w:val="21"/>
                      <w:lang w:val="en-US" w:eastAsia="zh-CN"/>
                    </w:rPr>
                  </w:pPr>
                  <w:r>
                    <w:rPr>
                      <w:rFonts w:hint="eastAsia"/>
                      <w:sz w:val="21"/>
                      <w:szCs w:val="21"/>
                      <w:lang w:val="en-US" w:eastAsia="zh-CN"/>
                    </w:rPr>
                    <w:t>装备制造</w:t>
                  </w:r>
                </w:p>
              </w:tc>
              <w:tc>
                <w:tcPr>
                  <w:tcW w:w="2709" w:type="pct"/>
                  <w:tcBorders>
                    <w:top w:val="single" w:color="auto" w:sz="4" w:space="0"/>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sz w:val="21"/>
                      <w:szCs w:val="21"/>
                    </w:rPr>
                  </w:pPr>
                  <w:r>
                    <w:rPr>
                      <w:rFonts w:hint="eastAsia" w:ascii="宋体" w:hAnsi="宋体" w:eastAsia="宋体" w:cs="宋体"/>
                      <w:kern w:val="2"/>
                      <w:sz w:val="21"/>
                      <w:szCs w:val="21"/>
                      <w:lang w:val="en-US" w:eastAsia="zh-CN" w:bidi="ar"/>
                    </w:rPr>
                    <w:t>禁止建设独立电镀项目</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tabs>
                      <w:tab w:val="left" w:pos="7200"/>
                    </w:tabs>
                    <w:spacing w:before="0" w:beforeAutospacing="0" w:after="0" w:afterAutospacing="0" w:line="240" w:lineRule="auto"/>
                    <w:ind w:left="0" w:right="0"/>
                    <w:rPr>
                      <w:rFonts w:hint="default"/>
                      <w:bCs/>
                      <w:sz w:val="21"/>
                      <w:szCs w:val="21"/>
                    </w:rPr>
                  </w:pPr>
                </w:p>
              </w:tc>
              <w:tc>
                <w:tcPr>
                  <w:tcW w:w="61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lang w:val="en-US" w:eastAsia="zh-CN"/>
                    </w:rPr>
                    <w:t>纸制品印刷包装</w:t>
                  </w:r>
                </w:p>
              </w:tc>
              <w:tc>
                <w:tcPr>
                  <w:tcW w:w="2709" w:type="pct"/>
                  <w:tcBorders>
                    <w:top w:val="single" w:color="auto" w:sz="4" w:space="0"/>
                    <w:bottom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sz w:val="21"/>
                      <w:szCs w:val="21"/>
                    </w:rPr>
                  </w:pPr>
                  <w:r>
                    <w:rPr>
                      <w:rFonts w:hint="eastAsia" w:ascii="宋体" w:hAnsi="宋体" w:eastAsia="宋体" w:cs="宋体"/>
                      <w:kern w:val="2"/>
                      <w:sz w:val="21"/>
                      <w:szCs w:val="21"/>
                      <w:lang w:val="en-US" w:eastAsia="zh-CN" w:bidi="ar"/>
                    </w:rPr>
                    <w:t>禁止造纸制浆、油墨生产（单纯分装、复配除外）项目入驻</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9" w:type="pct"/>
                  <w:vMerge w:val="continue"/>
                  <w:noWrap w:val="0"/>
                  <w:vAlign w:val="center"/>
                </w:tcPr>
                <w:p>
                  <w:pPr>
                    <w:keepNext w:val="0"/>
                    <w:keepLines w:val="0"/>
                    <w:suppressLineNumbers w:val="0"/>
                    <w:tabs>
                      <w:tab w:val="left" w:pos="7200"/>
                    </w:tabs>
                    <w:spacing w:before="0" w:beforeAutospacing="0" w:after="0" w:afterAutospacing="0" w:line="240" w:lineRule="auto"/>
                    <w:ind w:left="0" w:right="0"/>
                    <w:rPr>
                      <w:rFonts w:hint="default"/>
                      <w:bCs/>
                      <w:sz w:val="21"/>
                      <w:szCs w:val="21"/>
                    </w:rPr>
                  </w:pPr>
                </w:p>
              </w:tc>
              <w:tc>
                <w:tcPr>
                  <w:tcW w:w="61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其他</w:t>
                  </w:r>
                </w:p>
              </w:tc>
              <w:tc>
                <w:tcPr>
                  <w:tcW w:w="2709" w:type="pct"/>
                  <w:tcBorders>
                    <w:top w:val="single" w:color="auto" w:sz="4" w:space="0"/>
                  </w:tcBorders>
                  <w:noWrap w:val="0"/>
                  <w:vAlign w:val="center"/>
                </w:tcPr>
                <w:p>
                  <w:pPr>
                    <w:pStyle w:val="18"/>
                    <w:keepNext w:val="0"/>
                    <w:keepLines w:val="0"/>
                    <w:widowControl w:val="0"/>
                    <w:suppressLineNumbers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cs="Times New Roman"/>
                      <w:kern w:val="0"/>
                      <w:sz w:val="21"/>
                      <w:szCs w:val="21"/>
                      <w:u w:val="none"/>
                      <w:vertAlign w:val="baseline"/>
                      <w:lang w:val="en-US" w:eastAsia="zh-CN"/>
                    </w:rPr>
                  </w:pPr>
                  <w:r>
                    <w:rPr>
                      <w:rFonts w:hint="eastAsia" w:ascii="宋体" w:hAnsi="宋体" w:eastAsia="宋体" w:cs="宋体"/>
                      <w:kern w:val="2"/>
                      <w:sz w:val="21"/>
                      <w:szCs w:val="21"/>
                      <w:lang w:val="en-US" w:eastAsia="zh-CN" w:bidi="ar"/>
                    </w:rPr>
                    <w:t>禁止发展不符合园区产业定位的制革、化纤浆粕、黑色冶金、焦化、独立电镀、皂素、金属冶炼等不符合园区产业定位且污染较重的项目</w:t>
                  </w:r>
                </w:p>
              </w:tc>
              <w:tc>
                <w:tcPr>
                  <w:tcW w:w="1101"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p>
              </w:tc>
            </w:tr>
          </w:tbl>
          <w:p>
            <w:pPr>
              <w:keepNext w:val="0"/>
              <w:keepLines w:val="0"/>
              <w:suppressLineNumbers w:val="0"/>
              <w:spacing w:before="0" w:beforeAutospacing="0" w:after="0" w:afterAutospacing="0"/>
              <w:ind w:left="0" w:right="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92" w:type="dxa"/>
          <w:trHeight w:val="13715" w:hRule="atLeast"/>
          <w:jc w:val="center"/>
        </w:trPr>
        <w:tc>
          <w:tcPr>
            <w:tcW w:w="700" w:type="dxa"/>
            <w:gridSpan w:val="2"/>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jc w:val="center"/>
              <w:textAlignment w:val="auto"/>
              <w:rPr>
                <w:rFonts w:hint="default"/>
                <w:kern w:val="0"/>
                <w:sz w:val="24"/>
              </w:rPr>
            </w:pPr>
            <w:r>
              <w:rPr>
                <w:rFonts w:hint="default" w:hAnsi="宋体"/>
                <w:kern w:val="0"/>
                <w:sz w:val="24"/>
              </w:rPr>
              <w:t>其他符合性分析</w:t>
            </w:r>
          </w:p>
        </w:tc>
        <w:tc>
          <w:tcPr>
            <w:tcW w:w="9054" w:type="dxa"/>
            <w:gridSpan w:val="4"/>
            <w:noWrap w:val="0"/>
            <w:vAlign w:val="center"/>
          </w:tcPr>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bCs/>
                <w:color w:val="000000"/>
                <w:sz w:val="24"/>
              </w:rPr>
            </w:pPr>
            <w:r>
              <w:rPr>
                <w:rFonts w:hint="eastAsia" w:ascii="宋体" w:hAnsi="宋体"/>
                <w:b/>
                <w:bCs/>
                <w:color w:val="000000"/>
                <w:sz w:val="24"/>
              </w:rPr>
              <w:t>1、“三线一单”符合性分析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ascii="宋体" w:hAnsi="宋体" w:eastAsia="宋体"/>
                <w:color w:val="000000"/>
                <w:sz w:val="24"/>
                <w:lang w:eastAsia="zh-CN"/>
              </w:rPr>
            </w:pPr>
            <w:r>
              <w:rPr>
                <w:rFonts w:hint="eastAsia" w:ascii="宋体" w:hAnsi="宋体"/>
                <w:color w:val="000000"/>
                <w:sz w:val="24"/>
              </w:rPr>
              <w:t>根据《关于以改善环境质量为核心加强环境影响评价管理的通知》(环环评</w:t>
            </w:r>
            <w:r>
              <w:rPr>
                <w:rFonts w:hint="default" w:ascii="Times New Roman" w:hAnsi="Times New Roman" w:cs="Times New Roman"/>
                <w:color w:val="000000"/>
                <w:sz w:val="24"/>
              </w:rPr>
              <w:t>[2016]150</w:t>
            </w:r>
            <w:r>
              <w:rPr>
                <w:rFonts w:hint="eastAsia" w:ascii="宋体" w:hAnsi="宋体"/>
                <w:color w:val="000000"/>
                <w:sz w:val="24"/>
              </w:rPr>
              <w:t>号)要求，落实“生态保护红线、环境质量底线、资源利用上线和环境准入负面清单”（以下简称“三线一单”）约束，现分析如下</w:t>
            </w:r>
            <w:r>
              <w:rPr>
                <w:rFonts w:hint="eastAsia" w:ascii="宋体" w:hAnsi="宋体"/>
                <w:color w:val="000000"/>
                <w:sz w:val="24"/>
                <w:lang w:eastAsia="zh-CN"/>
              </w:rPr>
              <w:t>：</w:t>
            </w:r>
          </w:p>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bCs/>
                <w:color w:val="000000"/>
                <w:sz w:val="24"/>
              </w:rPr>
            </w:pPr>
            <w:r>
              <w:rPr>
                <w:rFonts w:hint="eastAsia" w:ascii="宋体" w:hAnsi="宋体"/>
                <w:b/>
                <w:bCs/>
                <w:color w:val="000000"/>
                <w:sz w:val="24"/>
              </w:rPr>
              <w:t>（1）生态保护红线相符性分析</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宋体" w:hAnsi="宋体"/>
                <w:color w:val="000000" w:themeColor="text1"/>
                <w:sz w:val="24"/>
                <w14:textFill>
                  <w14:solidFill>
                    <w14:schemeClr w14:val="tx1"/>
                  </w14:solidFill>
                </w14:textFill>
              </w:rPr>
            </w:pPr>
            <w:r>
              <w:rPr>
                <w:rFonts w:hint="default" w:ascii="宋体" w:hAnsi="宋体"/>
                <w:color w:val="000000" w:themeColor="text1"/>
                <w:sz w:val="24"/>
                <w14:textFill>
                  <w14:solidFill>
                    <w14:schemeClr w14:val="tx1"/>
                  </w14:solidFill>
                </w14:textFill>
              </w:rPr>
              <w:t>本项目所在地位于</w:t>
            </w:r>
            <w:r>
              <w:rPr>
                <w:rFonts w:hint="eastAsia" w:ascii="宋体" w:hAnsi="宋体"/>
                <w:color w:val="000000" w:themeColor="text1"/>
                <w:sz w:val="24"/>
                <w14:textFill>
                  <w14:solidFill>
                    <w14:schemeClr w14:val="tx1"/>
                  </w14:solidFill>
                </w14:textFill>
              </w:rPr>
              <w:t>新乡市</w:t>
            </w:r>
            <w:r>
              <w:rPr>
                <w:rFonts w:hint="eastAsia" w:ascii="宋体" w:hAnsi="宋体" w:cs="宋体"/>
                <w:sz w:val="24"/>
                <w:szCs w:val="24"/>
                <w:lang w:val="en-US" w:eastAsia="zh-CN"/>
              </w:rPr>
              <w:t>新乡县七里营镇工业园区阳光路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eastAsia" w:ascii="宋体" w:hAnsi="宋体"/>
                <w:color w:val="000000" w:themeColor="text1"/>
                <w:sz w:val="24"/>
                <w14:textFill>
                  <w14:solidFill>
                    <w14:schemeClr w14:val="tx1"/>
                  </w14:solidFill>
                </w14:textFill>
              </w:rPr>
              <w:t>，本项目</w:t>
            </w:r>
            <w:r>
              <w:rPr>
                <w:rFonts w:hint="eastAsia" w:ascii="宋体" w:hAnsi="宋体"/>
                <w:color w:val="000000" w:themeColor="text1"/>
                <w:sz w:val="24"/>
                <w:lang w:val="en-US" w:eastAsia="zh-CN"/>
                <w14:textFill>
                  <w14:solidFill>
                    <w14:schemeClr w14:val="tx1"/>
                  </w14:solidFill>
                </w14:textFill>
              </w:rPr>
              <w:t>租赁</w:t>
            </w:r>
            <w:r>
              <w:rPr>
                <w:rFonts w:hint="eastAsia" w:ascii="宋体" w:hAnsi="宋体"/>
                <w:color w:val="000000" w:themeColor="text1"/>
                <w:sz w:val="24"/>
                <w14:textFill>
                  <w14:solidFill>
                    <w14:schemeClr w14:val="tx1"/>
                  </w14:solidFill>
                </w14:textFill>
              </w:rPr>
              <w:t>现有厂房进行生产，不新增占地。经查阅《新乡市生态保护红线划分结果图》，本项目所在地不涉及生态保护红线。</w:t>
            </w: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FF0000"/>
                <w:sz w:val="24"/>
              </w:rPr>
            </w:pPr>
            <w:r>
              <w:rPr>
                <w:rFonts w:hint="default"/>
                <w:b/>
                <w:bCs/>
                <w:color w:val="FF0000"/>
                <w:sz w:val="24"/>
              </w:rPr>
              <w:drawing>
                <wp:anchor distT="0" distB="0" distL="114300" distR="114300" simplePos="0" relativeHeight="251659264" behindDoc="0" locked="0" layoutInCell="1" allowOverlap="1">
                  <wp:simplePos x="0" y="0"/>
                  <wp:positionH relativeFrom="column">
                    <wp:posOffset>73660</wp:posOffset>
                  </wp:positionH>
                  <wp:positionV relativeFrom="paragraph">
                    <wp:posOffset>76835</wp:posOffset>
                  </wp:positionV>
                  <wp:extent cx="5515610" cy="3782060"/>
                  <wp:effectExtent l="9525" t="9525" r="18415" b="18415"/>
                  <wp:wrapNone/>
                  <wp:docPr id="2" name="图片 2" descr="微信截图_2021033014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10330140340"/>
                          <pic:cNvPicPr>
                            <a:picLocks noChangeAspect="1"/>
                          </pic:cNvPicPr>
                        </pic:nvPicPr>
                        <pic:blipFill>
                          <a:blip r:embed="rId14"/>
                          <a:stretch>
                            <a:fillRect/>
                          </a:stretch>
                        </pic:blipFill>
                        <pic:spPr>
                          <a:xfrm>
                            <a:off x="0" y="0"/>
                            <a:ext cx="5515610" cy="3782060"/>
                          </a:xfrm>
                          <a:prstGeom prst="rect">
                            <a:avLst/>
                          </a:prstGeom>
                          <a:noFill/>
                          <a:ln w="9525" cap="flat" cmpd="sng">
                            <a:solidFill>
                              <a:srgbClr val="000000"/>
                            </a:solidFill>
                            <a:prstDash val="solid"/>
                            <a:miter/>
                            <a:headEnd type="none" w="med" len="med"/>
                            <a:tailEnd type="none" w="med" len="med"/>
                          </a:ln>
                        </pic:spPr>
                      </pic:pic>
                    </a:graphicData>
                  </a:graphic>
                </wp:anchor>
              </w:drawing>
            </w: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FF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r>
              <w:rPr>
                <w:rFonts w:hint="eastAsia"/>
                <w:b/>
                <w:bCs/>
                <w:color w:val="000000"/>
                <w:sz w:val="24"/>
              </w:rPr>
              <mc:AlternateContent>
                <mc:Choice Requires="wps">
                  <w:drawing>
                    <wp:anchor distT="0" distB="0" distL="114300" distR="114300" simplePos="0" relativeHeight="251660288" behindDoc="0" locked="0" layoutInCell="1" allowOverlap="1">
                      <wp:simplePos x="0" y="0"/>
                      <wp:positionH relativeFrom="column">
                        <wp:posOffset>1199515</wp:posOffset>
                      </wp:positionH>
                      <wp:positionV relativeFrom="paragraph">
                        <wp:posOffset>84455</wp:posOffset>
                      </wp:positionV>
                      <wp:extent cx="702945" cy="175895"/>
                      <wp:effectExtent l="4445" t="5080" r="16510" b="314325"/>
                      <wp:wrapNone/>
                      <wp:docPr id="3" name="矩形标注 3"/>
                      <wp:cNvGraphicFramePr/>
                      <a:graphic xmlns:a="http://schemas.openxmlformats.org/drawingml/2006/main">
                        <a:graphicData uri="http://schemas.microsoft.com/office/word/2010/wordprocessingShape">
                          <wps:wsp>
                            <wps:cNvSpPr/>
                            <wps:spPr>
                              <a:xfrm>
                                <a:off x="0" y="0"/>
                                <a:ext cx="702945" cy="175895"/>
                              </a:xfrm>
                              <a:prstGeom prst="wedgeRectCallout">
                                <a:avLst>
                                  <a:gd name="adj1" fmla="val -21906"/>
                                  <a:gd name="adj2" fmla="val 217870"/>
                                </a:avLst>
                              </a:prstGeom>
                              <a:noFill/>
                              <a:ln w="9525" cap="flat" cmpd="sng">
                                <a:solidFill>
                                  <a:srgbClr val="FF0000"/>
                                </a:solidFill>
                                <a:prstDash val="solid"/>
                                <a:miter/>
                                <a:headEnd type="none" w="med" len="med"/>
                                <a:tailEnd type="none" w="med" len="med"/>
                              </a:ln>
                              <a:effectLst/>
                            </wps:spPr>
                            <wps:txbx>
                              <w:txbxContent>
                                <w:p>
                                  <w:pPr>
                                    <w:jc w:val="center"/>
                                    <w:rPr>
                                      <w:b/>
                                      <w:color w:val="FF0000"/>
                                    </w:rPr>
                                  </w:pPr>
                                  <w:r>
                                    <w:rPr>
                                      <w:b/>
                                      <w:color w:val="FF0000"/>
                                    </w:rPr>
                                    <w:t>项目所在地</w:t>
                                  </w:r>
                                </w:p>
                              </w:txbxContent>
                            </wps:txbx>
                            <wps:bodyPr wrap="square" lIns="0" tIns="0" rIns="0" bIns="0" upright="1"/>
                          </wps:wsp>
                        </a:graphicData>
                      </a:graphic>
                    </wp:anchor>
                  </w:drawing>
                </mc:Choice>
                <mc:Fallback>
                  <w:pict>
                    <v:shape id="_x0000_s1026" o:spid="_x0000_s1026" o:spt="61" type="#_x0000_t61" style="position:absolute;left:0pt;margin-left:94.45pt;margin-top:6.65pt;height:13.85pt;width:55.35pt;z-index:251660288;mso-width-relative:page;mso-height-relative:page;" filled="f" stroked="t" coordsize="21600,21600" o:gfxdata="UEsDBAoAAAAAAIdO4kAAAAAAAAAAAAAAAAAEAAAAZHJzL1BLAwQUAAAACACHTuJA3xTwkdcAAAAJ&#10;AQAADwAAAGRycy9kb3ducmV2LnhtbE2PQU7DMBBF90jcwRokNhW1k6AqCXG6qFQE7Gg5gBsPcSC2&#10;g+22gdMzrMpuvubrzZtmPduRnTDEwTsJ2VIAQ9d5Pbhewtt+e1cCi0k5rUbvUMI3Rli311eNqrU/&#10;u1c87VLPCOJirSSYlKaa89gZtCou/YSOdu8+WJUohp7roM4EtyPPhVhxqwZHF4yacGOw+9wdrYT7&#10;+WWTL2zxHLZPevH4hT9oPvZS3t5k4gFYwjldyvCnT+rQktPBH52ObKRclhVVaSgKYFTIq2oF7ED0&#10;TABvG/7/g/YXUEsDBBQAAAAIAIdO4kDKS5mrVAIAAKQEAAAOAAAAZHJzL2Uyb0RvYy54bWytVEuS&#10;0zAQ3VPFHVTaT/wZMvlUnFlMCEUVBVMMHECxZFuUfkhK7JyAY0CxgjVrjsNwDVqykwnDJgu8sFtS&#10;6/V7/fHiupMC7Zh1XKsCZ6MUI6ZKTbmqC/z+3fpiipHzRFEitGIF3jOHr5dPnyxaM2e5brSgzCIA&#10;UW7emgI33pt5kriyYZK4kTZMwWGlrSQelrZOqCUtoEuR5Gl6lbTaUmN1yZyD3VV/iAdEew6gripe&#10;spUut5Ip36NaJogHSa7hxuFlZFtVrPRvqsoxj0SBQamPbwgC9ia8k+WCzGtLTMPLgQI5h8IjTZJw&#10;BUGPUCviCdpa/g+U5KXVTld+VGqZ9EJiRkBFlj7KzV1DDItaINXOHJPu/h9s+Xp3axGnBb7ESBEJ&#10;Bf/9+fuvn1/vv3y6//ENXYYMtcbNwfHO3Nph5cAMcrvKyvAFIaiLWd0fs8o6j0rYnKT57NkYoxKO&#10;ssl4OhsHzOThsrHOv2BaomAUuGW0Zm+hcjdECL31Ma9k98r5mGA60CT0Q4ZRJQXUa0cEusizWXo1&#10;FPTEKT91yrPJdBKrDvEHTLAODEIApddciNgXQqG2wLNxHtgT6PUKegxMaSBfTtWRmdOC03AlXHa2&#10;3twIi4BQgdfrFJ5B7F9uId6KuKb3i0c9cck9szF2wwh9rijyewM1UTCKOJCRjGIkGExusKKnJ1yc&#10;4wk6hQokWZwLyGcoQ6htX81g+W7TwW4wN5ruoTVamA0Q+3FLLDAQLxU0Xxikg2EPxuZgbI3ldQOF&#10;zKL0gAXNGys+DFqYjtN1pPHwc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8U8JHXAAAACQEA&#10;AA8AAAAAAAAAAQAgAAAAIgAAAGRycy9kb3ducmV2LnhtbFBLAQIUABQAAAAIAIdO4kDKS5mrVAIA&#10;AKQEAAAOAAAAAAAAAAEAIAAAACYBAABkcnMvZTJvRG9jLnhtbFBLBQYAAAAABgAGAFkBAADsBQAA&#10;AAA=&#10;" adj="6068,57860">
                      <v:fill on="f" focussize="0,0"/>
                      <v:stroke color="#FF0000" joinstyle="miter"/>
                      <v:imagedata o:title=""/>
                      <o:lock v:ext="edit" aspectratio="f"/>
                      <v:textbox inset="0mm,0mm,0mm,0mm">
                        <w:txbxContent>
                          <w:p>
                            <w:pPr>
                              <w:jc w:val="center"/>
                              <w:rPr>
                                <w:b/>
                                <w:color w:val="FF0000"/>
                              </w:rPr>
                            </w:pPr>
                            <w:r>
                              <w:rPr>
                                <w:b/>
                                <w:color w:val="FF0000"/>
                              </w:rPr>
                              <w:t>项目所在地</w:t>
                            </w:r>
                          </w:p>
                        </w:txbxContent>
                      </v:textbox>
                    </v:shape>
                  </w:pict>
                </mc:Fallback>
              </mc:AlternateContent>
            </w:r>
          </w:p>
          <w:p>
            <w:pPr>
              <w:keepNext w:val="0"/>
              <w:keepLines w:val="0"/>
              <w:suppressLineNumbers w:val="0"/>
              <w:spacing w:before="0" w:beforeAutospacing="0" w:after="0" w:afterAutospacing="0" w:line="440" w:lineRule="exact"/>
              <w:ind w:left="0" w:right="0" w:firstLine="482" w:firstLineChars="200"/>
              <w:textAlignment w:val="baseline"/>
              <w:rPr>
                <w:rFonts w:hint="eastAsia"/>
                <w:b/>
                <w:bCs/>
                <w:color w:val="000000"/>
                <w:sz w:val="24"/>
              </w:rPr>
            </w:pPr>
          </w:p>
          <w:p>
            <w:pPr>
              <w:keepNext w:val="0"/>
              <w:keepLines w:val="0"/>
              <w:suppressLineNumbers w:val="0"/>
              <w:spacing w:before="0" w:beforeAutospacing="0" w:after="0" w:afterAutospacing="0" w:line="440" w:lineRule="exact"/>
              <w:ind w:left="0" w:right="0" w:firstLine="482" w:firstLineChars="200"/>
              <w:jc w:val="center"/>
              <w:textAlignment w:val="baseline"/>
              <w:rPr>
                <w:rFonts w:hint="default" w:ascii="宋体" w:hAnsi="宋体"/>
                <w:b/>
                <w:bCs/>
                <w:color w:val="000000"/>
                <w:szCs w:val="21"/>
              </w:rPr>
            </w:pPr>
          </w:p>
          <w:p>
            <w:pPr>
              <w:keepNext w:val="0"/>
              <w:keepLines w:val="0"/>
              <w:suppressLineNumbers w:val="0"/>
              <w:spacing w:before="0" w:beforeAutospacing="0" w:after="0" w:afterAutospacing="0" w:line="440" w:lineRule="exact"/>
              <w:ind w:left="0" w:right="0" w:firstLine="482" w:firstLineChars="200"/>
              <w:jc w:val="center"/>
              <w:textAlignment w:val="baseline"/>
              <w:rPr>
                <w:rFonts w:hint="default" w:ascii="宋体" w:hAnsi="宋体"/>
                <w:b/>
                <w:bCs/>
                <w:color w:val="000000"/>
                <w:szCs w:val="21"/>
              </w:rPr>
            </w:pPr>
          </w:p>
          <w:p>
            <w:pPr>
              <w:keepNext w:val="0"/>
              <w:keepLines w:val="0"/>
              <w:suppressLineNumbers w:val="0"/>
              <w:spacing w:before="0" w:beforeAutospacing="0" w:after="0" w:afterAutospacing="0" w:line="440" w:lineRule="exact"/>
              <w:ind w:left="0" w:right="0" w:firstLine="482" w:firstLineChars="200"/>
              <w:jc w:val="center"/>
              <w:textAlignment w:val="baseline"/>
              <w:rPr>
                <w:rFonts w:hint="default" w:ascii="宋体" w:hAnsi="宋体"/>
                <w:b/>
                <w:bCs/>
                <w:color w:val="000000"/>
                <w:szCs w:val="21"/>
              </w:rPr>
            </w:pPr>
          </w:p>
          <w:p>
            <w:pPr>
              <w:keepNext w:val="0"/>
              <w:keepLines w:val="0"/>
              <w:suppressLineNumbers w:val="0"/>
              <w:spacing w:before="0" w:beforeAutospacing="0" w:after="0" w:afterAutospacing="0" w:line="440" w:lineRule="exact"/>
              <w:ind w:left="0" w:right="0"/>
              <w:jc w:val="both"/>
              <w:textAlignment w:val="baseline"/>
              <w:rPr>
                <w:rFonts w:hint="default" w:ascii="宋体" w:hAnsi="宋体"/>
                <w:b/>
                <w:bCs/>
                <w:color w:val="000000"/>
                <w:szCs w:val="21"/>
              </w:rPr>
            </w:pPr>
          </w:p>
          <w:p>
            <w:pPr>
              <w:keepNext w:val="0"/>
              <w:keepLines w:val="0"/>
              <w:suppressLineNumbers w:val="0"/>
              <w:spacing w:before="0" w:beforeAutospacing="0" w:after="0" w:afterAutospacing="0" w:line="440" w:lineRule="exact"/>
              <w:ind w:left="0" w:right="0" w:firstLine="2891" w:firstLineChars="1200"/>
              <w:jc w:val="both"/>
              <w:textAlignment w:val="baseline"/>
              <w:rPr>
                <w:rFonts w:hint="default" w:ascii="宋体" w:hAnsi="宋体"/>
                <w:b/>
                <w:bCs/>
                <w:color w:val="000000"/>
                <w:szCs w:val="21"/>
              </w:rPr>
            </w:pPr>
            <w:r>
              <w:rPr>
                <w:rFonts w:hint="default" w:ascii="宋体" w:hAnsi="宋体"/>
                <w:b/>
                <w:bCs/>
                <w:color w:val="000000"/>
                <w:szCs w:val="21"/>
              </w:rPr>
              <w:t>图1  新乡市生态保护红线图</w:t>
            </w:r>
          </w:p>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color w:val="000000"/>
                <w:sz w:val="24"/>
              </w:rPr>
            </w:pPr>
            <w:r>
              <w:rPr>
                <w:rFonts w:hint="eastAsia" w:ascii="宋体" w:hAnsi="宋体"/>
                <w:b/>
                <w:color w:val="000000"/>
                <w:sz w:val="24"/>
              </w:rPr>
              <w:t>（2）环境质量底线相符性分析</w:t>
            </w: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ascii="宋体" w:hAnsi="宋体"/>
                <w:color w:val="000000"/>
                <w:sz w:val="24"/>
              </w:rPr>
            </w:pPr>
            <w:r>
              <w:rPr>
                <w:rFonts w:hint="eastAsia" w:ascii="宋体" w:hAnsi="宋体"/>
                <w:color w:val="000000"/>
                <w:sz w:val="24"/>
              </w:rPr>
              <w:t>《关于</w:t>
            </w:r>
            <w:r>
              <w:rPr>
                <w:rFonts w:hint="default" w:ascii="Times New Roman" w:hAnsi="Times New Roman" w:cs="Times New Roman"/>
                <w:color w:val="000000"/>
                <w:sz w:val="24"/>
              </w:rPr>
              <w:t>印发新乡市2022年大气、水、土壤污</w:t>
            </w:r>
            <w:r>
              <w:rPr>
                <w:rFonts w:hint="eastAsia" w:ascii="宋体" w:hAnsi="宋体"/>
                <w:color w:val="000000"/>
                <w:sz w:val="24"/>
              </w:rPr>
              <w:t>染防治攻坚战及农业农村污染治理攻坚战实施方案的通知》</w:t>
            </w:r>
            <w:r>
              <w:rPr>
                <w:rFonts w:hint="default" w:ascii="Times New Roman" w:hAnsi="Times New Roman" w:cs="Times New Roman"/>
                <w:color w:val="000000"/>
                <w:sz w:val="24"/>
              </w:rPr>
              <w:t>（新环攻坚办〔2022〕60号）</w:t>
            </w:r>
            <w:r>
              <w:rPr>
                <w:rFonts w:hint="eastAsia" w:ascii="宋体" w:hAnsi="宋体"/>
                <w:color w:val="000000"/>
                <w:sz w:val="24"/>
              </w:rPr>
              <w:t>，新乡市大气、地表水及土壤工作目标如下：</w:t>
            </w: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1 \* GB3 \* MERGEFORMAT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①</w:t>
            </w:r>
            <w:r>
              <w:rPr>
                <w:rFonts w:hint="default" w:ascii="Times New Roman" w:hAnsi="Times New Roman" w:cs="Times New Roman"/>
                <w:color w:val="000000"/>
                <w:sz w:val="24"/>
              </w:rPr>
              <w:fldChar w:fldCharType="end"/>
            </w:r>
            <w:r>
              <w:rPr>
                <w:rFonts w:hint="eastAsia" w:ascii="宋体" w:hAnsi="宋体"/>
                <w:color w:val="000000"/>
                <w:sz w:val="24"/>
              </w:rPr>
              <w:t>大气：</w:t>
            </w:r>
            <w:r>
              <w:rPr>
                <w:rFonts w:hint="default" w:ascii="Times New Roman" w:hAnsi="Times New Roman" w:cs="Times New Roman"/>
                <w:color w:val="000000"/>
                <w:sz w:val="24"/>
              </w:rPr>
              <w:t>2022年全市细颗粒物（PM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w:t>
            </w:r>
            <w:r>
              <w:rPr>
                <w:rFonts w:hint="eastAsia" w:ascii="宋体" w:hAnsi="宋体"/>
                <w:color w:val="000000"/>
                <w:sz w:val="24"/>
              </w:rPr>
              <w:t>平均浓度控制在</w:t>
            </w:r>
            <w:r>
              <w:rPr>
                <w:rFonts w:hint="default" w:ascii="Times New Roman" w:hAnsi="Times New Roman" w:cs="Times New Roman"/>
                <w:color w:val="000000"/>
                <w:sz w:val="24"/>
              </w:rPr>
              <w:t>51微</w:t>
            </w:r>
            <w:r>
              <w:rPr>
                <w:rFonts w:hint="eastAsia" w:ascii="宋体" w:hAnsi="宋体"/>
                <w:color w:val="000000"/>
                <w:sz w:val="24"/>
              </w:rPr>
              <w:t>克/立方米以下，可吸入颗粒物</w:t>
            </w:r>
            <w:r>
              <w:rPr>
                <w:rFonts w:hint="default" w:ascii="Times New Roman" w:hAnsi="Times New Roman" w:cs="Times New Roman"/>
                <w:color w:val="000000"/>
                <w:sz w:val="24"/>
              </w:rPr>
              <w:t>（PM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w:t>
            </w:r>
            <w:r>
              <w:rPr>
                <w:rFonts w:hint="eastAsia" w:ascii="宋体" w:hAnsi="宋体"/>
                <w:color w:val="000000"/>
                <w:sz w:val="24"/>
              </w:rPr>
              <w:t>平均浓度控制</w:t>
            </w:r>
            <w:r>
              <w:rPr>
                <w:rFonts w:hint="default" w:ascii="Times New Roman" w:hAnsi="Times New Roman" w:cs="Times New Roman"/>
                <w:color w:val="000000"/>
                <w:sz w:val="24"/>
              </w:rPr>
              <w:t>在91微克/立</w:t>
            </w:r>
            <w:r>
              <w:rPr>
                <w:rFonts w:hint="eastAsia" w:ascii="宋体" w:hAnsi="宋体"/>
                <w:color w:val="000000"/>
                <w:sz w:val="24"/>
              </w:rPr>
              <w:t>方米以下，</w:t>
            </w:r>
            <w:r>
              <w:rPr>
                <w:rFonts w:hint="default" w:ascii="Times New Roman" w:hAnsi="Times New Roman" w:cs="Times New Roman"/>
                <w:color w:val="000000"/>
                <w:sz w:val="24"/>
              </w:rPr>
              <w:t>5-9月臭氧（O</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）日最大8小时平均浓度超标率控制在31.7%（49天）及以下，环境空气质量优良天数比例不低于61.0%（223天），重污染天数比例不高于3.0%（11天）。</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根据《新乡市2021年度环境质量概要》，除SO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、NO</w:t>
            </w:r>
            <w:r>
              <w:rPr>
                <w:rFonts w:hint="default" w:ascii="Times New Roman" w:hAnsi="Times New Roman" w:cs="Times New Roman"/>
                <w:color w:val="000000"/>
                <w:sz w:val="24"/>
                <w:vertAlign w:val="subscript"/>
              </w:rPr>
              <w:t>2</w:t>
            </w:r>
            <w:r>
              <w:rPr>
                <w:rFonts w:hint="default" w:ascii="Times New Roman" w:hAnsi="Times New Roman" w:cs="Times New Roman"/>
                <w:color w:val="000000"/>
                <w:sz w:val="24"/>
              </w:rPr>
              <w:t>、CO达标外，其他因子PM</w:t>
            </w:r>
            <w:r>
              <w:rPr>
                <w:rFonts w:hint="default" w:ascii="Times New Roman" w:hAnsi="Times New Roman" w:cs="Times New Roman"/>
                <w:color w:val="000000"/>
                <w:sz w:val="24"/>
                <w:vertAlign w:val="subscript"/>
              </w:rPr>
              <w:t>10</w:t>
            </w:r>
            <w:r>
              <w:rPr>
                <w:rFonts w:hint="default" w:ascii="Times New Roman" w:hAnsi="Times New Roman" w:cs="Times New Roman"/>
                <w:color w:val="000000"/>
                <w:sz w:val="24"/>
              </w:rPr>
              <w:t>、PM</w:t>
            </w:r>
            <w:r>
              <w:rPr>
                <w:rFonts w:hint="default" w:ascii="Times New Roman" w:hAnsi="Times New Roman" w:cs="Times New Roman"/>
                <w:color w:val="000000"/>
                <w:sz w:val="24"/>
                <w:vertAlign w:val="subscript"/>
              </w:rPr>
              <w:t>2.5</w:t>
            </w:r>
            <w:r>
              <w:rPr>
                <w:rFonts w:hint="default" w:ascii="Times New Roman" w:hAnsi="Times New Roman" w:cs="Times New Roman"/>
                <w:color w:val="000000"/>
                <w:sz w:val="24"/>
              </w:rPr>
              <w:t>、O</w:t>
            </w:r>
            <w:r>
              <w:rPr>
                <w:rFonts w:hint="default" w:ascii="Times New Roman" w:hAnsi="Times New Roman" w:cs="Times New Roman"/>
                <w:color w:val="000000"/>
                <w:sz w:val="24"/>
                <w:vertAlign w:val="subscript"/>
              </w:rPr>
              <w:t>3</w:t>
            </w:r>
            <w:r>
              <w:rPr>
                <w:rFonts w:hint="default" w:ascii="Times New Roman" w:hAnsi="Times New Roman" w:cs="Times New Roman"/>
                <w:color w:val="000000"/>
                <w:sz w:val="24"/>
              </w:rPr>
              <w:t>均不能够满足《环境空气质量标准</w:t>
            </w:r>
            <w:r>
              <w:rPr>
                <w:rFonts w:hint="eastAsia" w:ascii="Times New Roman" w:hAnsi="Times New Roman" w:cs="Times New Roman"/>
                <w:color w:val="000000"/>
                <w:sz w:val="24"/>
                <w:lang w:eastAsia="zh-CN"/>
              </w:rPr>
              <w:t>》</w:t>
            </w:r>
            <w:r>
              <w:rPr>
                <w:rFonts w:hint="default" w:ascii="Times New Roman" w:hAnsi="Times New Roman" w:cs="Times New Roman"/>
                <w:color w:val="000000"/>
                <w:sz w:val="24"/>
              </w:rPr>
              <w:t>（GB3095-2012）及其2018年修改单二级标准要求。根据《环境影响评价技术导则 大气环境》(HJ2.2-2018)，本项目所在区域属于不达标区。</w:t>
            </w:r>
          </w:p>
          <w:p>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baseline"/>
              <w:rPr>
                <w:rFonts w:hint="eastAsia"/>
                <w:sz w:val="24"/>
              </w:rPr>
            </w:pP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2 \* GB3 \* MERGEFORMAT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②</w:t>
            </w:r>
            <w:r>
              <w:rPr>
                <w:rFonts w:hint="default" w:ascii="Times New Roman" w:hAnsi="Times New Roman" w:cs="Times New Roman"/>
                <w:color w:val="000000"/>
                <w:sz w:val="24"/>
              </w:rPr>
              <w:fldChar w:fldCharType="end"/>
            </w:r>
            <w:r>
              <w:rPr>
                <w:rFonts w:hint="default" w:ascii="Times New Roman" w:hAnsi="Times New Roman" w:cs="Times New Roman"/>
                <w:color w:val="000000"/>
                <w:sz w:val="24"/>
              </w:rPr>
              <w:t>地表水：</w:t>
            </w:r>
            <w:r>
              <w:rPr>
                <w:rFonts w:hint="default" w:ascii="Times New Roman" w:hAnsi="Times New Roman" w:eastAsia="宋体" w:cs="Times New Roman"/>
                <w:sz w:val="24"/>
                <w:szCs w:val="24"/>
                <w:lang w:eastAsia="zh-CN"/>
              </w:rPr>
              <w:t>完成国家下达和</w:t>
            </w:r>
            <w:r>
              <w:rPr>
                <w:rFonts w:hint="eastAsia" w:cs="Times New Roman"/>
                <w:sz w:val="24"/>
                <w:szCs w:val="24"/>
                <w:lang w:val="en-US" w:eastAsia="zh-CN"/>
              </w:rPr>
              <w:t>我</w:t>
            </w:r>
            <w:r>
              <w:rPr>
                <w:rFonts w:hint="default" w:ascii="Times New Roman" w:hAnsi="Times New Roman" w:eastAsia="宋体" w:cs="Times New Roman"/>
                <w:sz w:val="24"/>
                <w:szCs w:val="24"/>
                <w:lang w:eastAsia="zh-CN"/>
              </w:rPr>
              <w:t>省</w:t>
            </w:r>
            <w:r>
              <w:rPr>
                <w:rFonts w:hint="eastAsia" w:cs="Times New Roman"/>
                <w:sz w:val="24"/>
                <w:szCs w:val="24"/>
                <w:lang w:val="en-US" w:eastAsia="zh-CN"/>
              </w:rPr>
              <w:t>确定</w:t>
            </w:r>
            <w:r>
              <w:rPr>
                <w:rFonts w:hint="default" w:ascii="Times New Roman" w:hAnsi="Times New Roman" w:eastAsia="宋体" w:cs="Times New Roman"/>
                <w:sz w:val="24"/>
                <w:szCs w:val="24"/>
                <w:lang w:eastAsia="zh-CN"/>
              </w:rPr>
              <w:t>的地表水环境质量和饮用水水源地取水水质目标；</w:t>
            </w:r>
            <w:r>
              <w:rPr>
                <w:rFonts w:hint="eastAsia"/>
                <w:sz w:val="24"/>
              </w:rPr>
              <w:t>县级以上城市集中式饮用水水源地取水水质达标率达到100%(自然本底值高除外)。</w:t>
            </w:r>
          </w:p>
          <w:p>
            <w:pPr>
              <w:pStyle w:val="68"/>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440" w:lineRule="exact"/>
              <w:ind w:left="0" w:leftChars="0" w:right="0" w:firstLine="480" w:firstLineChars="200"/>
              <w:textAlignment w:val="auto"/>
              <w:rPr>
                <w:rFonts w:hint="eastAsia" w:ascii="宋体" w:hAnsi="宋体"/>
                <w:color w:val="auto"/>
                <w:sz w:val="24"/>
              </w:rPr>
            </w:pPr>
            <w:r>
              <w:rPr>
                <w:rFonts w:hint="default" w:ascii="Times New Roman" w:hAnsi="Times New Roman" w:eastAsia="宋体" w:cs="Times New Roman"/>
                <w:color w:val="auto"/>
                <w:sz w:val="24"/>
                <w:szCs w:val="24"/>
                <w:lang w:eastAsia="zh-CN"/>
              </w:rPr>
              <w:t>该项目纳污水体为</w:t>
            </w:r>
            <w:r>
              <w:rPr>
                <w:rFonts w:hint="eastAsia"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孟姜女河</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依据新乡市生态环境关于</w:t>
            </w:r>
            <w:r>
              <w:rPr>
                <w:rFonts w:hint="eastAsia" w:cs="Times New Roman"/>
                <w:color w:val="auto"/>
                <w:sz w:val="24"/>
                <w:szCs w:val="24"/>
                <w:lang w:val="en-US" w:eastAsia="zh-CN"/>
              </w:rPr>
              <w:t>下达</w:t>
            </w:r>
            <w:r>
              <w:rPr>
                <w:rFonts w:hint="default" w:ascii="Times New Roman" w:hAnsi="Times New Roman" w:eastAsia="宋体" w:cs="Times New Roman"/>
                <w:color w:val="auto"/>
                <w:sz w:val="24"/>
                <w:szCs w:val="24"/>
                <w:lang w:val="en-US" w:eastAsia="zh-CN"/>
              </w:rPr>
              <w:t>《2022年地表水环境质量暂定目标》的函，</w:t>
            </w:r>
            <w:r>
              <w:rPr>
                <w:rFonts w:hint="eastAsia" w:ascii="Times New Roman" w:hAnsi="Times New Roman" w:eastAsia="宋体"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孟姜女河</w:t>
            </w:r>
            <w:r>
              <w:rPr>
                <w:rFonts w:hint="eastAsia" w:cs="Times New Roman"/>
                <w:color w:val="auto"/>
                <w:sz w:val="24"/>
                <w:szCs w:val="24"/>
                <w:lang w:val="en-US" w:eastAsia="zh-CN"/>
              </w:rPr>
              <w:t>高新区</w:t>
            </w:r>
            <w:r>
              <w:rPr>
                <w:rFonts w:hint="default" w:ascii="Times New Roman" w:hAnsi="Times New Roman" w:eastAsia="宋体" w:cs="Times New Roman"/>
                <w:color w:val="auto"/>
                <w:sz w:val="24"/>
                <w:szCs w:val="24"/>
                <w:lang w:val="en-US" w:eastAsia="zh-CN"/>
              </w:rPr>
              <w:t>辖区内</w:t>
            </w:r>
            <w:r>
              <w:rPr>
                <w:rFonts w:hint="default" w:ascii="Times New Roman" w:hAnsi="Times New Roman" w:cs="Times New Roman"/>
                <w:b w:val="0"/>
                <w:bCs w:val="0"/>
                <w:color w:val="auto"/>
                <w:sz w:val="24"/>
                <w:szCs w:val="24"/>
                <w:highlight w:val="none"/>
                <w:u w:val="none"/>
                <w:lang w:val="en-US" w:eastAsia="zh-CN"/>
              </w:rPr>
              <w:t>南环桥</w:t>
            </w:r>
            <w:r>
              <w:rPr>
                <w:rFonts w:hint="default" w:ascii="Times New Roman" w:hAnsi="Times New Roman" w:eastAsia="宋体" w:cs="Times New Roman"/>
                <w:color w:val="auto"/>
                <w:sz w:val="24"/>
                <w:szCs w:val="24"/>
                <w:lang w:val="en-US" w:eastAsia="zh-CN"/>
              </w:rPr>
              <w:t>断面202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年地表水环境质量目标为</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ROMAN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eastAsia="宋体" w:cs="Times New Roman"/>
                <w:color w:val="auto"/>
                <w:sz w:val="24"/>
                <w:szCs w:val="24"/>
                <w:lang w:val="en-US" w:eastAsia="zh-CN"/>
              </w:rPr>
              <w:t>IV</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rPr>
            </w:pPr>
            <w:r>
              <w:rPr>
                <w:rFonts w:hint="default" w:ascii="Times New Roman" w:hAnsi="Times New Roman" w:cs="Times New Roman"/>
                <w:color w:val="000000"/>
                <w:sz w:val="24"/>
              </w:rPr>
              <w:t>③土壤：全市土壤和地下水环境质量总体保持稳定，土壤和地下水环境风险得到管控，土壤污染防治体系基本完善；土壤安全利用进一步巩固提升，受污染耕地安全利用率实现95%以上，重点建设用地安全利用有效保障。地下水国考区域点位、</w:t>
            </w:r>
            <w:r>
              <w:rPr>
                <w:rFonts w:hint="eastAsia" w:ascii="宋体" w:hAnsi="宋体" w:eastAsia="宋体" w:cs="宋体"/>
                <w:color w:val="000000"/>
                <w:sz w:val="24"/>
              </w:rPr>
              <w:t>“双源”</w:t>
            </w:r>
            <w:r>
              <w:rPr>
                <w:rFonts w:hint="default" w:ascii="Times New Roman" w:hAnsi="Times New Roman" w:cs="Times New Roman"/>
                <w:color w:val="000000"/>
                <w:sz w:val="24"/>
              </w:rPr>
              <w:t>（地下水型饮用水水源、重点污染源）点位水质保持稳定。</w:t>
            </w: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④噪声：建设项目所在区域为</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类声环境功能区，各厂界应执行《声环境质量标准》（GB3096-2008）</w:t>
            </w:r>
            <w:r>
              <w:rPr>
                <w:rFonts w:hint="eastAsia" w:cs="Times New Roman"/>
                <w:color w:val="auto"/>
                <w:sz w:val="24"/>
                <w:lang w:val="en-US" w:eastAsia="zh-CN"/>
              </w:rPr>
              <w:t>3</w:t>
            </w:r>
            <w:r>
              <w:rPr>
                <w:rFonts w:hint="eastAsia" w:ascii="Times New Roman" w:hAnsi="Times New Roman" w:cs="Times New Roman"/>
                <w:color w:val="auto"/>
                <w:sz w:val="24"/>
                <w:lang w:val="en-US" w:eastAsia="zh-CN"/>
              </w:rPr>
              <w:t>类标准（昼间≤</w:t>
            </w:r>
            <w:r>
              <w:rPr>
                <w:rFonts w:hint="eastAsia" w:cs="Times New Roman"/>
                <w:color w:val="auto"/>
                <w:sz w:val="24"/>
                <w:lang w:val="en-US" w:eastAsia="zh-CN"/>
              </w:rPr>
              <w:t>65</w:t>
            </w:r>
            <w:r>
              <w:rPr>
                <w:rFonts w:hint="eastAsia" w:ascii="Times New Roman" w:hAnsi="Times New Roman" w:cs="Times New Roman"/>
                <w:color w:val="auto"/>
                <w:sz w:val="24"/>
                <w:lang w:val="en-US" w:eastAsia="zh-CN"/>
              </w:rPr>
              <w:t>dB（A）</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夜间≤5</w:t>
            </w:r>
            <w:r>
              <w:rPr>
                <w:rFonts w:hint="eastAsia" w:cs="Times New Roman"/>
                <w:color w:val="auto"/>
                <w:sz w:val="24"/>
                <w:lang w:val="en-US" w:eastAsia="zh-CN"/>
              </w:rPr>
              <w:t>5d</w:t>
            </w:r>
            <w:r>
              <w:rPr>
                <w:rFonts w:hint="eastAsia" w:ascii="Times New Roman" w:hAnsi="Times New Roman" w:cs="Times New Roman"/>
                <w:color w:val="auto"/>
                <w:sz w:val="24"/>
                <w:lang w:val="en-US" w:eastAsia="zh-CN"/>
              </w:rPr>
              <w:t>B（A））</w:t>
            </w:r>
            <w:r>
              <w:rPr>
                <w:rFonts w:hint="eastAsia" w:cs="Times New Roman"/>
                <w:color w:val="auto"/>
                <w:sz w:val="24"/>
                <w:lang w:val="en-US" w:eastAsia="zh-CN"/>
              </w:rPr>
              <w:t>，</w:t>
            </w:r>
            <w:r>
              <w:rPr>
                <w:rFonts w:hint="eastAsia" w:ascii="Times New Roman" w:hAnsi="Times New Roman" w:cs="Times New Roman"/>
                <w:color w:val="auto"/>
                <w:sz w:val="24"/>
                <w:lang w:val="en-US" w:eastAsia="zh-CN"/>
              </w:rPr>
              <w:t>厂界外周边50米范围内不存在声环境保护目标。</w:t>
            </w:r>
          </w:p>
          <w:p>
            <w:pPr>
              <w:keepNext w:val="0"/>
              <w:keepLines w:val="0"/>
              <w:suppressLineNumbers w:val="0"/>
              <w:spacing w:before="0" w:beforeAutospacing="0" w:after="0" w:afterAutospacing="0" w:line="440" w:lineRule="exact"/>
              <w:ind w:left="0" w:right="0" w:firstLine="480" w:firstLineChars="200"/>
              <w:jc w:val="left"/>
              <w:rPr>
                <w:rFonts w:hint="default" w:ascii="宋体" w:hAnsi="宋体"/>
                <w:color w:val="auto"/>
                <w:sz w:val="24"/>
                <w:highlight w:val="none"/>
              </w:rPr>
            </w:pPr>
            <w:r>
              <w:rPr>
                <w:rFonts w:hint="eastAsia" w:ascii="宋体" w:hAnsi="宋体"/>
                <w:color w:val="auto"/>
                <w:sz w:val="24"/>
                <w:highlight w:val="none"/>
              </w:rPr>
              <w:t>本项目</w:t>
            </w:r>
            <w:r>
              <w:rPr>
                <w:rFonts w:hint="eastAsia" w:ascii="宋体" w:hAnsi="宋体"/>
                <w:color w:val="auto"/>
                <w:sz w:val="24"/>
                <w:szCs w:val="24"/>
                <w:highlight w:val="none"/>
              </w:rPr>
              <w:t>产生</w:t>
            </w:r>
            <w:r>
              <w:rPr>
                <w:rFonts w:hint="eastAsia" w:ascii="宋体" w:hAnsi="宋体"/>
                <w:color w:val="auto"/>
                <w:sz w:val="24"/>
                <w:szCs w:val="24"/>
                <w:highlight w:val="none"/>
                <w:lang w:val="en-US" w:eastAsia="zh-CN"/>
              </w:rPr>
              <w:t>有机废气通过密闭负压管道收集后</w:t>
            </w:r>
            <w:r>
              <w:rPr>
                <w:rFonts w:hint="eastAsia" w:cs="Times New Roman"/>
                <w:b w:val="0"/>
                <w:bCs w:val="0"/>
                <w:color w:val="auto"/>
                <w:kern w:val="2"/>
                <w:sz w:val="24"/>
                <w:szCs w:val="24"/>
                <w:lang w:val="en-US" w:eastAsia="zh-CN" w:bidi="ar-SA"/>
              </w:rPr>
              <w:t>经</w:t>
            </w:r>
            <w:r>
              <w:rPr>
                <w:rFonts w:hint="eastAsia" w:ascii="Times New Roman" w:hAnsi="Times New Roman" w:eastAsia="宋体" w:cs="Times New Roman"/>
                <w:b w:val="0"/>
                <w:bCs w:val="0"/>
                <w:color w:val="auto"/>
                <w:kern w:val="2"/>
                <w:sz w:val="24"/>
                <w:szCs w:val="24"/>
                <w:highlight w:val="none"/>
                <w:lang w:val="en-US" w:eastAsia="zh-CN" w:bidi="ar-SA"/>
              </w:rPr>
              <w:t>活性炭吸附脱附</w:t>
            </w:r>
            <w:r>
              <w:rPr>
                <w:rFonts w:hint="eastAsia" w:cs="Times New Roman"/>
                <w:b w:val="0"/>
                <w:bCs w:val="0"/>
                <w:color w:val="auto"/>
                <w:kern w:val="2"/>
                <w:sz w:val="24"/>
                <w:szCs w:val="24"/>
                <w:highlight w:val="none"/>
                <w:lang w:val="en-US" w:eastAsia="zh-CN" w:bidi="ar-SA"/>
              </w:rPr>
              <w:t>+</w:t>
            </w:r>
            <w:r>
              <w:rPr>
                <w:rFonts w:hint="eastAsia" w:ascii="Times New Roman" w:hAnsi="Times New Roman" w:eastAsia="宋体" w:cs="Times New Roman"/>
                <w:b w:val="0"/>
                <w:bCs w:val="0"/>
                <w:color w:val="auto"/>
                <w:kern w:val="2"/>
                <w:sz w:val="24"/>
                <w:szCs w:val="24"/>
                <w:highlight w:val="none"/>
                <w:lang w:val="en-US" w:eastAsia="zh-CN" w:bidi="ar-SA"/>
              </w:rPr>
              <w:t>催化燃烧装置处理</w:t>
            </w:r>
            <w:r>
              <w:rPr>
                <w:rFonts w:hint="eastAsia" w:cs="Times New Roman"/>
                <w:b w:val="0"/>
                <w:bCs w:val="0"/>
                <w:color w:val="auto"/>
                <w:kern w:val="2"/>
                <w:sz w:val="24"/>
                <w:szCs w:val="24"/>
                <w:highlight w:val="none"/>
                <w:lang w:val="en-US" w:eastAsia="zh-CN" w:bidi="ar-SA"/>
              </w:rPr>
              <w:t>后尾气由15m排气筒进行排放</w:t>
            </w:r>
            <w:r>
              <w:rPr>
                <w:rFonts w:hint="eastAsia"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cs="Times New Roman"/>
                <w:color w:val="auto"/>
                <w:sz w:val="24"/>
                <w:szCs w:val="24"/>
                <w:highlight w:val="none"/>
              </w:rPr>
              <w:t>实现稳定达标排放，对区域环境空气质量影响较小；项目生</w:t>
            </w:r>
            <w:r>
              <w:rPr>
                <w:rFonts w:hint="eastAsia" w:ascii="宋体" w:hAnsi="宋体"/>
                <w:color w:val="auto"/>
                <w:sz w:val="24"/>
                <w:szCs w:val="24"/>
                <w:highlight w:val="none"/>
              </w:rPr>
              <w:t>产过程无废水产生，废水为生活污水。治理措施为：生活污水经化粪池</w:t>
            </w:r>
            <w:r>
              <w:rPr>
                <w:rFonts w:hint="eastAsia" w:ascii="宋体" w:hAnsi="宋体"/>
                <w:color w:val="auto"/>
                <w:sz w:val="24"/>
                <w:highlight w:val="none"/>
              </w:rPr>
              <w:t>处理后</w:t>
            </w:r>
            <w:r>
              <w:rPr>
                <w:rFonts w:hint="default" w:ascii="Times New Roman" w:hAnsi="Times New Roman" w:eastAsia="宋体" w:cs="Times New Roman"/>
                <w:color w:val="auto"/>
                <w:sz w:val="24"/>
                <w:szCs w:val="24"/>
                <w:highlight w:val="none"/>
              </w:rPr>
              <w:t>通过污水管网排入</w:t>
            </w:r>
            <w:r>
              <w:rPr>
                <w:rFonts w:hint="eastAsia"/>
                <w:b w:val="0"/>
                <w:bCs w:val="0"/>
                <w:color w:val="auto"/>
                <w:spacing w:val="-2"/>
                <w:sz w:val="24"/>
                <w:szCs w:val="24"/>
                <w:highlight w:val="none"/>
                <w:u w:val="none"/>
                <w:lang w:eastAsia="zh-CN"/>
              </w:rPr>
              <w:t>新乡县综合污水处理</w:t>
            </w:r>
            <w:r>
              <w:rPr>
                <w:rFonts w:hint="eastAsia"/>
                <w:b w:val="0"/>
                <w:bCs w:val="0"/>
                <w:color w:val="auto"/>
                <w:spacing w:val="-2"/>
                <w:sz w:val="24"/>
                <w:szCs w:val="24"/>
                <w:highlight w:val="none"/>
                <w:u w:val="none"/>
                <w:lang w:val="en-US" w:eastAsia="zh-CN"/>
              </w:rPr>
              <w:t>厂</w:t>
            </w:r>
            <w:r>
              <w:rPr>
                <w:rFonts w:hint="default" w:ascii="Times New Roman" w:hAnsi="Times New Roman" w:eastAsia="宋体" w:cs="Times New Roman"/>
                <w:color w:val="auto"/>
                <w:sz w:val="24"/>
                <w:szCs w:val="24"/>
                <w:highlight w:val="none"/>
              </w:rPr>
              <w:t>进一步处理</w:t>
            </w:r>
            <w:r>
              <w:rPr>
                <w:rFonts w:hint="eastAsia" w:ascii="宋体" w:hAnsi="宋体"/>
                <w:color w:val="auto"/>
                <w:sz w:val="24"/>
                <w:highlight w:val="none"/>
              </w:rPr>
              <w:t>，不会对周边地表水环境造成不利影响；</w:t>
            </w:r>
            <w:r>
              <w:rPr>
                <w:rFonts w:hint="default" w:ascii="宋体" w:hAnsi="宋体"/>
                <w:color w:val="auto"/>
                <w:sz w:val="24"/>
                <w:highlight w:val="none"/>
              </w:rPr>
              <w:t>固体废物全部得到资源化利用或无害化处置</w:t>
            </w:r>
            <w:r>
              <w:rPr>
                <w:rFonts w:hint="eastAsia" w:ascii="宋体" w:hAnsi="宋体"/>
                <w:color w:val="auto"/>
                <w:sz w:val="24"/>
                <w:highlight w:val="none"/>
              </w:rPr>
              <w:t>；</w:t>
            </w:r>
            <w:r>
              <w:rPr>
                <w:rFonts w:hint="default" w:ascii="宋体" w:hAnsi="宋体"/>
                <w:color w:val="auto"/>
                <w:sz w:val="24"/>
                <w:highlight w:val="none"/>
              </w:rPr>
              <w:t>根据噪声预测结果，在采取噪声防治措施后，企业厂界噪声排放满足达标要求</w:t>
            </w:r>
            <w:r>
              <w:rPr>
                <w:rFonts w:hint="eastAsia" w:ascii="宋体" w:hAnsi="宋体"/>
                <w:color w:val="auto"/>
                <w:sz w:val="24"/>
                <w:highlight w:val="none"/>
              </w:rPr>
              <w:t>；</w:t>
            </w:r>
            <w:r>
              <w:rPr>
                <w:rFonts w:hint="default" w:ascii="宋体" w:hAnsi="宋体"/>
                <w:color w:val="auto"/>
                <w:sz w:val="24"/>
                <w:highlight w:val="none"/>
              </w:rPr>
              <w:t>项目</w:t>
            </w:r>
            <w:r>
              <w:rPr>
                <w:rFonts w:hint="eastAsia" w:ascii="宋体" w:hAnsi="宋体"/>
                <w:color w:val="auto"/>
                <w:sz w:val="24"/>
                <w:highlight w:val="none"/>
              </w:rPr>
              <w:t>化粪池采取防渗措施</w:t>
            </w:r>
            <w:r>
              <w:rPr>
                <w:rFonts w:hint="default" w:ascii="宋体" w:hAnsi="宋体"/>
                <w:color w:val="auto"/>
                <w:sz w:val="24"/>
                <w:highlight w:val="none"/>
              </w:rPr>
              <w:t>，不会对地下水产生影响。因此，落实本环评提出的相关防治措施后，本项目排放的污染物不会对区域环境质量底线造成冲击，满足环境质量底线的要求。</w:t>
            </w:r>
          </w:p>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color w:val="000000"/>
                <w:sz w:val="24"/>
              </w:rPr>
            </w:pPr>
            <w:r>
              <w:rPr>
                <w:rFonts w:hint="eastAsia" w:ascii="宋体" w:hAnsi="宋体"/>
                <w:b/>
                <w:color w:val="000000"/>
                <w:sz w:val="24"/>
              </w:rPr>
              <w:t>（3）资源利用上线相符性分析</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宋体" w:hAnsi="宋体"/>
                <w:color w:val="000000"/>
                <w:sz w:val="24"/>
              </w:rPr>
            </w:pPr>
            <w:r>
              <w:rPr>
                <w:rFonts w:hint="default" w:ascii="宋体" w:hAnsi="宋体"/>
                <w:color w:val="000000"/>
                <w:sz w:val="24"/>
              </w:rPr>
              <w:t>本项目</w:t>
            </w:r>
            <w:r>
              <w:rPr>
                <w:rFonts w:hint="eastAsia" w:ascii="宋体" w:hAnsi="宋体"/>
                <w:color w:val="000000"/>
                <w:sz w:val="24"/>
              </w:rPr>
              <w:t>属于塑料</w:t>
            </w:r>
            <w:r>
              <w:rPr>
                <w:rFonts w:hint="eastAsia" w:ascii="宋体" w:hAnsi="宋体"/>
                <w:color w:val="000000"/>
                <w:sz w:val="24"/>
                <w:lang w:val="en-US" w:eastAsia="zh-CN"/>
              </w:rPr>
              <w:t>制品</w:t>
            </w:r>
            <w:r>
              <w:rPr>
                <w:rFonts w:hint="eastAsia" w:ascii="宋体" w:hAnsi="宋体"/>
                <w:color w:val="000000"/>
                <w:sz w:val="24"/>
              </w:rPr>
              <w:t>业。</w:t>
            </w:r>
            <w:r>
              <w:rPr>
                <w:rFonts w:hint="eastAsia" w:ascii="宋体" w:hAnsi="宋体"/>
                <w:color w:val="auto"/>
                <w:sz w:val="24"/>
              </w:rPr>
              <w:t>本项目不属于高耗水工业行业。本项目利用现有厂房进行建设，对土地资源影响较小。营</w:t>
            </w:r>
            <w:r>
              <w:rPr>
                <w:rFonts w:hint="eastAsia" w:ascii="宋体" w:hAnsi="宋体"/>
                <w:color w:val="000000"/>
                <w:sz w:val="24"/>
              </w:rPr>
              <w:t>运期通过内部管理、设备选择、原辅材料的选用和管理、废物回收利用、污染治理等多方面采取合理可行的防治措施，以“节能、降耗、减污”为目标，有效地控制污染，实现废物资源化。故本项目不会对区域资源利用造成负面影响。</w:t>
            </w:r>
            <w:r>
              <w:rPr>
                <w:rFonts w:hint="default" w:ascii="宋体" w:hAnsi="宋体"/>
                <w:color w:val="000000"/>
                <w:sz w:val="24"/>
              </w:rPr>
              <w:t>项目的水、气等资源利用不会突破区域的资源利用上线。</w:t>
            </w:r>
          </w:p>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bCs/>
                <w:sz w:val="24"/>
              </w:rPr>
            </w:pPr>
            <w:r>
              <w:rPr>
                <w:rFonts w:hint="eastAsia" w:ascii="宋体" w:hAnsi="宋体"/>
                <w:b/>
                <w:bCs/>
                <w:sz w:val="24"/>
              </w:rPr>
              <w:t>（4）生态环境准入清单</w:t>
            </w:r>
          </w:p>
          <w:p>
            <w:pPr>
              <w:keepNext w:val="0"/>
              <w:keepLines w:val="0"/>
              <w:suppressLineNumbers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bCs/>
                <w:color w:val="000000"/>
                <w:sz w:val="24"/>
              </w:rPr>
            </w:pPr>
            <w:r>
              <w:rPr>
                <w:rFonts w:hint="default" w:ascii="Times New Roman" w:hAnsi="Times New Roman" w:eastAsia="宋体" w:cs="Times New Roman"/>
                <w:bCs/>
                <w:color w:val="000000"/>
                <w:sz w:val="24"/>
              </w:rPr>
              <w:t>本项目与河南省生态环境分区管控总体要求、新乡市生态环境准入要求以及</w:t>
            </w:r>
            <w:r>
              <w:rPr>
                <w:rFonts w:hint="default" w:ascii="Times New Roman" w:hAnsi="Times New Roman" w:eastAsia="宋体" w:cs="Times New Roman"/>
                <w:bCs/>
                <w:color w:val="000000"/>
                <w:sz w:val="24"/>
                <w:lang w:val="en-US" w:eastAsia="zh-CN"/>
              </w:rPr>
              <w:t>新乡县大气高排放区</w:t>
            </w:r>
            <w:r>
              <w:rPr>
                <w:rFonts w:hint="default" w:ascii="Times New Roman" w:hAnsi="Times New Roman" w:eastAsia="宋体" w:cs="Times New Roman"/>
                <w:bCs/>
                <w:color w:val="000000"/>
                <w:sz w:val="24"/>
              </w:rPr>
              <w:t>环境准入要求相符性分析见下表。</w:t>
            </w:r>
          </w:p>
          <w:p>
            <w:pPr>
              <w:keepNext w:val="0"/>
              <w:keepLines w:val="0"/>
              <w:suppressLineNumbers w:val="0"/>
              <w:spacing w:before="0" w:beforeAutospacing="0" w:after="0" w:afterAutospacing="0" w:line="440" w:lineRule="exact"/>
              <w:ind w:left="0" w:right="0"/>
              <w:jc w:val="center"/>
              <w:textAlignment w:val="baseline"/>
              <w:rPr>
                <w:rFonts w:hint="default" w:ascii="宋体" w:hAnsi="宋体"/>
                <w:b/>
                <w:bCs/>
                <w:color w:val="000000"/>
                <w:sz w:val="24"/>
              </w:rPr>
            </w:pPr>
            <w:r>
              <w:rPr>
                <w:rFonts w:hint="eastAsia" w:ascii="宋体" w:hAnsi="宋体"/>
                <w:b/>
                <w:bCs/>
                <w:color w:val="000000"/>
                <w:sz w:val="24"/>
                <w:lang w:val="en-US" w:eastAsia="zh-CN"/>
              </w:rPr>
              <w:t xml:space="preserve"> </w:t>
            </w:r>
            <w:r>
              <w:rPr>
                <w:rFonts w:hint="default" w:ascii="宋体" w:hAnsi="宋体"/>
                <w:b/>
                <w:bCs/>
                <w:color w:val="000000"/>
                <w:sz w:val="24"/>
              </w:rPr>
              <w:t>表</w:t>
            </w:r>
            <w:r>
              <w:rPr>
                <w:rFonts w:hint="eastAsia" w:ascii="宋体" w:hAnsi="宋体"/>
                <w:b/>
                <w:bCs/>
                <w:color w:val="000000"/>
                <w:sz w:val="24"/>
                <w:lang w:val="en-US" w:eastAsia="zh-CN"/>
              </w:rPr>
              <w:t xml:space="preserve">4  </w:t>
            </w:r>
            <w:r>
              <w:rPr>
                <w:rFonts w:hint="default" w:ascii="Times New Roman" w:hAnsi="Times New Roman" w:eastAsia="宋体" w:cs="Times New Roman"/>
                <w:b/>
                <w:bCs w:val="0"/>
                <w:color w:val="000000"/>
                <w:sz w:val="24"/>
                <w:highlight w:val="none"/>
                <w:shd w:val="clear" w:color="auto" w:fill="auto"/>
              </w:rPr>
              <w:t>项目与河南省、新乡市及</w:t>
            </w:r>
            <w:r>
              <w:rPr>
                <w:rFonts w:hint="default" w:ascii="Times New Roman" w:hAnsi="Times New Roman" w:eastAsia="宋体" w:cs="Times New Roman"/>
                <w:b/>
                <w:bCs w:val="0"/>
                <w:color w:val="000000"/>
                <w:sz w:val="24"/>
                <w:highlight w:val="none"/>
                <w:shd w:val="clear" w:color="auto" w:fill="auto"/>
                <w:lang w:val="en-US" w:eastAsia="zh-CN"/>
              </w:rPr>
              <w:t>新乡县大气高排放区</w:t>
            </w:r>
            <w:r>
              <w:rPr>
                <w:rFonts w:hint="default" w:ascii="Times New Roman" w:hAnsi="Times New Roman" w:eastAsia="宋体" w:cs="Times New Roman"/>
                <w:b/>
                <w:bCs w:val="0"/>
                <w:color w:val="000000"/>
                <w:sz w:val="24"/>
                <w:highlight w:val="none"/>
                <w:shd w:val="clear" w:color="auto" w:fill="auto"/>
              </w:rPr>
              <w:t>环境准入要求符合性分析</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441"/>
              <w:gridCol w:w="5361"/>
              <w:gridCol w:w="1805"/>
              <w:gridCol w:w="489"/>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rPr>
                  </w:pPr>
                  <w:r>
                    <w:rPr>
                      <w:rFonts w:hint="default" w:hAnsi="宋体"/>
                      <w:b/>
                      <w:color w:val="000000"/>
                      <w:sz w:val="21"/>
                      <w:szCs w:val="21"/>
                    </w:rPr>
                    <w:t>要求名称</w:t>
                  </w:r>
                </w:p>
              </w:tc>
              <w:tc>
                <w:tcPr>
                  <w:tcW w:w="3282" w:type="pct"/>
                  <w:gridSpan w:val="2"/>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rPr>
                  </w:pPr>
                  <w:r>
                    <w:rPr>
                      <w:rFonts w:hint="default" w:hAnsi="宋体"/>
                      <w:b/>
                      <w:color w:val="000000"/>
                      <w:sz w:val="21"/>
                      <w:szCs w:val="21"/>
                    </w:rPr>
                    <w:t>具体管控要求</w:t>
                  </w:r>
                </w:p>
              </w:tc>
              <w:tc>
                <w:tcPr>
                  <w:tcW w:w="1021"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rPr>
                  </w:pPr>
                  <w:r>
                    <w:rPr>
                      <w:rFonts w:hint="default" w:hAnsi="宋体"/>
                      <w:b/>
                      <w:color w:val="000000"/>
                      <w:sz w:val="21"/>
                      <w:szCs w:val="21"/>
                    </w:rPr>
                    <w:t>本项目情况</w:t>
                  </w:r>
                </w:p>
              </w:tc>
              <w:tc>
                <w:tcPr>
                  <w:tcW w:w="276" w:type="pct"/>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b/>
                      <w:color w:val="000000"/>
                      <w:sz w:val="21"/>
                      <w:szCs w:val="21"/>
                    </w:rPr>
                  </w:pPr>
                  <w:r>
                    <w:rPr>
                      <w:rFonts w:hint="default" w:hAnsi="宋体"/>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eastAsia="宋体"/>
                      <w:b/>
                      <w:color w:val="000000"/>
                      <w:sz w:val="21"/>
                      <w:szCs w:val="21"/>
                      <w:lang w:val="en-US" w:eastAsia="zh-CN"/>
                    </w:rPr>
                  </w:pPr>
                  <w:r>
                    <w:rPr>
                      <w:rFonts w:hint="default" w:ascii="宋体" w:hAnsi="宋体"/>
                      <w:b/>
                      <w:bCs/>
                      <w:color w:val="000000"/>
                      <w:sz w:val="21"/>
                      <w:szCs w:val="21"/>
                    </w:rPr>
                    <w:t>河南省生态环境准入清单</w:t>
                  </w:r>
                  <w:r>
                    <w:rPr>
                      <w:rFonts w:hint="eastAsia" w:ascii="宋体" w:hAnsi="宋体"/>
                      <w:b/>
                      <w:bCs/>
                      <w:color w:val="000000"/>
                      <w:sz w:val="21"/>
                      <w:szCs w:val="21"/>
                      <w:lang w:val="en-US" w:eastAsia="zh-CN"/>
                    </w:rPr>
                    <w:t>符合性分析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default" w:hAnsi="宋体"/>
                      <w:color w:val="000000"/>
                      <w:sz w:val="21"/>
                      <w:szCs w:val="21"/>
                    </w:rPr>
                    <w:t>河南省产业发展总体准入要求</w:t>
                  </w:r>
                </w:p>
              </w:tc>
              <w:tc>
                <w:tcPr>
                  <w:tcW w:w="3282" w:type="pct"/>
                  <w:gridSpan w:val="2"/>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①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②禁止新建、扩建《产业结构调整指导目录（</w:t>
                  </w:r>
                  <w:r>
                    <w:rPr>
                      <w:rFonts w:hint="default"/>
                      <w:color w:val="000000"/>
                      <w:sz w:val="21"/>
                      <w:szCs w:val="21"/>
                    </w:rPr>
                    <w:t>2019</w:t>
                  </w:r>
                  <w:r>
                    <w:rPr>
                      <w:rFonts w:hint="default" w:hAnsi="宋体"/>
                      <w:color w:val="000000"/>
                      <w:sz w:val="21"/>
                      <w:szCs w:val="21"/>
                    </w:rPr>
                    <w:t>年本）》明确的淘汰类项目。禁止引入《市场准入负面清单（</w:t>
                  </w:r>
                  <w:r>
                    <w:rPr>
                      <w:rFonts w:hint="default"/>
                      <w:color w:val="000000"/>
                      <w:sz w:val="21"/>
                      <w:szCs w:val="21"/>
                    </w:rPr>
                    <w:t>2019</w:t>
                  </w:r>
                  <w:r>
                    <w:rPr>
                      <w:rFonts w:hint="default" w:hAnsi="宋体"/>
                      <w:color w:val="000000"/>
                      <w:sz w:val="21"/>
                      <w:szCs w:val="21"/>
                    </w:rPr>
                    <w:t>年版）》禁止准入类事项。</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③原则上禁止新增钢铁、电解铝、水泥、平板玻璃、传统煤化工（甲醇、合成氨）、焦化、铸造、铝用炭素、砖瓦窑、耐火材料等行业产能。</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④原则上禁止新建燃料类煤气发生炉和</w:t>
                  </w:r>
                  <w:r>
                    <w:rPr>
                      <w:rFonts w:hint="default"/>
                      <w:color w:val="000000"/>
                      <w:sz w:val="21"/>
                      <w:szCs w:val="21"/>
                    </w:rPr>
                    <w:t>35</w:t>
                  </w:r>
                  <w:r>
                    <w:rPr>
                      <w:rFonts w:hint="default" w:hAnsi="宋体"/>
                      <w:color w:val="000000"/>
                      <w:sz w:val="21"/>
                      <w:szCs w:val="21"/>
                    </w:rPr>
                    <w:t>蒸吨</w:t>
                  </w:r>
                  <w:r>
                    <w:rPr>
                      <w:rFonts w:hint="default"/>
                      <w:color w:val="000000"/>
                      <w:sz w:val="21"/>
                      <w:szCs w:val="21"/>
                    </w:rPr>
                    <w:t>/</w:t>
                  </w:r>
                  <w:r>
                    <w:rPr>
                      <w:rFonts w:hint="default" w:hAnsi="宋体"/>
                      <w:color w:val="000000"/>
                      <w:sz w:val="21"/>
                      <w:szCs w:val="21"/>
                    </w:rPr>
                    <w:t>时及以下燃煤锅炉。</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⑤原则上不再新建天然气热电联产和天然气化工项目。</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⑥禁止耐火材料、陶瓷等行业新建、扩建以煤炭为燃料的项目和企业。</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⑦禁止建设生产和使用高</w:t>
                  </w:r>
                  <w:r>
                    <w:rPr>
                      <w:rFonts w:hint="default"/>
                      <w:color w:val="000000"/>
                      <w:sz w:val="21"/>
                      <w:szCs w:val="21"/>
                    </w:rPr>
                    <w:t>VOCs</w:t>
                  </w:r>
                  <w:r>
                    <w:rPr>
                      <w:rFonts w:hint="default" w:hAnsi="宋体"/>
                      <w:color w:val="000000"/>
                      <w:sz w:val="21"/>
                      <w:szCs w:val="21"/>
                    </w:rPr>
                    <w:t>含量的溶剂型涂料、油墨、胶粘剂等项目。全面取缔露天和敞开式喷涂作业，有条件的工业集聚区建设集中喷涂工程中心。</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⑧禁止新建采用含汞工艺的电石法聚氯乙烯生产项目，禁止新建原生汞矿，逐步停止原生汞开采。</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⑨原则上禁止新建露天矿山建设项目。</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⑩支持各省辖市、省直管县（市）大力推动焦炭、铸造、炭素、耐火材料、铁合金、棕刚玉等产业整合，加快集中集群集约发展。</w:t>
                  </w:r>
                </w:p>
              </w:tc>
              <w:tc>
                <w:tcPr>
                  <w:tcW w:w="1021"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default" w:hAnsi="宋体"/>
                      <w:color w:val="000000"/>
                      <w:sz w:val="21"/>
                      <w:szCs w:val="21"/>
                    </w:rPr>
                    <w:t>经逐条对比，本项目不属于上述禁止建设的项目，项目符合河南省产业发展总体准入要求。</w:t>
                  </w:r>
                </w:p>
              </w:tc>
              <w:tc>
                <w:tcPr>
                  <w:tcW w:w="276"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default" w:hAnsi="宋体"/>
                      <w:color w:val="000000"/>
                      <w:sz w:val="21"/>
                      <w:szCs w:val="21"/>
                    </w:rPr>
                    <w:t>河南省生态空间总体控制要求</w:t>
                  </w:r>
                </w:p>
              </w:tc>
              <w:tc>
                <w:tcPr>
                  <w:tcW w:w="3282" w:type="pct"/>
                  <w:gridSpan w:val="2"/>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生态红线包括：</w:t>
                  </w:r>
                  <w:r>
                    <w:rPr>
                      <w:rFonts w:hint="default"/>
                      <w:color w:val="000000"/>
                      <w:sz w:val="21"/>
                      <w:szCs w:val="21"/>
                    </w:rPr>
                    <w:t>“</w:t>
                  </w:r>
                  <w:r>
                    <w:rPr>
                      <w:rFonts w:hint="default" w:hAnsi="宋体"/>
                      <w:color w:val="000000"/>
                      <w:sz w:val="21"/>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Pr>
                      <w:rFonts w:hint="default"/>
                      <w:color w:val="000000"/>
                      <w:sz w:val="21"/>
                      <w:szCs w:val="21"/>
                    </w:rPr>
                    <w:t>”</w:t>
                  </w:r>
                  <w:r>
                    <w:rPr>
                      <w:rFonts w:hint="default" w:hAnsi="宋体"/>
                      <w:color w:val="000000"/>
                      <w:sz w:val="21"/>
                      <w:szCs w:val="21"/>
                    </w:rPr>
                    <w:t>。</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一般生态空间包括：</w:t>
                  </w:r>
                  <w:r>
                    <w:rPr>
                      <w:rFonts w:hint="default"/>
                      <w:color w:val="000000"/>
                      <w:sz w:val="21"/>
                      <w:szCs w:val="21"/>
                    </w:rPr>
                    <w:t>“</w:t>
                  </w:r>
                  <w:r>
                    <w:rPr>
                      <w:rFonts w:hint="default" w:hAnsi="宋体"/>
                      <w:color w:val="000000"/>
                      <w:sz w:val="21"/>
                      <w:szCs w:val="21"/>
                    </w:rPr>
                    <w:t>水源涵养重要区、水土保持重要区、生物多样性维护重要区、饮用水水源保护区、生态公益林、湿地</w:t>
                  </w:r>
                  <w:r>
                    <w:rPr>
                      <w:rFonts w:hint="default"/>
                      <w:color w:val="000000"/>
                      <w:sz w:val="21"/>
                      <w:szCs w:val="21"/>
                    </w:rPr>
                    <w:t>”</w:t>
                  </w:r>
                  <w:r>
                    <w:rPr>
                      <w:rFonts w:hint="default" w:hAnsi="宋体"/>
                      <w:color w:val="000000"/>
                      <w:sz w:val="21"/>
                      <w:szCs w:val="21"/>
                    </w:rPr>
                    <w:t>。</w:t>
                  </w:r>
                </w:p>
                <w:p>
                  <w:pPr>
                    <w:keepNext w:val="0"/>
                    <w:keepLines w:val="0"/>
                    <w:suppressLineNumbers w:val="0"/>
                    <w:adjustRightInd w:val="0"/>
                    <w:snapToGrid w:val="0"/>
                    <w:spacing w:before="0" w:beforeAutospacing="0" w:after="0" w:afterAutospacing="0" w:line="240" w:lineRule="auto"/>
                    <w:ind w:left="0" w:right="0" w:firstLine="420" w:firstLineChars="200"/>
                    <w:jc w:val="left"/>
                    <w:textAlignment w:val="baseline"/>
                    <w:rPr>
                      <w:rFonts w:hint="default"/>
                      <w:color w:val="000000"/>
                      <w:sz w:val="21"/>
                      <w:szCs w:val="21"/>
                    </w:rPr>
                  </w:pPr>
                  <w:r>
                    <w:rPr>
                      <w:rFonts w:hint="default" w:hAnsi="宋体"/>
                      <w:color w:val="000000"/>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021"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hAnsi="宋体"/>
                      <w:color w:val="000000"/>
                      <w:sz w:val="21"/>
                      <w:szCs w:val="21"/>
                    </w:rPr>
                    <w:t>本项目</w:t>
                  </w:r>
                  <w:r>
                    <w:rPr>
                      <w:rFonts w:hint="default" w:hAnsi="宋体"/>
                      <w:color w:val="000000"/>
                      <w:sz w:val="21"/>
                      <w:szCs w:val="21"/>
                    </w:rPr>
                    <w:t>建设区域不涉及自然保</w:t>
                  </w:r>
                  <w:r>
                    <w:rPr>
                      <w:rFonts w:hint="eastAsia" w:hAnsi="宋体"/>
                      <w:color w:val="000000"/>
                      <w:sz w:val="21"/>
                      <w:szCs w:val="21"/>
                      <w:lang w:val="en-US" w:eastAsia="zh-CN"/>
                    </w:rPr>
                    <w:t>护</w:t>
                  </w:r>
                  <w:r>
                    <w:rPr>
                      <w:rFonts w:hint="default" w:hAnsi="宋体"/>
                      <w:color w:val="000000"/>
                      <w:sz w:val="21"/>
                      <w:szCs w:val="21"/>
                    </w:rPr>
                    <w:t>区、风景名胜区、森林公园、饮用水水源保护区、水产种质资源保护区、湿地公园、地质公园、生态公益林及其他生态保护红线内容，同时不涉及一般生态空间区域。</w:t>
                  </w:r>
                </w:p>
              </w:tc>
              <w:tc>
                <w:tcPr>
                  <w:tcW w:w="276"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color w:val="000000"/>
                      <w:sz w:val="21"/>
                      <w:szCs w:val="21"/>
                      <w:lang w:val="en-US"/>
                    </w:rPr>
                  </w:pPr>
                  <w:r>
                    <w:rPr>
                      <w:rFonts w:hint="eastAsia"/>
                      <w:b/>
                      <w:bCs/>
                      <w:color w:val="auto"/>
                      <w:sz w:val="21"/>
                      <w:szCs w:val="21"/>
                      <w:u w:val="none"/>
                      <w:lang w:eastAsia="zh-CN"/>
                    </w:rPr>
                    <w:t>新乡市</w:t>
                  </w:r>
                  <w:r>
                    <w:rPr>
                      <w:rFonts w:hint="default"/>
                      <w:b/>
                      <w:bCs/>
                      <w:color w:val="auto"/>
                      <w:sz w:val="21"/>
                      <w:szCs w:val="21"/>
                      <w:u w:val="none"/>
                    </w:rPr>
                    <w:t>生态环境总体准入要求</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9" w:type="pct"/>
                  <w:vMerge w:val="restart"/>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color w:val="000000"/>
                      <w:sz w:val="21"/>
                      <w:szCs w:val="21"/>
                      <w:lang w:val="en-US" w:eastAsia="zh-CN"/>
                    </w:rPr>
                  </w:pPr>
                  <w:r>
                    <w:rPr>
                      <w:rFonts w:hint="eastAsia"/>
                      <w:color w:val="000000"/>
                      <w:sz w:val="21"/>
                      <w:szCs w:val="21"/>
                      <w:lang w:val="en-US" w:eastAsia="zh-CN"/>
                    </w:rPr>
                    <w:t>新乡市生态环境总体准入要求</w:t>
                  </w:r>
                </w:p>
              </w:tc>
              <w:tc>
                <w:tcPr>
                  <w:tcW w:w="249"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eastAsia="宋体"/>
                      <w:color w:val="000000"/>
                      <w:sz w:val="21"/>
                      <w:szCs w:val="21"/>
                      <w:lang w:val="en-US" w:eastAsia="zh-CN"/>
                    </w:rPr>
                  </w:pPr>
                  <w:r>
                    <w:rPr>
                      <w:rFonts w:hint="eastAsia"/>
                      <w:color w:val="000000"/>
                      <w:sz w:val="21"/>
                      <w:szCs w:val="21"/>
                      <w:lang w:val="en-US" w:eastAsia="zh-CN"/>
                    </w:rPr>
                    <w:t>空间布局约束</w:t>
                  </w:r>
                </w:p>
              </w:tc>
              <w:tc>
                <w:tcPr>
                  <w:tcW w:w="3032"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color w:val="000000"/>
                      <w:sz w:val="21"/>
                      <w:szCs w:val="21"/>
                    </w:rPr>
                    <w:t>9、严格控制新建、扩建钢铁冶炼、水泥、有色金属冶炼、平板玻璃、化工、建筑陶瓷、耐火材料、砖瓦、矿山开采等行业的高排放、高污染项目，促进传统煤化工、水泥行业绿色转型、智能升级。城市建成区内人口密集区、环境脆弱敏感区周边的钢铁冶炼、水泥、有色金属冶炼、平板玻璃、化工、建筑陶瓷、耐火材料、砖瓦、矿山开采等行业中的高排放、高污染项目，应当限期搬迁、升级改造或者转型、退出。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严格控制新增燃煤项目建设，燃煤发电项目严格按照政府工作部署落实。</w:t>
                  </w:r>
                </w:p>
              </w:tc>
              <w:tc>
                <w:tcPr>
                  <w:tcW w:w="1021"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color w:val="000000"/>
                      <w:sz w:val="21"/>
                      <w:szCs w:val="21"/>
                    </w:rPr>
                    <w:t>本项目为</w:t>
                  </w:r>
                  <w:r>
                    <w:rPr>
                      <w:rFonts w:hint="eastAsia"/>
                      <w:color w:val="000000"/>
                      <w:sz w:val="21"/>
                      <w:szCs w:val="21"/>
                      <w:lang w:val="en-US" w:eastAsia="zh-CN"/>
                    </w:rPr>
                    <w:t>塑料制品业</w:t>
                  </w:r>
                  <w:r>
                    <w:rPr>
                      <w:rFonts w:hint="eastAsia"/>
                      <w:color w:val="000000"/>
                      <w:sz w:val="21"/>
                      <w:szCs w:val="21"/>
                    </w:rPr>
                    <w:t>，不属于本条款中严格控制类项目，不属于两高</w:t>
                  </w:r>
                  <w:r>
                    <w:rPr>
                      <w:rFonts w:hint="eastAsia"/>
                      <w:color w:val="000000"/>
                      <w:sz w:val="21"/>
                      <w:szCs w:val="21"/>
                      <w:lang w:val="en-US" w:eastAsia="zh-CN"/>
                    </w:rPr>
                    <w:t>项</w:t>
                  </w:r>
                  <w:r>
                    <w:rPr>
                      <w:rFonts w:hint="eastAsia"/>
                      <w:color w:val="000000"/>
                      <w:sz w:val="21"/>
                      <w:szCs w:val="21"/>
                    </w:rPr>
                    <w:t>目。</w:t>
                  </w:r>
                </w:p>
              </w:tc>
              <w:tc>
                <w:tcPr>
                  <w:tcW w:w="276"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sz w:val="21"/>
                      <w:szCs w:val="21"/>
                    </w:rPr>
                  </w:pPr>
                </w:p>
              </w:tc>
              <w:tc>
                <w:tcPr>
                  <w:tcW w:w="249"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sz w:val="21"/>
                      <w:szCs w:val="21"/>
                      <w:lang w:val="en-US" w:eastAsia="zh-CN"/>
                    </w:rPr>
                  </w:pPr>
                  <w:r>
                    <w:rPr>
                      <w:rFonts w:hint="eastAsia"/>
                      <w:sz w:val="21"/>
                      <w:szCs w:val="21"/>
                      <w:lang w:val="en-US" w:eastAsia="zh-CN"/>
                    </w:rPr>
                    <w:t>污染物排放管控</w:t>
                  </w:r>
                </w:p>
              </w:tc>
              <w:tc>
                <w:tcPr>
                  <w:tcW w:w="3032"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ascii="Times New Roman" w:hAnsi="Times New Roman" w:eastAsia="宋体" w:cs="Times New Roman"/>
                      <w:b w:val="0"/>
                      <w:bCs w:val="0"/>
                      <w:i w:val="0"/>
                      <w:iCs w:val="0"/>
                      <w:color w:val="000000"/>
                      <w:kern w:val="0"/>
                      <w:sz w:val="21"/>
                      <w:szCs w:val="21"/>
                      <w:u w:val="none"/>
                      <w:lang w:val="en-US" w:eastAsia="zh-CN" w:bidi="ar"/>
                    </w:rPr>
                    <w:t>1</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新、改、扩建项目主要污染物排放要求满足当地总量减排要求。2</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卫河、共产主义渠、文岩渠保持Ⅴ类指标，黄庄河、西柳青河达到</w:t>
                  </w:r>
                  <w:r>
                    <w:rPr>
                      <w:rFonts w:hint="default" w:ascii="Times New Roman" w:hAnsi="Times New Roman" w:eastAsia="宋体" w:cs="Times New Roman"/>
                      <w:b w:val="0"/>
                      <w:bCs w:val="0"/>
                      <w:i w:val="0"/>
                      <w:iCs w:val="0"/>
                      <w:color w:val="000000"/>
                      <w:kern w:val="0"/>
                      <w:sz w:val="21"/>
                      <w:szCs w:val="21"/>
                      <w:u w:val="none"/>
                      <w:lang w:val="en-US" w:eastAsia="zh-CN" w:bidi="ar"/>
                    </w:rPr>
                    <w:t>Ⅳ</w:t>
                  </w:r>
                  <w:r>
                    <w:rPr>
                      <w:rFonts w:hint="eastAsia" w:ascii="Times New Roman" w:hAnsi="Times New Roman" w:eastAsia="宋体" w:cs="Times New Roman"/>
                      <w:b w:val="0"/>
                      <w:bCs w:val="0"/>
                      <w:i w:val="0"/>
                      <w:iCs w:val="0"/>
                      <w:color w:val="000000"/>
                      <w:kern w:val="0"/>
                      <w:sz w:val="21"/>
                      <w:szCs w:val="21"/>
                      <w:u w:val="none"/>
                      <w:lang w:val="en-US" w:eastAsia="zh-CN" w:bidi="ar"/>
                    </w:rPr>
                    <w:t>类指标，天然渠、人民胜利渠达到Ⅲ类指标；城市集中式饮用水水源地取水水质达标率达到100%；地下水质量考核点位水质级别保持稳定；确保完成国家水质考核目标。全市建成区全面消除黑臭水体，县（市）建成区基本完成黑臭水体整治任务。重点治理市域内卫河、共产主义渠、东孟姜女河等海河流域河流，以及西柳青河、天然渠、文岩渠等黄河流域河流，全面开展清河行动、实施河道清淤、规范入河排污口管理，统筹推进水污染综合整治及水生态保护修复，提升河流自净能力，建立生态调水长效机制，保障河流水质稳定达标。禁止以任何方式直接向水功能区要求为Ⅱ类的水体和地表水型集中式生活饮用水水源保护区内的水体排放污水；污水排入黄河干流、黄河一级支流和涉及Ⅲ类水功能区要求的其它水体时，执行一级标准；污水排入除上述水体以外的其它河流、湖泊、水库、运河、渠道、湿地、坑塘、蓄滞洪区等地表水体时，执行二级标准。3</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全面推进城镇（产业集聚区）污水处理厂Ⅴ类水提标改造工程建设，市、县（市、区）污水处理率、城市污泥无害化处置率达到政府目标任务。4</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建项目审批实施“增产不増污”或“增产减污”。全省新建、改建、扩建重点行业重金属污染物排放项目，通过“以新带老”治理、淘汰落后产能、区域替代曾“等量置换”或“减量置换”措施，实现所在区域重点重金属污染排放总量零增长或进一步削减。5</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全面推进企业清洁生产，完善省级产业集聚区污水处理设施水平。加强造纸、氮肥、农副食品加工、毛皮制革、印染、有色金属、原料药制造、电镀等水污染物排放行业重点企业强制性清洁生产审核，全面推进其清洁生产改造或清洁化改造。省级产业集聚区建成区域必须实现管网全配套，污水集中处理设施必须做到稳定达标运行，同时安装自动在线监控装置</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6</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新建“两高”项目应按照《关于加强重点行业建设项目区域削减措施监督管理的通知》（环办环评〔2020〕36号）要求，依据区域环境质量改善目标，制定配套区域污染物削减方案，采取有效的污染物区域削减措施，腾出足够的环境容量。国家大气污染防治重点区域内新建耗煤项目还应严格按规定采取煤炭消费减量替代措施，不得使用高污染燃料作为煤炭减量替代措施。7</w:t>
                  </w:r>
                  <w:r>
                    <w:rPr>
                      <w:rFonts w:hint="eastAsia" w:cs="Times New Roman"/>
                      <w:b w:val="0"/>
                      <w:bCs w:val="0"/>
                      <w:i w:val="0"/>
                      <w:iCs w:val="0"/>
                      <w:color w:val="000000"/>
                      <w:kern w:val="0"/>
                      <w:sz w:val="21"/>
                      <w:szCs w:val="21"/>
                      <w:u w:val="none"/>
                      <w:lang w:val="en-US" w:eastAsia="zh-CN" w:bidi="ar"/>
                    </w:rPr>
                    <w:t>、</w:t>
                  </w:r>
                  <w:r>
                    <w:rPr>
                      <w:rFonts w:hint="eastAsia" w:ascii="Times New Roman" w:hAnsi="Times New Roman" w:eastAsia="宋体" w:cs="Times New Roman"/>
                      <w:b w:val="0"/>
                      <w:bCs w:val="0"/>
                      <w:i w:val="0"/>
                      <w:iCs w:val="0"/>
                      <w:color w:val="000000"/>
                      <w:kern w:val="0"/>
                      <w:sz w:val="21"/>
                      <w:szCs w:val="21"/>
                      <w:u w:val="none"/>
                      <w:lang w:val="en-US" w:eastAsia="zh-CN" w:bidi="ar"/>
                    </w:rPr>
                    <w:t>原阳县、封丘县和长垣市等沿黄重点地区涉及“三高”项目应按照《关于“十四五”推进沿黄重点地区工业项目入园及严控高污染、高耗水、高耗能项目的通知》（豫发改工业〔2021〕812号）要求，梳理规范相关工业园区，清理拟建工业和高污染、高耗水、高耗能项目，稳妥推进园区外工业项目入园。</w:t>
                  </w:r>
                </w:p>
              </w:tc>
              <w:tc>
                <w:tcPr>
                  <w:tcW w:w="1021" w:type="pct"/>
                  <w:tcBorders>
                    <w:top w:val="single" w:color="auto" w:sz="4" w:space="0"/>
                  </w:tcBorders>
                  <w:noWrap w:val="0"/>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textAlignment w:val="auto"/>
                    <w:rPr>
                      <w:rFonts w:hint="eastAsia" w:ascii="Times New Roman" w:hAnsi="Times New Roman" w:eastAsia="宋体" w:cs="Times New Roman"/>
                      <w:b w:val="0"/>
                      <w:bCs/>
                      <w:color w:val="000000"/>
                      <w:sz w:val="21"/>
                      <w:szCs w:val="21"/>
                      <w:lang w:val="en-US" w:eastAsia="zh-CN"/>
                    </w:rPr>
                  </w:pPr>
                </w:p>
                <w:p>
                  <w:pPr>
                    <w:pStyle w:val="65"/>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color w:val="000000"/>
                      <w:sz w:val="21"/>
                      <w:szCs w:val="21"/>
                    </w:rPr>
                  </w:pPr>
                  <w:r>
                    <w:rPr>
                      <w:rFonts w:hint="eastAsia" w:ascii="Times New Roman" w:hAnsi="Times New Roman" w:eastAsia="宋体" w:cs="Times New Roman"/>
                      <w:b w:val="0"/>
                      <w:bCs/>
                      <w:color w:val="000000"/>
                      <w:sz w:val="21"/>
                      <w:szCs w:val="21"/>
                      <w:lang w:val="en-US" w:eastAsia="zh-CN"/>
                    </w:rPr>
                    <w:t>1、</w:t>
                  </w:r>
                  <w:r>
                    <w:rPr>
                      <w:rFonts w:hint="eastAsia" w:ascii="Times New Roman" w:hAnsi="Times New Roman" w:eastAsia="宋体" w:cs="Times New Roman"/>
                      <w:b w:val="0"/>
                      <w:bCs/>
                      <w:color w:val="000000"/>
                      <w:sz w:val="21"/>
                      <w:szCs w:val="21"/>
                    </w:rPr>
                    <w:t>本项目主要污染物排放量满足总量减排要求</w:t>
                  </w:r>
                  <w:r>
                    <w:rPr>
                      <w:rFonts w:hint="eastAsia" w:ascii="Times New Roman" w:hAnsi="Times New Roman" w:eastAsia="宋体" w:cs="Times New Roman"/>
                      <w:b w:val="0"/>
                      <w:bCs/>
                      <w:color w:val="000000"/>
                      <w:sz w:val="21"/>
                      <w:szCs w:val="21"/>
                      <w:lang w:eastAsia="zh-CN"/>
                    </w:rPr>
                    <w:t>；</w:t>
                  </w:r>
                  <w:r>
                    <w:rPr>
                      <w:rFonts w:hint="eastAsia" w:ascii="Times New Roman" w:hAnsi="Times New Roman" w:eastAsia="宋体" w:cs="Times New Roman"/>
                      <w:b w:val="0"/>
                      <w:bCs/>
                      <w:color w:val="000000"/>
                      <w:sz w:val="21"/>
                      <w:szCs w:val="21"/>
                      <w:lang w:val="en-US" w:eastAsia="zh-CN"/>
                    </w:rPr>
                    <w:t>2、</w:t>
                  </w:r>
                  <w:r>
                    <w:rPr>
                      <w:rFonts w:hint="eastAsia" w:ascii="Times New Roman" w:hAnsi="Times New Roman" w:eastAsia="宋体" w:cs="Times New Roman"/>
                      <w:b w:val="0"/>
                      <w:bCs/>
                      <w:color w:val="000000"/>
                      <w:sz w:val="21"/>
                      <w:szCs w:val="21"/>
                    </w:rPr>
                    <w:t>本项目生活污水</w:t>
                  </w:r>
                  <w:r>
                    <w:rPr>
                      <w:rFonts w:hint="eastAsia" w:ascii="Times New Roman" w:hAnsi="Times New Roman" w:eastAsia="宋体" w:cs="Times New Roman"/>
                      <w:b w:val="0"/>
                      <w:bCs/>
                      <w:color w:val="auto"/>
                      <w:sz w:val="21"/>
                      <w:szCs w:val="21"/>
                    </w:rPr>
                    <w:t>经</w:t>
                  </w:r>
                  <w:r>
                    <w:rPr>
                      <w:rFonts w:hint="eastAsia" w:cs="Times New Roman"/>
                      <w:b w:val="0"/>
                      <w:bCs/>
                      <w:color w:val="auto"/>
                      <w:sz w:val="21"/>
                      <w:szCs w:val="21"/>
                      <w:lang w:val="en-US" w:eastAsia="zh-CN"/>
                    </w:rPr>
                    <w:t>化粪池</w:t>
                  </w:r>
                  <w:r>
                    <w:rPr>
                      <w:rFonts w:hint="eastAsia" w:ascii="Times New Roman" w:hAnsi="Times New Roman" w:eastAsia="宋体" w:cs="Times New Roman"/>
                      <w:b w:val="0"/>
                      <w:bCs/>
                      <w:color w:val="auto"/>
                      <w:sz w:val="21"/>
                      <w:szCs w:val="21"/>
                    </w:rPr>
                    <w:t>处理后</w:t>
                  </w:r>
                  <w:r>
                    <w:rPr>
                      <w:rFonts w:hint="eastAsia" w:cs="Times New Roman"/>
                      <w:b w:val="0"/>
                      <w:bCs/>
                      <w:color w:val="auto"/>
                      <w:sz w:val="21"/>
                      <w:szCs w:val="21"/>
                      <w:lang w:val="en-US" w:eastAsia="zh-CN"/>
                    </w:rPr>
                    <w:t>通过污水管网排入新乡县综合污水处理厂进一步处理</w:t>
                  </w:r>
                  <w:r>
                    <w:rPr>
                      <w:rFonts w:hint="eastAsia" w:ascii="Times New Roman" w:hAnsi="Times New Roman" w:eastAsia="宋体" w:cs="Times New Roman"/>
                      <w:b w:val="0"/>
                      <w:bCs/>
                      <w:color w:val="auto"/>
                      <w:sz w:val="21"/>
                      <w:szCs w:val="21"/>
                    </w:rPr>
                    <w:t>。</w:t>
                  </w:r>
                  <w:r>
                    <w:rPr>
                      <w:rFonts w:hint="eastAsia" w:cs="Times New Roman"/>
                      <w:b w:val="0"/>
                      <w:bCs/>
                      <w:i w:val="0"/>
                      <w:iCs w:val="0"/>
                      <w:color w:val="auto"/>
                      <w:kern w:val="0"/>
                      <w:sz w:val="21"/>
                      <w:szCs w:val="21"/>
                      <w:u w:val="none"/>
                      <w:lang w:val="en-US" w:eastAsia="zh-CN" w:bidi="ar"/>
                    </w:rPr>
                    <w:t>3</w:t>
                  </w:r>
                  <w:r>
                    <w:rPr>
                      <w:rFonts w:hint="eastAsia" w:ascii="Times New Roman" w:hAnsi="Times New Roman" w:eastAsia="宋体" w:cs="Times New Roman"/>
                      <w:b w:val="0"/>
                      <w:bCs/>
                      <w:i w:val="0"/>
                      <w:iCs w:val="0"/>
                      <w:color w:val="auto"/>
                      <w:kern w:val="0"/>
                      <w:sz w:val="21"/>
                      <w:szCs w:val="21"/>
                      <w:u w:val="none"/>
                      <w:lang w:val="en-US" w:eastAsia="zh-CN" w:bidi="ar"/>
                    </w:rPr>
                    <w:t>、</w:t>
                  </w:r>
                  <w:r>
                    <w:rPr>
                      <w:rFonts w:hint="default" w:ascii="Times New Roman" w:eastAsia="宋体"/>
                      <w:b w:val="0"/>
                      <w:bCs/>
                      <w:color w:val="000000"/>
                      <w:sz w:val="21"/>
                      <w:szCs w:val="21"/>
                    </w:rPr>
                    <w:t>本项目不属于涉重行业，本项目污染物进行区域内倍量替代</w:t>
                  </w:r>
                  <w:r>
                    <w:rPr>
                      <w:rFonts w:hint="eastAsia" w:ascii="Times New Roman" w:eastAsia="宋体"/>
                      <w:b w:val="0"/>
                      <w:bCs/>
                      <w:color w:val="000000"/>
                      <w:sz w:val="21"/>
                      <w:szCs w:val="21"/>
                      <w:lang w:eastAsia="zh-CN"/>
                    </w:rPr>
                    <w:t>；</w:t>
                  </w:r>
                  <w:r>
                    <w:rPr>
                      <w:rFonts w:hint="eastAsia"/>
                      <w:b w:val="0"/>
                      <w:bCs/>
                      <w:color w:val="000000"/>
                      <w:sz w:val="21"/>
                      <w:szCs w:val="21"/>
                      <w:lang w:val="en-US" w:eastAsia="zh-CN"/>
                    </w:rPr>
                    <w:t>4</w:t>
                  </w:r>
                  <w:r>
                    <w:rPr>
                      <w:rFonts w:hint="eastAsia" w:ascii="Times New Roman" w:eastAsia="宋体"/>
                      <w:b w:val="0"/>
                      <w:bCs/>
                      <w:color w:val="000000"/>
                      <w:sz w:val="21"/>
                      <w:szCs w:val="21"/>
                      <w:lang w:val="en-US" w:eastAsia="zh-CN"/>
                    </w:rPr>
                    <w:t>、本项目不涉及条文相关的重点企业；</w:t>
                  </w:r>
                  <w:r>
                    <w:rPr>
                      <w:rFonts w:hint="eastAsia"/>
                      <w:b w:val="0"/>
                      <w:bCs/>
                      <w:color w:val="000000"/>
                      <w:sz w:val="21"/>
                      <w:szCs w:val="21"/>
                      <w:lang w:val="en-US" w:eastAsia="zh-CN"/>
                    </w:rPr>
                    <w:t>5</w:t>
                  </w:r>
                  <w:r>
                    <w:rPr>
                      <w:rFonts w:hint="eastAsia" w:ascii="Times New Roman" w:eastAsia="宋体"/>
                      <w:b w:val="0"/>
                      <w:bCs/>
                      <w:color w:val="000000"/>
                      <w:sz w:val="21"/>
                      <w:szCs w:val="21"/>
                      <w:lang w:val="en-US" w:eastAsia="zh-CN"/>
                    </w:rPr>
                    <w:t>、</w:t>
                  </w:r>
                  <w:r>
                    <w:rPr>
                      <w:rFonts w:hint="eastAsia" w:ascii="Times New Roman" w:hAnsi="Times New Roman" w:eastAsia="宋体" w:cs="Times New Roman"/>
                      <w:b w:val="0"/>
                      <w:bCs/>
                      <w:color w:val="000000"/>
                      <w:sz w:val="21"/>
                      <w:szCs w:val="21"/>
                      <w:lang w:val="en-US" w:eastAsia="zh-CN"/>
                    </w:rPr>
                    <w:t>本项目不涉及</w:t>
                  </w:r>
                  <w:r>
                    <w:rPr>
                      <w:rFonts w:hint="eastAsia" w:ascii="Times New Roman" w:hAnsi="Times New Roman" w:eastAsia="宋体" w:cs="Times New Roman"/>
                      <w:b w:val="0"/>
                      <w:bCs/>
                      <w:i w:val="0"/>
                      <w:iCs w:val="0"/>
                      <w:color w:val="000000"/>
                      <w:kern w:val="0"/>
                      <w:sz w:val="21"/>
                      <w:szCs w:val="21"/>
                      <w:u w:val="none"/>
                      <w:lang w:val="en-US" w:eastAsia="zh-CN" w:bidi="ar"/>
                    </w:rPr>
                    <w:t>“两高”项目。</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b w:val="0"/>
                      <w:bCs w:val="0"/>
                      <w:sz w:val="21"/>
                      <w:szCs w:val="21"/>
                    </w:rPr>
                  </w:pPr>
                </w:p>
                <w:p>
                  <w:pPr>
                    <w:pStyle w:val="29"/>
                    <w:keepNext w:val="0"/>
                    <w:keepLines w:val="0"/>
                    <w:suppressLineNumbers w:val="0"/>
                    <w:spacing w:before="0" w:beforeAutospacing="0" w:after="0" w:afterAutospacing="0" w:line="240" w:lineRule="auto"/>
                    <w:ind w:left="0" w:right="0"/>
                    <w:rPr>
                      <w:rFonts w:hint="eastAsia"/>
                      <w:b w:val="0"/>
                      <w:bCs w:val="0"/>
                      <w:sz w:val="21"/>
                      <w:szCs w:val="21"/>
                      <w:lang w:val="en-US" w:eastAsia="zh-CN"/>
                    </w:rPr>
                  </w:pPr>
                </w:p>
                <w:p>
                  <w:pPr>
                    <w:pStyle w:val="29"/>
                    <w:keepNext w:val="0"/>
                    <w:keepLines w:val="0"/>
                    <w:suppressLineNumbers w:val="0"/>
                    <w:spacing w:before="0" w:beforeAutospacing="0" w:after="0" w:afterAutospacing="0" w:line="240" w:lineRule="auto"/>
                    <w:ind w:left="0" w:right="0"/>
                    <w:rPr>
                      <w:rFonts w:hint="eastAsia"/>
                      <w:b w:val="0"/>
                      <w:bCs w:val="0"/>
                      <w:sz w:val="21"/>
                      <w:szCs w:val="21"/>
                      <w:lang w:val="en-US" w:eastAsia="zh-CN"/>
                    </w:rPr>
                  </w:pPr>
                </w:p>
                <w:p>
                  <w:pPr>
                    <w:pStyle w:val="29"/>
                    <w:keepNext w:val="0"/>
                    <w:keepLines w:val="0"/>
                    <w:suppressLineNumbers w:val="0"/>
                    <w:spacing w:before="0" w:beforeAutospacing="0" w:after="0" w:afterAutospacing="0" w:line="240" w:lineRule="auto"/>
                    <w:ind w:left="0" w:right="0"/>
                    <w:rPr>
                      <w:rFonts w:hint="eastAsia"/>
                      <w:b w:val="0"/>
                      <w:bCs w:val="0"/>
                      <w:sz w:val="21"/>
                      <w:szCs w:val="21"/>
                      <w:lang w:val="en-US" w:eastAsia="zh-CN"/>
                    </w:rPr>
                  </w:pPr>
                </w:p>
                <w:p>
                  <w:pPr>
                    <w:pStyle w:val="29"/>
                    <w:keepNext w:val="0"/>
                    <w:keepLines w:val="0"/>
                    <w:suppressLineNumbers w:val="0"/>
                    <w:spacing w:before="0" w:beforeAutospacing="0" w:after="0" w:afterAutospacing="0" w:line="240" w:lineRule="auto"/>
                    <w:ind w:left="0" w:right="0"/>
                    <w:rPr>
                      <w:rFonts w:hint="eastAsia"/>
                      <w:b w:val="0"/>
                      <w:bCs w:val="0"/>
                      <w:sz w:val="21"/>
                      <w:szCs w:val="21"/>
                      <w:lang w:val="en-US" w:eastAsia="zh-CN"/>
                    </w:rPr>
                  </w:pPr>
                </w:p>
                <w:p>
                  <w:pPr>
                    <w:pStyle w:val="29"/>
                    <w:keepNext w:val="0"/>
                    <w:keepLines w:val="0"/>
                    <w:suppressLineNumbers w:val="0"/>
                    <w:spacing w:before="0" w:beforeAutospacing="0" w:after="0" w:afterAutospacing="0" w:line="240" w:lineRule="auto"/>
                    <w:ind w:left="0" w:right="0"/>
                    <w:rPr>
                      <w:rFonts w:hint="eastAsia" w:eastAsia="宋体"/>
                      <w:b w:val="0"/>
                      <w:bCs/>
                      <w:sz w:val="21"/>
                      <w:szCs w:val="21"/>
                      <w:lang w:val="en-US" w:eastAsia="zh-CN"/>
                    </w:rPr>
                  </w:pPr>
                  <w:r>
                    <w:rPr>
                      <w:rFonts w:hint="eastAsia" w:ascii="Times New Roman" w:hAnsi="Times New Roman" w:eastAsia="宋体" w:cs="Times New Roman"/>
                      <w:b w:val="0"/>
                      <w:bCs/>
                      <w:color w:val="000000"/>
                      <w:sz w:val="21"/>
                      <w:szCs w:val="21"/>
                      <w:lang w:val="en-US" w:eastAsia="zh-CN"/>
                    </w:rPr>
                    <w:t>相符</w:t>
                  </w:r>
                </w:p>
                <w:p>
                  <w:pPr>
                    <w:pStyle w:val="31"/>
                    <w:keepNext w:val="0"/>
                    <w:keepLines w:val="0"/>
                    <w:suppressLineNumbers w:val="0"/>
                    <w:spacing w:before="0" w:beforeAutospacing="0" w:after="0" w:afterAutospacing="0" w:line="240" w:lineRule="auto"/>
                    <w:ind w:left="0" w:right="0"/>
                    <w:rPr>
                      <w:rFonts w:hint="default"/>
                      <w:b w:val="0"/>
                      <w:bCs w:val="0"/>
                      <w:sz w:val="21"/>
                      <w:szCs w:val="21"/>
                    </w:rPr>
                  </w:pPr>
                </w:p>
                <w:p>
                  <w:pPr>
                    <w:pStyle w:val="31"/>
                    <w:keepNext w:val="0"/>
                    <w:keepLines w:val="0"/>
                    <w:suppressLineNumbers w:val="0"/>
                    <w:spacing w:before="0" w:beforeAutospacing="0" w:after="0" w:afterAutospacing="0" w:line="240" w:lineRule="auto"/>
                    <w:ind w:left="0" w:right="0"/>
                    <w:rPr>
                      <w:rFonts w:hint="default"/>
                      <w:b w:val="0"/>
                      <w:bCs w:val="0"/>
                      <w:sz w:val="21"/>
                      <w:szCs w:val="21"/>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p>
              </w:tc>
              <w:tc>
                <w:tcPr>
                  <w:tcW w:w="249"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eastAsia="宋体"/>
                      <w:color w:val="000000"/>
                      <w:sz w:val="21"/>
                      <w:szCs w:val="21"/>
                      <w:lang w:val="en-US" w:eastAsia="zh-CN"/>
                    </w:rPr>
                  </w:pPr>
                  <w:r>
                    <w:rPr>
                      <w:rFonts w:hint="eastAsia"/>
                      <w:color w:val="000000"/>
                      <w:sz w:val="21"/>
                      <w:szCs w:val="21"/>
                      <w:lang w:val="en-US" w:eastAsia="zh-CN"/>
                    </w:rPr>
                    <w:t>环境风险防控</w:t>
                  </w:r>
                </w:p>
              </w:tc>
              <w:tc>
                <w:tcPr>
                  <w:tcW w:w="3032"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ascii="Times New Roman" w:hAnsi="Times New Roman" w:eastAsia="宋体" w:cs="Times New Roman"/>
                      <w:i w:val="0"/>
                      <w:iCs w:val="0"/>
                      <w:color w:val="000000"/>
                      <w:kern w:val="0"/>
                      <w:sz w:val="21"/>
                      <w:szCs w:val="21"/>
                      <w:u w:val="none"/>
                      <w:lang w:val="en-US" w:eastAsia="zh-CN" w:bidi="ar"/>
                    </w:rPr>
                    <w:t>1、地下水漏斗区、重金属污染区、生态严重退化区等区域：探索开展耕地轮作休耕试点；实行休耕补贴，引导农民自愿将重度污染耕地退出农业生产。2、具备饮用水水源保护区及影响范围内风险源名录和风险防控方案、饮用水水源地突发环境事件应急处置技术方案及应急专家库、应急监测能力。定期或不定期开展饮用水水源地周边环境安全隐患排查及饮用水水源地环境风险评估。饮用水水源地有专项应急预案，做到“一源一案”，按照环境保护主管部门要求备案并定演练和修订预案。饮用水水源地周边高风险区域设有应急物资（装备）储备库及事故应急池等应急防护工程，上游连接水体设有节制闸、拦污坝、导流渠、调水沟渠等防护工程设施。</w:t>
                  </w:r>
                </w:p>
              </w:tc>
              <w:tc>
                <w:tcPr>
                  <w:tcW w:w="1021"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cs="Times New Roman"/>
                      <w:b w:val="0"/>
                      <w:i w:val="0"/>
                      <w:iCs w:val="0"/>
                      <w:color w:val="000000"/>
                      <w:kern w:val="0"/>
                      <w:sz w:val="21"/>
                      <w:szCs w:val="21"/>
                      <w:u w:val="none"/>
                      <w:lang w:val="en-US" w:eastAsia="zh-CN" w:bidi="ar"/>
                    </w:rPr>
                    <w:t>本项目不涉及</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p>
              </w:tc>
              <w:tc>
                <w:tcPr>
                  <w:tcW w:w="249"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color w:val="000000"/>
                      <w:sz w:val="21"/>
                      <w:szCs w:val="21"/>
                      <w:lang w:val="en-US" w:eastAsia="zh-CN"/>
                    </w:rPr>
                    <w:t>资源开发效率要求</w:t>
                  </w:r>
                </w:p>
              </w:tc>
              <w:tc>
                <w:tcPr>
                  <w:tcW w:w="3032"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eastAsia" w:ascii="Times New Roman" w:hAnsi="Times New Roman" w:eastAsia="宋体" w:cs="Times New Roman"/>
                      <w:i w:val="0"/>
                      <w:iCs w:val="0"/>
                      <w:color w:val="000000"/>
                      <w:kern w:val="0"/>
                      <w:sz w:val="21"/>
                      <w:szCs w:val="21"/>
                      <w:u w:val="none"/>
                      <w:lang w:val="en-US" w:eastAsia="zh-CN" w:bidi="ar"/>
                    </w:rPr>
                    <w:t>1.“十四五”期间按照政府目标控制能耗增量指标。鼓励使用清洁燃料，重点区域建设项目原则上不新建燃煤自备锅炉。2.重点推进南水北调受水区地下水压采工作，加快公共供水管网建设，促进供水管网覆盖范围以外的自备井封闭工作。3.开展高耗水工业行业节水技术改造，大力推广工业水循环利用，推进节水型企业、节水型工业园区建设。4.按照合理有序使用地表水、控制使用地下水、积极利用非常规水源的要求，做好区域水资源统筹调配，逐步降低区域内的水资源开发利用强度，退减被挤占的生态用水，2030年全市浅层地下水开采控制在57390万立方米。5.到2025年，全国地级及以上缺水城市再生水利用率达到25%以上。6.二级国家级公益林在不影响整体森林生态系统功能发挥的前提下，可以按照相关技术规程的规定开展抚育和更新性质的采伐。在不破坏森林植被的前提下，可以合理利用其林地资源，适度开展林下种植养殖和森林游憩等非木质资源开发与利用，科学发展林下经济。国有二级国家级公益林除执行上述规定外，需要开展抚育和更新采伐或者非木质资源培育利用的，还应当符合森林经营方案的规划，并编制采伐或非木质资源培育利用作业设计，经县级以上林业主管部门依法批准后实施。</w:t>
                  </w:r>
                </w:p>
              </w:tc>
              <w:tc>
                <w:tcPr>
                  <w:tcW w:w="1021"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color w:val="000000"/>
                      <w:sz w:val="21"/>
                      <w:szCs w:val="21"/>
                    </w:rPr>
                  </w:pPr>
                  <w:r>
                    <w:rPr>
                      <w:rFonts w:hint="default" w:ascii="Times New Roman" w:eastAsia="宋体"/>
                      <w:b w:val="0"/>
                      <w:bCs/>
                      <w:color w:val="000000"/>
                      <w:sz w:val="21"/>
                      <w:szCs w:val="21"/>
                    </w:rPr>
                    <w:t>本项目不属于高耗水行业</w:t>
                  </w:r>
                  <w:r>
                    <w:rPr>
                      <w:rFonts w:hint="eastAsia" w:ascii="Times New Roman" w:eastAsia="宋体"/>
                      <w:b w:val="0"/>
                      <w:bCs/>
                      <w:color w:val="000000"/>
                      <w:sz w:val="21"/>
                      <w:szCs w:val="21"/>
                      <w:lang w:eastAsia="zh-CN"/>
                    </w:rPr>
                    <w:t>。</w:t>
                  </w:r>
                </w:p>
              </w:tc>
              <w:tc>
                <w:tcPr>
                  <w:tcW w:w="276" w:type="pct"/>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eastAsia"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color w:val="000000"/>
                      <w:sz w:val="21"/>
                      <w:szCs w:val="21"/>
                      <w:lang w:val="en-US" w:eastAsia="zh-CN"/>
                    </w:rPr>
                  </w:pPr>
                  <w:r>
                    <w:rPr>
                      <w:rFonts w:hint="default" w:ascii="Times New Roman" w:hAnsi="Times New Roman" w:eastAsia="仿宋" w:cs="Times New Roman"/>
                      <w:b/>
                      <w:bCs/>
                      <w:i w:val="0"/>
                      <w:iCs w:val="0"/>
                      <w:color w:val="000000"/>
                      <w:kern w:val="0"/>
                      <w:sz w:val="21"/>
                      <w:szCs w:val="21"/>
                      <w:u w:val="none"/>
                      <w:lang w:val="en-US" w:eastAsia="zh-CN" w:bidi="ar"/>
                    </w:rPr>
                    <w:t>ZH4107212000</w:t>
                  </w:r>
                  <w:r>
                    <w:rPr>
                      <w:rFonts w:hint="eastAsia" w:ascii="Times New Roman" w:hAnsi="Times New Roman" w:eastAsia="仿宋" w:cs="Times New Roman"/>
                      <w:b/>
                      <w:bCs/>
                      <w:i w:val="0"/>
                      <w:iCs w:val="0"/>
                      <w:color w:val="000000"/>
                      <w:kern w:val="0"/>
                      <w:sz w:val="21"/>
                      <w:szCs w:val="21"/>
                      <w:u w:val="none"/>
                      <w:lang w:val="en-US" w:eastAsia="zh-CN" w:bidi="ar"/>
                    </w:rPr>
                    <w:t>1</w:t>
                  </w:r>
                  <w:r>
                    <w:rPr>
                      <w:rFonts w:hint="default" w:ascii="Times New Roman" w:hAnsi="Times New Roman" w:eastAsia="宋体" w:cs="Times New Roman"/>
                      <w:b/>
                      <w:bCs/>
                      <w:i w:val="0"/>
                      <w:iCs w:val="0"/>
                      <w:color w:val="000000"/>
                      <w:kern w:val="0"/>
                      <w:sz w:val="21"/>
                      <w:szCs w:val="21"/>
                      <w:u w:val="none"/>
                      <w:lang w:val="pt-BR" w:eastAsia="zh-CN" w:bidi="ar"/>
                    </w:rPr>
                    <w:t>环境管控单元生态环境准入清单</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restart"/>
                  <w:tcBorders>
                    <w:top w:val="single" w:color="auto" w:sz="8" w:space="0"/>
                    <w:bottom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sz w:val="21"/>
                      <w:szCs w:val="21"/>
                    </w:rPr>
                  </w:pPr>
                  <w:r>
                    <w:rPr>
                      <w:rFonts w:hint="default" w:ascii="Times New Roman" w:hAnsi="Times New Roman" w:eastAsia="仿宋" w:cs="Times New Roman"/>
                      <w:b w:val="0"/>
                      <w:bCs w:val="0"/>
                      <w:i w:val="0"/>
                      <w:iCs w:val="0"/>
                      <w:color w:val="000000"/>
                      <w:kern w:val="0"/>
                      <w:sz w:val="21"/>
                      <w:szCs w:val="21"/>
                      <w:u w:val="none"/>
                      <w:lang w:val="en-US" w:eastAsia="zh-CN" w:bidi="ar"/>
                    </w:rPr>
                    <w:t>ZH4107212000</w:t>
                  </w:r>
                  <w:r>
                    <w:rPr>
                      <w:rFonts w:hint="eastAsia" w:ascii="Times New Roman" w:hAnsi="Times New Roman" w:eastAsia="仿宋" w:cs="Times New Roman"/>
                      <w:b w:val="0"/>
                      <w:bCs w:val="0"/>
                      <w:i w:val="0"/>
                      <w:iCs w:val="0"/>
                      <w:color w:val="000000"/>
                      <w:kern w:val="0"/>
                      <w:sz w:val="21"/>
                      <w:szCs w:val="21"/>
                      <w:u w:val="none"/>
                      <w:lang w:val="en-US" w:eastAsia="zh-CN" w:bidi="ar"/>
                    </w:rPr>
                    <w:t>1</w:t>
                  </w:r>
                  <w:r>
                    <w:rPr>
                      <w:rFonts w:hint="default" w:ascii="Times New Roman" w:hAnsi="Times New Roman" w:eastAsia="宋体" w:cs="Times New Roman"/>
                      <w:b w:val="0"/>
                      <w:bCs w:val="0"/>
                      <w:i w:val="0"/>
                      <w:iCs w:val="0"/>
                      <w:color w:val="000000"/>
                      <w:kern w:val="0"/>
                      <w:sz w:val="21"/>
                      <w:szCs w:val="21"/>
                      <w:u w:val="none"/>
                      <w:lang w:val="pt-BR" w:eastAsia="zh-CN" w:bidi="ar"/>
                    </w:rPr>
                    <w:t>环境管控单元生态环境准入清单</w:t>
                  </w:r>
                </w:p>
              </w:tc>
              <w:tc>
                <w:tcPr>
                  <w:tcW w:w="249" w:type="pct"/>
                  <w:vMerge w:val="restart"/>
                  <w:tcBorders>
                    <w:top w:val="single" w:color="auto" w:sz="8" w:space="0"/>
                    <w:bottom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default" w:hAnsi="宋体"/>
                      <w:bCs/>
                      <w:color w:val="000000"/>
                      <w:sz w:val="21"/>
                      <w:szCs w:val="21"/>
                    </w:rPr>
                    <w:t>空间布局约束</w:t>
                  </w: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 xml:space="preserve">、北区严控其用地（包括三类工业用地）和产业发展规模，在距离新乡县主城区近的园区西侧设置二类工业用地，布置二类工业企业，不再规划发展化工项目，同时设置绿化带，防止工业对城区及周边生活环境造成不良影响 </w:t>
                  </w:r>
                  <w:r>
                    <w:rPr>
                      <w:rFonts w:hint="default" w:ascii="Times New Roman" w:hAnsi="Times New Roman" w:eastAsia="宋体" w:cs="Times New Roman"/>
                      <w:b w:val="0"/>
                      <w:bCs w:val="0"/>
                      <w:color w:val="000000"/>
                      <w:kern w:val="0"/>
                      <w:sz w:val="21"/>
                      <w:szCs w:val="21"/>
                      <w:lang w:val="en-US" w:eastAsia="zh-CN" w:bidi="ar"/>
                    </w:rPr>
                    <w:t xml:space="preserve">   </w:t>
                  </w:r>
                </w:p>
              </w:tc>
              <w:tc>
                <w:tcPr>
                  <w:tcW w:w="1021"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本项目位于中区</w:t>
                  </w:r>
                </w:p>
              </w:tc>
              <w:tc>
                <w:tcPr>
                  <w:tcW w:w="276" w:type="pct"/>
                  <w:tcBorders>
                    <w:top w:val="single" w:color="auto" w:sz="8" w:space="0"/>
                    <w:bottom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249" w:type="pct"/>
                  <w:vMerge w:val="continue"/>
                  <w:tcBorders>
                    <w:top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2</w:t>
                  </w:r>
                  <w:r>
                    <w:rPr>
                      <w:rFonts w:hint="eastAsia" w:ascii="宋体" w:hAnsi="宋体" w:eastAsia="宋体" w:cs="宋体"/>
                      <w:b w:val="0"/>
                      <w:bCs w:val="0"/>
                      <w:color w:val="000000"/>
                      <w:kern w:val="0"/>
                      <w:sz w:val="21"/>
                      <w:szCs w:val="21"/>
                      <w:lang w:val="en-US" w:eastAsia="zh-CN" w:bidi="ar"/>
                    </w:rPr>
                    <w:t>、冷藏冷冻产业园内现有食品企业周围</w:t>
                  </w:r>
                  <w:r>
                    <w:rPr>
                      <w:rFonts w:hint="default" w:ascii="Times New Roman" w:hAnsi="Times New Roman" w:eastAsia="宋体" w:cs="Times New Roman"/>
                      <w:b w:val="0"/>
                      <w:bCs w:val="0"/>
                      <w:color w:val="000000"/>
                      <w:kern w:val="0"/>
                      <w:sz w:val="21"/>
                      <w:szCs w:val="21"/>
                      <w:lang w:val="en-US" w:eastAsia="zh-CN" w:bidi="ar"/>
                    </w:rPr>
                    <w:t>100</w:t>
                  </w:r>
                  <w:r>
                    <w:rPr>
                      <w:rFonts w:hint="eastAsia" w:ascii="宋体" w:hAnsi="宋体" w:eastAsia="宋体" w:cs="宋体"/>
                      <w:b w:val="0"/>
                      <w:bCs w:val="0"/>
                      <w:color w:val="000000"/>
                      <w:kern w:val="0"/>
                      <w:sz w:val="21"/>
                      <w:szCs w:val="21"/>
                      <w:lang w:val="en-US" w:eastAsia="zh-CN" w:bidi="ar"/>
                    </w:rPr>
                    <w:t>米范围内不再布置喷漆等对食品企业有影响的企业。</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kern w:val="0"/>
                      <w:sz w:val="21"/>
                      <w:szCs w:val="21"/>
                      <w:lang w:val="en-US" w:eastAsia="zh-CN" w:bidi="ar"/>
                    </w:rPr>
                    <w:t>本项目不涉及喷漆。</w:t>
                  </w:r>
                </w:p>
              </w:tc>
              <w:tc>
                <w:tcPr>
                  <w:tcW w:w="276" w:type="pct"/>
                  <w:tcBorders>
                    <w:top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3</w:t>
                  </w:r>
                  <w:r>
                    <w:rPr>
                      <w:rFonts w:hint="eastAsia" w:ascii="宋体" w:hAnsi="宋体" w:eastAsia="宋体" w:cs="宋体"/>
                      <w:b w:val="0"/>
                      <w:bCs w:val="0"/>
                      <w:color w:val="000000"/>
                      <w:kern w:val="0"/>
                      <w:sz w:val="21"/>
                      <w:szCs w:val="21"/>
                      <w:lang w:val="en-US" w:eastAsia="zh-CN" w:bidi="ar"/>
                    </w:rPr>
                    <w:t>、禁止新建或单纯扩大产能的以煤为原料的煤化工项目，升级改造项目、符合条件的退城入园的合成氨和甲醇项目产能应实现等量置换，且合成氨和甲醇总产能控制在</w:t>
                  </w:r>
                  <w:r>
                    <w:rPr>
                      <w:rFonts w:hint="default" w:ascii="Times New Roman" w:hAnsi="Times New Roman" w:eastAsia="宋体" w:cs="Times New Roman"/>
                      <w:b w:val="0"/>
                      <w:bCs w:val="0"/>
                      <w:color w:val="000000"/>
                      <w:kern w:val="0"/>
                      <w:sz w:val="21"/>
                      <w:szCs w:val="21"/>
                      <w:lang w:val="en-US" w:eastAsia="zh-CN" w:bidi="ar"/>
                    </w:rPr>
                    <w:t>200</w:t>
                  </w:r>
                  <w:r>
                    <w:rPr>
                      <w:rFonts w:hint="eastAsia" w:ascii="宋体" w:hAnsi="宋体" w:eastAsia="宋体" w:cs="宋体"/>
                      <w:b w:val="0"/>
                      <w:bCs w:val="0"/>
                      <w:color w:val="000000"/>
                      <w:kern w:val="0"/>
                      <w:sz w:val="21"/>
                      <w:szCs w:val="21"/>
                      <w:lang w:val="en-US" w:eastAsia="zh-CN" w:bidi="ar"/>
                    </w:rPr>
                    <w:t>万吨，并按照要求落实煤炭及污染物排放总量的区域削减替代。</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kern w:val="0"/>
                      <w:sz w:val="21"/>
                      <w:szCs w:val="21"/>
                      <w:lang w:val="en-US" w:eastAsia="zh-CN" w:bidi="ar"/>
                    </w:rPr>
                    <w:t>本项目不属于煤化工项目，不使用煤为原料。</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4</w:t>
                  </w:r>
                  <w:r>
                    <w:rPr>
                      <w:rFonts w:hint="eastAsia" w:ascii="宋体" w:hAnsi="宋体" w:eastAsia="宋体" w:cs="宋体"/>
                      <w:b w:val="0"/>
                      <w:bCs w:val="0"/>
                      <w:color w:val="000000"/>
                      <w:kern w:val="0"/>
                      <w:sz w:val="21"/>
                      <w:szCs w:val="21"/>
                      <w:lang w:val="en-US" w:eastAsia="zh-CN" w:bidi="ar"/>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制革、化纤浆柏、黑色冶金、焦化、煤焦油加工、金属冶炼等不符合园区产业定位且污染较重的项目。</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kern w:val="0"/>
                      <w:sz w:val="21"/>
                      <w:szCs w:val="21"/>
                      <w:lang w:val="en-US" w:eastAsia="zh-CN" w:bidi="ar"/>
                    </w:rPr>
                    <w:t>本项目不属于禁止建设项目。</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5</w:t>
                  </w:r>
                  <w:r>
                    <w:rPr>
                      <w:rFonts w:hint="eastAsia" w:ascii="宋体" w:hAnsi="宋体" w:eastAsia="宋体" w:cs="宋体"/>
                      <w:b w:val="0"/>
                      <w:bCs w:val="0"/>
                      <w:color w:val="000000"/>
                      <w:kern w:val="0"/>
                      <w:sz w:val="21"/>
                      <w:szCs w:val="21"/>
                      <w:lang w:val="en-US" w:eastAsia="zh-CN" w:bidi="ar"/>
                    </w:rPr>
                    <w:t>、淘汰不符合国家产业政策的涉重行业企业生产工艺装备。鼓励产能严重过剩行业的涉重金属排放企业主动退出市场。</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kern w:val="0"/>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涉重行业，不涉及重金属排放。</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6</w:t>
                  </w:r>
                  <w:r>
                    <w:rPr>
                      <w:rFonts w:hint="eastAsia" w:ascii="宋体" w:hAnsi="宋体" w:eastAsia="宋体" w:cs="宋体"/>
                      <w:b w:val="0"/>
                      <w:bCs w:val="0"/>
                      <w:color w:val="000000"/>
                      <w:kern w:val="0"/>
                      <w:sz w:val="21"/>
                      <w:szCs w:val="21"/>
                      <w:lang w:val="en-US" w:eastAsia="zh-CN" w:bidi="ar"/>
                    </w:rPr>
                    <w:t>、对列入疑似污染地块名单的地块，未经土壤污染状况调查确定为未污染地块的，不得进入用地程序，自然资源部门不得核发建设工程规划许可证。</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
                    </w:rPr>
                    <w:t>本项目位于河南省新乡市新乡县七里营镇工业园区阳光路</w:t>
                  </w:r>
                  <w:r>
                    <w:rPr>
                      <w:rFonts w:hint="default" w:ascii="Times New Roman" w:hAnsi="Times New Roman" w:eastAsia="宋体" w:cs="Times New Roman"/>
                      <w:b w:val="0"/>
                      <w:bCs w:val="0"/>
                      <w:kern w:val="0"/>
                      <w:sz w:val="21"/>
                      <w:szCs w:val="21"/>
                      <w:lang w:val="en-US" w:eastAsia="zh-CN" w:bidi="ar"/>
                    </w:rPr>
                    <w:t>6</w:t>
                  </w:r>
                  <w:r>
                    <w:rPr>
                      <w:rFonts w:hint="eastAsia" w:ascii="宋体" w:hAnsi="宋体" w:eastAsia="宋体" w:cs="宋体"/>
                      <w:b w:val="0"/>
                      <w:bCs w:val="0"/>
                      <w:kern w:val="0"/>
                      <w:sz w:val="21"/>
                      <w:szCs w:val="21"/>
                      <w:lang w:val="en-US" w:eastAsia="zh-CN" w:bidi="ar"/>
                    </w:rPr>
                    <w:t>号，不属于</w:t>
                  </w:r>
                  <w:r>
                    <w:rPr>
                      <w:rFonts w:hint="eastAsia" w:ascii="宋体" w:hAnsi="宋体" w:eastAsia="宋体" w:cs="宋体"/>
                      <w:b w:val="0"/>
                      <w:bCs w:val="0"/>
                      <w:color w:val="000000"/>
                      <w:kern w:val="0"/>
                      <w:sz w:val="21"/>
                      <w:szCs w:val="21"/>
                      <w:lang w:val="en-US" w:eastAsia="zh-CN" w:bidi="ar"/>
                    </w:rPr>
                    <w:t>列入疑似污染地块名单的地块。</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bottom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249" w:type="pct"/>
                  <w:vMerge w:val="continue"/>
                  <w:tcBorders>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p>
              </w:tc>
              <w:tc>
                <w:tcPr>
                  <w:tcW w:w="3032"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7</w:t>
                  </w:r>
                  <w:r>
                    <w:rPr>
                      <w:rFonts w:hint="eastAsia" w:ascii="宋体" w:hAnsi="宋体" w:eastAsia="宋体" w:cs="宋体"/>
                      <w:b w:val="0"/>
                      <w:bCs w:val="0"/>
                      <w:color w:val="000000"/>
                      <w:kern w:val="0"/>
                      <w:sz w:val="21"/>
                      <w:szCs w:val="21"/>
                      <w:lang w:val="en-US" w:eastAsia="zh-CN" w:bidi="ar"/>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021" w:type="pct"/>
                  <w:tcBorders>
                    <w:top w:val="single" w:color="auto" w:sz="4" w:space="0"/>
                    <w:bottom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lang w:val="en-US" w:eastAsia="zh-CN" w:bidi="ar-SA"/>
                    </w:rPr>
                  </w:pPr>
                  <w:r>
                    <w:rPr>
                      <w:rFonts w:hint="eastAsia" w:ascii="宋体" w:hAnsi="宋体" w:eastAsia="宋体" w:cs="宋体"/>
                      <w:kern w:val="0"/>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“两高”项目。</w:t>
                  </w:r>
                </w:p>
              </w:tc>
              <w:tc>
                <w:tcPr>
                  <w:tcW w:w="276" w:type="pct"/>
                  <w:tcBorders>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p>
              </w:tc>
              <w:tc>
                <w:tcPr>
                  <w:tcW w:w="249" w:type="pct"/>
                  <w:vMerge w:val="restar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bCs/>
                      <w:color w:val="000000"/>
                      <w:sz w:val="21"/>
                      <w:szCs w:val="21"/>
                    </w:rPr>
                  </w:pPr>
                  <w:r>
                    <w:rPr>
                      <w:rFonts w:hint="default" w:hAnsi="宋体"/>
                      <w:bCs/>
                      <w:color w:val="000000"/>
                      <w:sz w:val="21"/>
                      <w:szCs w:val="21"/>
                    </w:rPr>
                    <w:t>污染物排放管控</w:t>
                  </w:r>
                </w:p>
              </w:tc>
              <w:tc>
                <w:tcPr>
                  <w:tcW w:w="3032"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、二氧化硫、氮氧化物、颗粒物、</w:t>
                  </w:r>
                  <w:r>
                    <w:rPr>
                      <w:rFonts w:hint="default" w:ascii="Times New Roman" w:hAnsi="Times New Roman" w:eastAsia="宋体" w:cs="Times New Roman"/>
                      <w:b w:val="0"/>
                      <w:bCs w:val="0"/>
                      <w:color w:val="000000"/>
                      <w:kern w:val="0"/>
                      <w:sz w:val="21"/>
                      <w:szCs w:val="21"/>
                      <w:lang w:val="en-US" w:eastAsia="zh-CN" w:bidi="ar"/>
                    </w:rPr>
                    <w:t>VOCs</w:t>
                  </w:r>
                  <w:r>
                    <w:rPr>
                      <w:rFonts w:hint="eastAsia" w:ascii="宋体" w:hAnsi="宋体" w:eastAsia="宋体" w:cs="宋体"/>
                      <w:b w:val="0"/>
                      <w:bCs w:val="0"/>
                      <w:color w:val="000000"/>
                      <w:kern w:val="0"/>
                      <w:sz w:val="21"/>
                      <w:szCs w:val="21"/>
                      <w:lang w:val="en-US" w:eastAsia="zh-CN" w:bidi="ar"/>
                    </w:rPr>
                    <w:t>全面执行大气污染物特别排放限值。</w:t>
                  </w:r>
                </w:p>
              </w:tc>
              <w:tc>
                <w:tcPr>
                  <w:tcW w:w="1021" w:type="pct"/>
                  <w:tcBorders>
                    <w:top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
                    </w:rPr>
                    <w:t>本项目废气排放全面执行大气污染物特别排放限值。</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3032"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2</w:t>
                  </w:r>
                  <w:r>
                    <w:rPr>
                      <w:rFonts w:hint="eastAsia" w:ascii="宋体" w:hAnsi="宋体" w:eastAsia="宋体" w:cs="宋体"/>
                      <w:b w:val="0"/>
                      <w:bCs w:val="0"/>
                      <w:color w:val="000000"/>
                      <w:kern w:val="0"/>
                      <w:sz w:val="21"/>
                      <w:szCs w:val="21"/>
                      <w:lang w:val="en-US" w:eastAsia="zh-CN" w:bidi="ar"/>
                    </w:rPr>
                    <w:t>、污水处理厂逐步实施技改，出水执行《地表水环境质量标准》（</w:t>
                  </w:r>
                  <w:r>
                    <w:rPr>
                      <w:rFonts w:hint="default" w:ascii="Times New Roman" w:hAnsi="Times New Roman" w:eastAsia="宋体" w:cs="Times New Roman"/>
                      <w:b w:val="0"/>
                      <w:bCs w:val="0"/>
                      <w:color w:val="000000"/>
                      <w:kern w:val="0"/>
                      <w:sz w:val="21"/>
                      <w:szCs w:val="21"/>
                      <w:lang w:val="en-US" w:eastAsia="zh-CN" w:bidi="ar"/>
                    </w:rPr>
                    <w:t>GB3838-2002</w:t>
                  </w:r>
                  <w:r>
                    <w:rPr>
                      <w:rFonts w:hint="eastAsia" w:ascii="宋体" w:hAnsi="宋体" w:eastAsia="宋体" w:cs="宋体"/>
                      <w:b w:val="0"/>
                      <w:bCs w:val="0"/>
                      <w:color w:val="000000"/>
                      <w:kern w:val="0"/>
                      <w:sz w:val="21"/>
                      <w:szCs w:val="21"/>
                      <w:lang w:val="en-US" w:eastAsia="zh-CN" w:bidi="ar"/>
                    </w:rPr>
                    <w:t>）</w:t>
                  </w:r>
                  <w:r>
                    <w:rPr>
                      <w:rFonts w:hint="default" w:ascii="Times New Roman" w:hAnsi="Times New Roman" w:eastAsia="宋体" w:cs="Times New Roman"/>
                      <w:b w:val="0"/>
                      <w:bCs w:val="0"/>
                      <w:color w:val="000000"/>
                      <w:kern w:val="0"/>
                      <w:sz w:val="21"/>
                      <w:szCs w:val="21"/>
                      <w:lang w:val="en-US" w:eastAsia="zh-CN" w:bidi="ar"/>
                    </w:rPr>
                    <w:t>Ⅴ</w:t>
                  </w:r>
                  <w:r>
                    <w:rPr>
                      <w:rFonts w:hint="eastAsia" w:ascii="宋体" w:hAnsi="宋体" w:eastAsia="宋体" w:cs="宋体"/>
                      <w:b w:val="0"/>
                      <w:bCs w:val="0"/>
                      <w:color w:val="000000"/>
                      <w:kern w:val="0"/>
                      <w:sz w:val="21"/>
                      <w:szCs w:val="21"/>
                      <w:lang w:val="en-US" w:eastAsia="zh-CN" w:bidi="ar"/>
                    </w:rPr>
                    <w:t>类标准要求，减少对纳污水体的影响；加快新乡县东孟姜女河流域新建污水处理厂及配套管网建设，以满足园区企业污水处理的需求，确保入区企业外排废水全部经管网收集后进入污水处理厂处理。</w:t>
                  </w:r>
                </w:p>
              </w:tc>
              <w:tc>
                <w:tcPr>
                  <w:tcW w:w="1021"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
                    </w:rPr>
                    <w:t>本项目生活污水经化粪池处理后排入</w:t>
                  </w:r>
                  <w:r>
                    <w:rPr>
                      <w:rFonts w:hint="eastAsia"/>
                      <w:b w:val="0"/>
                      <w:bCs w:val="0"/>
                      <w:spacing w:val="-2"/>
                      <w:sz w:val="21"/>
                      <w:szCs w:val="21"/>
                      <w:highlight w:val="none"/>
                      <w:u w:val="none"/>
                      <w:lang w:eastAsia="zh-CN"/>
                    </w:rPr>
                    <w:t>新乡县综合污水处理</w:t>
                  </w:r>
                  <w:r>
                    <w:rPr>
                      <w:rFonts w:hint="eastAsia"/>
                      <w:b w:val="0"/>
                      <w:bCs w:val="0"/>
                      <w:spacing w:val="-2"/>
                      <w:sz w:val="21"/>
                      <w:szCs w:val="21"/>
                      <w:highlight w:val="none"/>
                      <w:u w:val="none"/>
                      <w:lang w:val="en-US" w:eastAsia="zh-CN"/>
                    </w:rPr>
                    <w:t>厂</w:t>
                  </w:r>
                  <w:r>
                    <w:rPr>
                      <w:rFonts w:hint="eastAsia" w:ascii="宋体" w:hAnsi="宋体" w:eastAsia="宋体" w:cs="宋体"/>
                      <w:bCs/>
                      <w:color w:val="000000"/>
                      <w:kern w:val="2"/>
                      <w:sz w:val="21"/>
                      <w:szCs w:val="21"/>
                      <w:lang w:val="en-US" w:eastAsia="zh-CN" w:bidi="ar"/>
                    </w:rPr>
                    <w:t>进一步处理，</w:t>
                  </w:r>
                  <w:r>
                    <w:rPr>
                      <w:rFonts w:hint="eastAsia" w:ascii="宋体" w:hAnsi="宋体" w:cs="宋体"/>
                      <w:bCs/>
                      <w:color w:val="000000"/>
                      <w:kern w:val="2"/>
                      <w:sz w:val="21"/>
                      <w:szCs w:val="21"/>
                      <w:lang w:val="en-US" w:eastAsia="zh-CN" w:bidi="ar"/>
                    </w:rPr>
                    <w:t>新乡县综合污水处理厂</w:t>
                  </w:r>
                  <w:r>
                    <w:rPr>
                      <w:rFonts w:hint="eastAsia" w:ascii="宋体" w:hAnsi="宋体" w:eastAsia="宋体" w:cs="宋体"/>
                      <w:b w:val="0"/>
                      <w:bCs w:val="0"/>
                      <w:color w:val="auto"/>
                      <w:kern w:val="0"/>
                      <w:sz w:val="21"/>
                      <w:szCs w:val="21"/>
                      <w:lang w:val="en-US" w:eastAsia="zh-CN" w:bidi="ar"/>
                    </w:rPr>
                    <w:t>出水执行《地表水环境质量标准》（</w:t>
                  </w:r>
                  <w:r>
                    <w:rPr>
                      <w:rFonts w:hint="default" w:ascii="Times New Roman" w:hAnsi="Times New Roman" w:eastAsia="宋体" w:cs="Times New Roman"/>
                      <w:b w:val="0"/>
                      <w:bCs w:val="0"/>
                      <w:color w:val="auto"/>
                      <w:kern w:val="0"/>
                      <w:sz w:val="21"/>
                      <w:szCs w:val="21"/>
                      <w:lang w:val="en-US" w:eastAsia="zh-CN" w:bidi="ar"/>
                    </w:rPr>
                    <w:t>GB3838-2002</w:t>
                  </w:r>
                  <w:r>
                    <w:rPr>
                      <w:rFonts w:hint="eastAsia" w:ascii="宋体" w:hAnsi="宋体" w:eastAsia="宋体" w:cs="宋体"/>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Ⅴ</w:t>
                  </w:r>
                  <w:r>
                    <w:rPr>
                      <w:rFonts w:hint="eastAsia" w:ascii="宋体" w:hAnsi="宋体" w:eastAsia="宋体" w:cs="宋体"/>
                      <w:b w:val="0"/>
                      <w:bCs w:val="0"/>
                      <w:color w:val="auto"/>
                      <w:kern w:val="0"/>
                      <w:sz w:val="21"/>
                      <w:szCs w:val="21"/>
                      <w:lang w:val="en-US" w:eastAsia="zh-CN" w:bidi="ar"/>
                    </w:rPr>
                    <w:t>类标准要求。</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3032"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3</w:t>
                  </w:r>
                  <w:r>
                    <w:rPr>
                      <w:rFonts w:hint="eastAsia" w:ascii="宋体" w:hAnsi="宋体" w:eastAsia="宋体" w:cs="宋体"/>
                      <w:b w:val="0"/>
                      <w:bCs w:val="0"/>
                      <w:color w:val="000000"/>
                      <w:kern w:val="0"/>
                      <w:sz w:val="21"/>
                      <w:szCs w:val="21"/>
                      <w:lang w:val="en-US" w:eastAsia="zh-CN" w:bidi="ar"/>
                    </w:rPr>
                    <w:t>、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021" w:type="pct"/>
                  <w:tcBorders>
                    <w:top w:val="single" w:color="auto" w:sz="4" w:space="0"/>
                  </w:tcBorders>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lang w:val="en-US" w:eastAsia="zh-CN" w:bidi="ar-SA"/>
                    </w:rPr>
                  </w:pPr>
                  <w:r>
                    <w:rPr>
                      <w:rFonts w:hint="eastAsia" w:ascii="宋体" w:hAnsi="宋体" w:eastAsia="宋体" w:cs="宋体"/>
                      <w:kern w:val="0"/>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“两高”项目。</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tcBorders>
                    <w:top w:val="single" w:color="auto"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3032"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4</w:t>
                  </w:r>
                  <w:r>
                    <w:rPr>
                      <w:rFonts w:hint="eastAsia" w:ascii="宋体" w:hAnsi="宋体" w:eastAsia="宋体" w:cs="宋体"/>
                      <w:b w:val="0"/>
                      <w:bCs w:val="0"/>
                      <w:color w:val="000000"/>
                      <w:kern w:val="0"/>
                      <w:sz w:val="21"/>
                      <w:szCs w:val="21"/>
                      <w:lang w:val="en-US" w:eastAsia="zh-CN" w:bidi="ar"/>
                    </w:rPr>
                    <w:t>、新建耗煤项目还应严格按规定采取煤炭消费减量替代措施，不得使用高污染燃料作为煤炭减量替代措施。</w:t>
                  </w:r>
                </w:p>
              </w:tc>
              <w:tc>
                <w:tcPr>
                  <w:tcW w:w="1021"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2"/>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耗煤项目。</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p>
              </w:tc>
              <w:tc>
                <w:tcPr>
                  <w:tcW w:w="3032"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5</w:t>
                  </w:r>
                  <w:r>
                    <w:rPr>
                      <w:rFonts w:hint="eastAsia" w:ascii="宋体" w:hAnsi="宋体" w:eastAsia="宋体" w:cs="宋体"/>
                      <w:b w:val="0"/>
                      <w:bCs w:val="0"/>
                      <w:color w:val="000000"/>
                      <w:kern w:val="0"/>
                      <w:sz w:val="21"/>
                      <w:szCs w:val="21"/>
                      <w:lang w:val="en-US" w:eastAsia="zh-CN" w:bidi="ar"/>
                    </w:rPr>
                    <w:t>、已出台超低排放要求的“两高”行业建设项目应满足超低排放要求。</w:t>
                  </w:r>
                </w:p>
              </w:tc>
              <w:tc>
                <w:tcPr>
                  <w:tcW w:w="1021" w:type="pct"/>
                  <w:tcBorders>
                    <w:top w:val="single" w:color="auto" w:sz="4" w:space="0"/>
                  </w:tcBorders>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kern w:val="2"/>
                      <w:sz w:val="21"/>
                      <w:szCs w:val="21"/>
                      <w:lang w:val="en-US" w:eastAsia="zh-CN" w:bidi="ar-SA"/>
                    </w:rPr>
                  </w:pPr>
                  <w:r>
                    <w:rPr>
                      <w:rFonts w:hint="eastAsia" w:ascii="宋体" w:hAnsi="宋体" w:eastAsia="宋体" w:cs="宋体"/>
                      <w:kern w:val="0"/>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“两高”项目。</w:t>
                  </w:r>
                </w:p>
              </w:tc>
              <w:tc>
                <w:tcPr>
                  <w:tcW w:w="276"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textAlignment w:val="baseline"/>
                    <w:rPr>
                      <w:rFonts w:hint="default"/>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p>
              </w:tc>
              <w:tc>
                <w:tcPr>
                  <w:tcW w:w="249"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color w:val="000000"/>
                      <w:sz w:val="21"/>
                      <w:szCs w:val="21"/>
                    </w:rPr>
                  </w:pPr>
                  <w:r>
                    <w:rPr>
                      <w:rFonts w:hint="default"/>
                      <w:sz w:val="21"/>
                      <w:szCs w:val="21"/>
                    </w:rPr>
                    <w:t>环境风险防控</w:t>
                  </w:r>
                </w:p>
              </w:tc>
              <w:tc>
                <w:tcPr>
                  <w:tcW w:w="3032" w:type="pct"/>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、规范产业集聚区建设，对涉重行业企业加强管理，建立土壤和地下水污染隐患排查治理制度、风险防控体系和长效监管机制。</w:t>
                  </w:r>
                </w:p>
              </w:tc>
              <w:tc>
                <w:tcPr>
                  <w:tcW w:w="1021" w:type="pct"/>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default" w:ascii="Times New Roman" w:hAnsi="Times New Roman" w:eastAsia="宋体" w:cs="Times New Roman"/>
                      <w:b w:val="0"/>
                      <w:bCs w:val="0"/>
                      <w:kern w:val="0"/>
                      <w:sz w:val="21"/>
                      <w:szCs w:val="21"/>
                      <w:lang w:val="en-US" w:eastAsia="zh-CN" w:bidi="ar-SA"/>
                    </w:rPr>
                  </w:pPr>
                  <w:r>
                    <w:rPr>
                      <w:rFonts w:hint="eastAsia" w:ascii="宋体" w:hAnsi="宋体" w:eastAsia="宋体" w:cs="宋体"/>
                      <w:kern w:val="0"/>
                      <w:sz w:val="21"/>
                      <w:szCs w:val="21"/>
                      <w:lang w:val="en-US" w:eastAsia="zh-CN" w:bidi="ar"/>
                    </w:rPr>
                    <w:t>本项目不属于</w:t>
                  </w:r>
                  <w:r>
                    <w:rPr>
                      <w:rFonts w:hint="eastAsia" w:ascii="宋体" w:hAnsi="宋体" w:eastAsia="宋体" w:cs="宋体"/>
                      <w:b w:val="0"/>
                      <w:bCs w:val="0"/>
                      <w:color w:val="000000"/>
                      <w:kern w:val="0"/>
                      <w:sz w:val="21"/>
                      <w:szCs w:val="21"/>
                      <w:lang w:val="en-US" w:eastAsia="zh-CN" w:bidi="ar"/>
                    </w:rPr>
                    <w:t>涉重行业。</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hAnsi="宋体"/>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3032" w:type="pct"/>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default"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2</w:t>
                  </w:r>
                  <w:r>
                    <w:rPr>
                      <w:rFonts w:hint="eastAsia" w:ascii="宋体" w:hAnsi="宋体" w:eastAsia="宋体" w:cs="宋体"/>
                      <w:b w:val="0"/>
                      <w:bCs w:val="0"/>
                      <w:color w:val="000000"/>
                      <w:kern w:val="0"/>
                      <w:sz w:val="21"/>
                      <w:szCs w:val="21"/>
                      <w:lang w:val="en-US" w:eastAsia="zh-CN" w:bidi="ar"/>
                    </w:rPr>
                    <w:t>、高关注地块划分污染风险等级，纳入优先管控名录。</w:t>
                  </w:r>
                </w:p>
              </w:tc>
              <w:tc>
                <w:tcPr>
                  <w:tcW w:w="1021" w:type="pct"/>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b w:val="0"/>
                      <w:bCs w:val="0"/>
                      <w:kern w:val="0"/>
                      <w:sz w:val="21"/>
                      <w:szCs w:val="21"/>
                      <w:lang w:val="en-US" w:eastAsia="zh-CN" w:bidi="ar"/>
                    </w:rPr>
                    <w:t>本项目位于河南省新乡市新乡县</w:t>
                  </w:r>
                  <w:r>
                    <w:rPr>
                      <w:rFonts w:hint="eastAsia" w:ascii="宋体" w:hAnsi="宋体" w:cs="宋体"/>
                      <w:sz w:val="21"/>
                      <w:szCs w:val="21"/>
                      <w:lang w:val="en-US" w:eastAsia="zh-CN"/>
                    </w:rPr>
                    <w:t>七里营镇工业园区阳光路</w:t>
                  </w:r>
                  <w:r>
                    <w:rPr>
                      <w:rFonts w:hint="default" w:ascii="Times New Roman" w:hAnsi="Times New Roman" w:cs="Times New Roman"/>
                      <w:sz w:val="21"/>
                      <w:szCs w:val="21"/>
                      <w:lang w:val="en-US" w:eastAsia="zh-CN"/>
                    </w:rPr>
                    <w:t>6</w:t>
                  </w:r>
                  <w:r>
                    <w:rPr>
                      <w:rFonts w:hint="eastAsia" w:ascii="宋体" w:hAnsi="宋体" w:cs="宋体"/>
                      <w:sz w:val="21"/>
                      <w:szCs w:val="21"/>
                      <w:lang w:val="en-US" w:eastAsia="zh-CN"/>
                    </w:rPr>
                    <w:t>号</w:t>
                  </w:r>
                  <w:r>
                    <w:rPr>
                      <w:rFonts w:hint="eastAsia" w:ascii="宋体" w:hAnsi="宋体" w:eastAsia="宋体" w:cs="宋体"/>
                      <w:b w:val="0"/>
                      <w:bCs w:val="0"/>
                      <w:kern w:val="0"/>
                      <w:sz w:val="21"/>
                      <w:szCs w:val="21"/>
                      <w:lang w:val="en-US" w:eastAsia="zh-CN" w:bidi="ar"/>
                    </w:rPr>
                    <w:t>，不属于</w:t>
                  </w:r>
                  <w:r>
                    <w:rPr>
                      <w:rFonts w:hint="eastAsia" w:ascii="宋体" w:hAnsi="宋体" w:eastAsia="宋体" w:cs="宋体"/>
                      <w:b w:val="0"/>
                      <w:bCs w:val="0"/>
                      <w:color w:val="000000"/>
                      <w:kern w:val="0"/>
                      <w:sz w:val="21"/>
                      <w:szCs w:val="21"/>
                      <w:lang w:val="en-US" w:eastAsia="zh-CN" w:bidi="ar"/>
                    </w:rPr>
                    <w:t>高关注地块</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ascii="宋体" w:hAnsi="宋体"/>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color w:val="000000"/>
                      <w:sz w:val="21"/>
                      <w:szCs w:val="21"/>
                    </w:rPr>
                  </w:pPr>
                </w:p>
              </w:tc>
              <w:tc>
                <w:tcPr>
                  <w:tcW w:w="249" w:type="pct"/>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eastAsia="宋体"/>
                      <w:sz w:val="21"/>
                      <w:szCs w:val="21"/>
                      <w:lang w:val="en-US" w:eastAsia="zh-CN"/>
                    </w:rPr>
                  </w:pPr>
                  <w:r>
                    <w:rPr>
                      <w:rFonts w:hint="eastAsia"/>
                      <w:sz w:val="21"/>
                      <w:szCs w:val="21"/>
                      <w:lang w:val="en-US" w:eastAsia="zh-CN"/>
                    </w:rPr>
                    <w:t>资源利用效率要求</w:t>
                  </w:r>
                </w:p>
              </w:tc>
              <w:tc>
                <w:tcPr>
                  <w:tcW w:w="3032" w:type="pct"/>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、集聚区应实施集中供热、供气，进一步优化能源结构，加快集中供热中心及配套供热管网建设，区内不得建设分散燃煤锅炉。</w:t>
                  </w:r>
                </w:p>
              </w:tc>
              <w:tc>
                <w:tcPr>
                  <w:tcW w:w="1021" w:type="pct"/>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b w:val="0"/>
                      <w:bCs w:val="0"/>
                      <w:color w:val="000000"/>
                      <w:kern w:val="0"/>
                      <w:sz w:val="21"/>
                      <w:szCs w:val="21"/>
                      <w:lang w:val="en-US" w:eastAsia="zh-CN" w:bidi="ar"/>
                    </w:rPr>
                    <w:t>本项目无需供热、供气。</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hAnsi="宋体" w:eastAsia="宋体"/>
                      <w:color w:val="000000"/>
                      <w:sz w:val="21"/>
                      <w:szCs w:val="21"/>
                      <w:lang w:val="en-US" w:eastAsia="zh-CN"/>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default"/>
                    </w:rPr>
                  </w:pPr>
                </w:p>
              </w:tc>
              <w:tc>
                <w:tcPr>
                  <w:tcW w:w="3032" w:type="pct"/>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2</w:t>
                  </w:r>
                  <w:r>
                    <w:rPr>
                      <w:rFonts w:hint="eastAsia" w:ascii="宋体" w:hAnsi="宋体" w:eastAsia="宋体" w:cs="宋体"/>
                      <w:b w:val="0"/>
                      <w:bCs w:val="0"/>
                      <w:color w:val="000000"/>
                      <w:kern w:val="0"/>
                      <w:sz w:val="21"/>
                      <w:szCs w:val="21"/>
                      <w:lang w:val="en-US" w:eastAsia="zh-CN" w:bidi="ar"/>
                    </w:rPr>
                    <w:t>、尽快实现集聚区集中供水，逐步关停企业自备水井。</w:t>
                  </w:r>
                </w:p>
              </w:tc>
              <w:tc>
                <w:tcPr>
                  <w:tcW w:w="1021" w:type="pct"/>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b w:val="0"/>
                      <w:bCs w:val="0"/>
                      <w:color w:val="000000"/>
                      <w:kern w:val="0"/>
                      <w:sz w:val="21"/>
                      <w:szCs w:val="21"/>
                      <w:lang w:val="en-US" w:eastAsia="zh-CN" w:bidi="ar-SA"/>
                    </w:rPr>
                  </w:pPr>
                  <w:r>
                    <w:rPr>
                      <w:rFonts w:hint="eastAsia" w:ascii="宋体" w:hAnsi="宋体" w:eastAsia="宋体" w:cs="宋体"/>
                      <w:kern w:val="2"/>
                      <w:sz w:val="21"/>
                      <w:szCs w:val="21"/>
                      <w:lang w:val="en-US" w:eastAsia="zh-CN" w:bidi="ar"/>
                    </w:rPr>
                    <w:t>本项目所在区域已实现集聚区集中供水。</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sz w:val="21"/>
                      <w:szCs w:val="21"/>
                    </w:rPr>
                  </w:pPr>
                </w:p>
              </w:tc>
              <w:tc>
                <w:tcPr>
                  <w:tcW w:w="249" w:type="pct"/>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sz w:val="21"/>
                      <w:szCs w:val="21"/>
                    </w:rPr>
                  </w:pPr>
                </w:p>
              </w:tc>
              <w:tc>
                <w:tcPr>
                  <w:tcW w:w="3032" w:type="pct"/>
                  <w:noWrap w:val="0"/>
                  <w:vAlign w:val="center"/>
                </w:tcPr>
                <w:p>
                  <w:pPr>
                    <w:keepNext w:val="0"/>
                    <w:keepLines w:val="0"/>
                    <w:widowControl w:val="0"/>
                    <w:suppressLineNumbers w:val="0"/>
                    <w:wordWrap w:val="0"/>
                    <w:autoSpaceDE w:val="0"/>
                    <w:autoSpaceDN/>
                    <w:adjustRightInd w:val="0"/>
                    <w:snapToGrid w:val="0"/>
                    <w:spacing w:before="0" w:beforeAutospacing="0" w:after="0" w:afterAutospacing="0"/>
                    <w:ind w:left="0" w:leftChars="0" w:right="0" w:rightChars="0" w:firstLine="0" w:firstLineChars="0"/>
                    <w:jc w:val="both"/>
                    <w:rPr>
                      <w:rFonts w:hint="eastAsia" w:ascii="Times New Roman" w:hAnsi="Times New Roman" w:eastAsia="宋体" w:cs="Times New Roman"/>
                      <w:b w:val="0"/>
                      <w:bCs w:val="0"/>
                      <w:color w:val="000000"/>
                      <w:kern w:val="0"/>
                      <w:sz w:val="21"/>
                      <w:szCs w:val="21"/>
                      <w:lang w:val="en-US" w:eastAsia="zh-CN" w:bidi="ar-SA"/>
                    </w:rPr>
                  </w:pPr>
                  <w:r>
                    <w:rPr>
                      <w:rFonts w:hint="default" w:ascii="Times New Roman" w:hAnsi="Times New Roman" w:eastAsia="宋体" w:cs="Times New Roman"/>
                      <w:b w:val="0"/>
                      <w:bCs w:val="0"/>
                      <w:color w:val="000000"/>
                      <w:kern w:val="0"/>
                      <w:sz w:val="21"/>
                      <w:szCs w:val="21"/>
                      <w:lang w:val="en-US" w:eastAsia="zh-CN" w:bidi="ar"/>
                    </w:rPr>
                    <w:t>3</w:t>
                  </w:r>
                  <w:r>
                    <w:rPr>
                      <w:rFonts w:hint="eastAsia" w:ascii="宋体" w:hAnsi="宋体" w:eastAsia="宋体" w:cs="宋体"/>
                      <w:b w:val="0"/>
                      <w:bCs w:val="0"/>
                      <w:color w:val="000000"/>
                      <w:kern w:val="0"/>
                      <w:sz w:val="21"/>
                      <w:szCs w:val="21"/>
                      <w:lang w:val="en-US" w:eastAsia="zh-CN" w:bidi="ar"/>
                    </w:rPr>
                    <w:t>、抓紧实施中水回用工程，完善配套中水回用管网。</w:t>
                  </w:r>
                </w:p>
              </w:tc>
              <w:tc>
                <w:tcPr>
                  <w:tcW w:w="1021" w:type="pct"/>
                  <w:noWrap w:val="0"/>
                  <w:vAlign w:val="center"/>
                </w:tcPr>
                <w:p>
                  <w:pPr>
                    <w:keepNext w:val="0"/>
                    <w:keepLines w:val="0"/>
                    <w:widowControl w:val="0"/>
                    <w:suppressLineNumbers w:val="0"/>
                    <w:adjustRightInd w:val="0"/>
                    <w:snapToGrid w:val="0"/>
                    <w:spacing w:before="0" w:beforeAutospacing="0" w:after="0" w:afterAutospacing="0"/>
                    <w:ind w:left="0" w:leftChars="0" w:right="0" w:rightChars="0" w:firstLine="0" w:firstLineChars="0"/>
                    <w:jc w:val="left"/>
                    <w:rPr>
                      <w:rFonts w:hint="eastAsia" w:ascii="Times New Roman" w:hAnsi="Times New Roman" w:eastAsia="宋体" w:cs="Times New Roman"/>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
                    </w:rPr>
                    <w:t>本项目无生产废水产生，</w:t>
                  </w:r>
                  <w:r>
                    <w:rPr>
                      <w:rFonts w:hint="eastAsia" w:ascii="宋体" w:hAnsi="宋体" w:eastAsia="宋体" w:cs="宋体"/>
                      <w:b w:val="0"/>
                      <w:bCs w:val="0"/>
                      <w:color w:val="000000"/>
                      <w:kern w:val="0"/>
                      <w:sz w:val="21"/>
                      <w:szCs w:val="21"/>
                      <w:lang w:val="en-US" w:eastAsia="zh-CN" w:bidi="ar"/>
                    </w:rPr>
                    <w:t>生活污水经化粪池处理后排入</w:t>
                  </w:r>
                  <w:r>
                    <w:rPr>
                      <w:rFonts w:hint="eastAsia" w:ascii="宋体" w:hAnsi="宋体" w:cs="宋体"/>
                      <w:bCs/>
                      <w:color w:val="000000"/>
                      <w:kern w:val="2"/>
                      <w:sz w:val="21"/>
                      <w:szCs w:val="21"/>
                      <w:lang w:val="en-US" w:eastAsia="zh-CN" w:bidi="ar"/>
                    </w:rPr>
                    <w:t>新乡县综合污水处理厂</w:t>
                  </w:r>
                  <w:r>
                    <w:rPr>
                      <w:rFonts w:hint="eastAsia" w:ascii="宋体" w:hAnsi="宋体" w:eastAsia="宋体" w:cs="宋体"/>
                      <w:bCs/>
                      <w:color w:val="000000"/>
                      <w:kern w:val="2"/>
                      <w:sz w:val="21"/>
                      <w:szCs w:val="21"/>
                      <w:lang w:val="en-US" w:eastAsia="zh-CN" w:bidi="ar"/>
                    </w:rPr>
                    <w:t>进一步处理。</w:t>
                  </w:r>
                </w:p>
              </w:tc>
              <w:tc>
                <w:tcPr>
                  <w:tcW w:w="276" w:type="pct"/>
                  <w:noWrap w:val="0"/>
                  <w:vAlign w:val="center"/>
                </w:tcPr>
                <w:p>
                  <w:pPr>
                    <w:keepNext w:val="0"/>
                    <w:keepLines w:val="0"/>
                    <w:suppressLineNumbers w:val="0"/>
                    <w:adjustRightInd w:val="0"/>
                    <w:snapToGrid w:val="0"/>
                    <w:spacing w:before="0" w:beforeAutospacing="0" w:after="0" w:afterAutospacing="0" w:line="240" w:lineRule="auto"/>
                    <w:ind w:left="0" w:right="0"/>
                    <w:jc w:val="center"/>
                    <w:textAlignment w:val="baseline"/>
                    <w:rPr>
                      <w:rFonts w:hint="eastAsia"/>
                      <w:sz w:val="21"/>
                      <w:szCs w:val="21"/>
                    </w:rPr>
                  </w:pPr>
                  <w:r>
                    <w:rPr>
                      <w:rFonts w:hint="eastAsia" w:ascii="Times New Roman" w:hAnsi="Times New Roman" w:eastAsia="宋体" w:cs="Times New Roman"/>
                      <w:color w:val="000000"/>
                      <w:sz w:val="21"/>
                      <w:szCs w:val="21"/>
                      <w:lang w:val="en-US" w:eastAsia="zh-CN"/>
                    </w:rPr>
                    <w:t>相符</w:t>
                  </w:r>
                </w:p>
              </w:tc>
            </w:tr>
          </w:tbl>
          <w:p>
            <w:pPr>
              <w:keepNext w:val="0"/>
              <w:keepLines w:val="0"/>
              <w:suppressLineNumbers w:val="0"/>
              <w:spacing w:before="0" w:beforeAutospacing="0" w:after="0" w:afterAutospacing="0" w:line="440" w:lineRule="exact"/>
              <w:ind w:left="0" w:right="0" w:firstLine="480" w:firstLineChars="200"/>
              <w:textAlignment w:val="baseline"/>
              <w:rPr>
                <w:rFonts w:hint="eastAsia" w:ascii="宋体" w:hAnsi="宋体"/>
                <w:color w:val="000000"/>
                <w:sz w:val="24"/>
              </w:rPr>
            </w:pPr>
            <w:r>
              <w:rPr>
                <w:rFonts w:hint="eastAsia" w:ascii="宋体" w:hAnsi="宋体"/>
                <w:bCs/>
                <w:color w:val="000000"/>
                <w:sz w:val="24"/>
              </w:rPr>
              <w:t>综上，本项目符合河南省生态环境准入清单的相关要求，符合“三线一单”的管理要求。</w:t>
            </w:r>
          </w:p>
          <w:p>
            <w:pPr>
              <w:keepNext w:val="0"/>
              <w:keepLines w:val="0"/>
              <w:suppressLineNumbers w:val="0"/>
              <w:spacing w:before="0" w:beforeAutospacing="0" w:after="0" w:afterAutospacing="0" w:line="440" w:lineRule="exact"/>
              <w:ind w:left="0" w:right="0" w:firstLine="482" w:firstLineChars="200"/>
              <w:textAlignment w:val="baseline"/>
              <w:rPr>
                <w:rFonts w:hint="eastAsia" w:ascii="宋体" w:hAnsi="宋体"/>
                <w:b/>
                <w:sz w:val="24"/>
              </w:rPr>
            </w:pPr>
            <w:r>
              <w:rPr>
                <w:rFonts w:hint="eastAsia" w:ascii="宋体" w:hAnsi="宋体"/>
                <w:b/>
                <w:sz w:val="24"/>
              </w:rPr>
              <w:t>2、本项目与分类管理名录对照分析</w:t>
            </w:r>
          </w:p>
          <w:p>
            <w:pPr>
              <w:keepNext w:val="0"/>
              <w:keepLines w:val="0"/>
              <w:suppressLineNumbers w:val="0"/>
              <w:spacing w:before="0" w:beforeAutospacing="0" w:after="0" w:afterAutospacing="0" w:line="440" w:lineRule="exact"/>
              <w:ind w:left="0" w:right="0" w:firstLine="480" w:firstLineChars="200"/>
              <w:textAlignment w:val="baseline"/>
              <w:rPr>
                <w:rFonts w:hint="eastAsia" w:ascii="宋体" w:hAnsi="宋体"/>
                <w:color w:val="000000"/>
                <w:sz w:val="24"/>
              </w:rPr>
            </w:pPr>
            <w:r>
              <w:rPr>
                <w:rFonts w:hint="eastAsia" w:ascii="宋体" w:hAnsi="宋体"/>
                <w:color w:val="000000"/>
                <w:sz w:val="24"/>
              </w:rPr>
              <w:t>经查阅《建设项目环境影响评价分类管理名录》（</w:t>
            </w:r>
            <w:r>
              <w:rPr>
                <w:rFonts w:hint="default" w:ascii="Times New Roman" w:hAnsi="Times New Roman" w:cs="Times New Roman"/>
                <w:color w:val="000000"/>
                <w:sz w:val="24"/>
              </w:rPr>
              <w:t>2021</w:t>
            </w:r>
            <w:r>
              <w:rPr>
                <w:rFonts w:hint="eastAsia" w:ascii="宋体" w:hAnsi="宋体"/>
                <w:color w:val="000000"/>
                <w:sz w:val="24"/>
              </w:rPr>
              <w:t>年版</w:t>
            </w:r>
            <w:r>
              <w:rPr>
                <w:rFonts w:hint="default" w:ascii="宋体" w:hAnsi="宋体"/>
                <w:color w:val="000000"/>
                <w:sz w:val="24"/>
              </w:rPr>
              <w:t>）</w:t>
            </w:r>
            <w:r>
              <w:rPr>
                <w:rFonts w:hint="eastAsia" w:ascii="宋体" w:hAnsi="宋体"/>
                <w:color w:val="000000"/>
                <w:sz w:val="24"/>
              </w:rPr>
              <w:t>，</w:t>
            </w:r>
            <w:r>
              <w:rPr>
                <w:rFonts w:hint="default" w:ascii="宋体" w:hAnsi="宋体"/>
                <w:color w:val="000000"/>
                <w:sz w:val="24"/>
              </w:rPr>
              <w:t>本项目属于</w:t>
            </w:r>
            <w:r>
              <w:rPr>
                <w:rFonts w:hint="eastAsia" w:ascii="宋体" w:hAnsi="宋体"/>
                <w:color w:val="000000"/>
                <w:sz w:val="24"/>
                <w:lang w:val="en-US" w:eastAsia="zh-CN"/>
              </w:rPr>
              <w:t>二十六</w:t>
            </w:r>
            <w:r>
              <w:rPr>
                <w:rFonts w:hint="eastAsia" w:ascii="宋体" w:hAnsi="宋体"/>
                <w:color w:val="000000"/>
                <w:sz w:val="24"/>
              </w:rPr>
              <w:t>、</w:t>
            </w:r>
            <w:r>
              <w:rPr>
                <w:rFonts w:hint="eastAsia" w:ascii="宋体" w:hAnsi="宋体"/>
                <w:color w:val="000000"/>
                <w:sz w:val="24"/>
                <w:lang w:val="en-US" w:eastAsia="zh-CN"/>
              </w:rPr>
              <w:t>橡胶和塑料制品业</w:t>
            </w:r>
            <w:r>
              <w:rPr>
                <w:rFonts w:hint="default" w:ascii="宋体" w:hAnsi="宋体"/>
                <w:color w:val="000000"/>
                <w:sz w:val="24"/>
              </w:rPr>
              <w:t>的第</w:t>
            </w:r>
            <w:r>
              <w:rPr>
                <w:rFonts w:hint="eastAsia" w:ascii="Times New Roman" w:hAnsi="Times New Roman" w:cs="Times New Roman"/>
                <w:color w:val="000000"/>
                <w:sz w:val="24"/>
                <w:lang w:val="en-US" w:eastAsia="zh-CN"/>
              </w:rPr>
              <w:t>53</w:t>
            </w:r>
            <w:r>
              <w:rPr>
                <w:rFonts w:hint="default" w:ascii="宋体" w:hAnsi="宋体"/>
                <w:color w:val="000000"/>
                <w:sz w:val="24"/>
              </w:rPr>
              <w:t>类：</w:t>
            </w:r>
            <w:r>
              <w:rPr>
                <w:rFonts w:hint="eastAsia" w:ascii="宋体" w:hAnsi="宋体"/>
                <w:color w:val="000000"/>
                <w:sz w:val="24"/>
                <w:lang w:val="en-US" w:eastAsia="zh-CN"/>
              </w:rPr>
              <w:t>塑料制品业</w:t>
            </w:r>
            <w:r>
              <w:rPr>
                <w:rFonts w:hint="default" w:ascii="Times New Roman" w:hAnsi="Times New Roman" w:cs="Times New Roman"/>
                <w:color w:val="000000"/>
                <w:sz w:val="24"/>
                <w:lang w:val="en-US" w:eastAsia="zh-CN"/>
              </w:rPr>
              <w:t>292</w:t>
            </w:r>
            <w:r>
              <w:rPr>
                <w:rFonts w:hint="eastAsia" w:ascii="宋体" w:hAnsi="宋体"/>
                <w:color w:val="000000"/>
                <w:sz w:val="24"/>
              </w:rPr>
              <w:t>。</w:t>
            </w:r>
            <w:r>
              <w:rPr>
                <w:rFonts w:hint="default" w:ascii="宋体" w:hAnsi="宋体"/>
                <w:color w:val="000000"/>
                <w:sz w:val="24"/>
              </w:rPr>
              <w:t>名录规定：</w:t>
            </w:r>
            <w:r>
              <w:rPr>
                <w:rFonts w:hint="eastAsia" w:ascii="宋体" w:hAnsi="宋体"/>
                <w:color w:val="000000"/>
                <w:sz w:val="24"/>
              </w:rPr>
              <w:t>以再生塑料为原料生产的；有电镀工艺的；年用溶剂型胶粘剂</w:t>
            </w:r>
            <w:r>
              <w:rPr>
                <w:rFonts w:hint="default" w:ascii="Times New Roman" w:hAnsi="Times New Roman" w:cs="Times New Roman"/>
                <w:color w:val="000000"/>
                <w:sz w:val="24"/>
              </w:rPr>
              <w:t>10</w:t>
            </w:r>
            <w:r>
              <w:rPr>
                <w:rFonts w:hint="eastAsia" w:ascii="宋体" w:hAnsi="宋体"/>
                <w:color w:val="000000"/>
                <w:sz w:val="24"/>
              </w:rPr>
              <w:t>吨及以上的；年用溶剂型涂料（含稀释剂）</w:t>
            </w:r>
            <w:r>
              <w:rPr>
                <w:rFonts w:hint="default" w:ascii="Times New Roman" w:hAnsi="Times New Roman" w:cs="Times New Roman"/>
                <w:color w:val="auto"/>
                <w:sz w:val="24"/>
              </w:rPr>
              <w:t>10</w:t>
            </w:r>
            <w:r>
              <w:rPr>
                <w:rFonts w:hint="eastAsia" w:ascii="宋体" w:hAnsi="宋体"/>
                <w:color w:val="000000"/>
                <w:sz w:val="24"/>
              </w:rPr>
              <w:t>吨及上的应编制报告书。其他（年用非溶剂型低</w:t>
            </w:r>
            <w:r>
              <w:rPr>
                <w:rFonts w:hint="default" w:ascii="Times New Roman" w:hAnsi="Times New Roman" w:cs="Times New Roman"/>
                <w:color w:val="000000"/>
                <w:sz w:val="24"/>
              </w:rPr>
              <w:t>VOCs含量涂料10</w:t>
            </w:r>
            <w:r>
              <w:rPr>
                <w:rFonts w:hint="eastAsia" w:ascii="宋体" w:hAnsi="宋体"/>
                <w:color w:val="000000"/>
                <w:sz w:val="24"/>
              </w:rPr>
              <w:t>吨以下的除外</w:t>
            </w:r>
            <w:r>
              <w:rPr>
                <w:rFonts w:hint="eastAsia" w:ascii="宋体" w:hAnsi="宋体"/>
                <w:color w:val="000000"/>
                <w:sz w:val="24"/>
                <w:lang w:eastAsia="zh-CN"/>
              </w:rPr>
              <w:t>）</w:t>
            </w:r>
            <w:r>
              <w:rPr>
                <w:rFonts w:hint="default" w:ascii="宋体" w:hAnsi="宋体"/>
                <w:color w:val="000000"/>
                <w:sz w:val="24"/>
              </w:rPr>
              <w:t>应编制环境影响报告表。</w:t>
            </w:r>
            <w:r>
              <w:rPr>
                <w:rFonts w:hint="eastAsia" w:ascii="宋体" w:hAnsi="宋体"/>
                <w:color w:val="000000"/>
                <w:sz w:val="24"/>
              </w:rPr>
              <w:t>本项目</w:t>
            </w:r>
            <w:r>
              <w:rPr>
                <w:rFonts w:hint="eastAsia" w:ascii="宋体" w:hAnsi="宋体"/>
                <w:color w:val="000000"/>
                <w:sz w:val="24"/>
                <w:lang w:val="en-US" w:eastAsia="zh-CN"/>
              </w:rPr>
              <w:t>不以再生塑料为原料生产，无电镀工艺，主要产品为环保型书刊胶装机专用树脂</w:t>
            </w:r>
            <w:r>
              <w:rPr>
                <w:rFonts w:hint="eastAsia" w:ascii="宋体" w:hAnsi="宋体"/>
                <w:color w:val="000000"/>
                <w:sz w:val="24"/>
              </w:rPr>
              <w:t>，属于</w:t>
            </w:r>
            <w:r>
              <w:rPr>
                <w:rFonts w:hint="eastAsia" w:ascii="宋体" w:hAnsi="宋体"/>
                <w:color w:val="000000"/>
                <w:sz w:val="24"/>
                <w:lang w:val="en-US" w:eastAsia="zh-CN"/>
              </w:rPr>
              <w:t>其他</w:t>
            </w:r>
            <w:r>
              <w:rPr>
                <w:rFonts w:hint="eastAsia" w:ascii="宋体" w:hAnsi="宋体"/>
                <w:color w:val="000000"/>
                <w:sz w:val="24"/>
              </w:rPr>
              <w:t>，应编制</w:t>
            </w:r>
            <w:r>
              <w:rPr>
                <w:rFonts w:hint="default" w:ascii="宋体" w:hAnsi="宋体"/>
                <w:color w:val="000000"/>
                <w:sz w:val="24"/>
              </w:rPr>
              <w:t>环境影响报告表</w:t>
            </w:r>
            <w:r>
              <w:rPr>
                <w:rFonts w:hint="eastAsia" w:ascii="宋体" w:hAnsi="宋体"/>
                <w:color w:val="000000"/>
                <w:sz w:val="24"/>
              </w:rPr>
              <w:t>。</w:t>
            </w:r>
          </w:p>
          <w:p>
            <w:pPr>
              <w:keepNext w:val="0"/>
              <w:keepLines w:val="0"/>
              <w:suppressLineNumbers w:val="0"/>
              <w:spacing w:before="0" w:beforeAutospacing="0" w:after="0" w:afterAutospacing="0" w:line="440" w:lineRule="exact"/>
              <w:ind w:left="0" w:right="0" w:firstLine="482" w:firstLineChars="200"/>
              <w:rPr>
                <w:rFonts w:hint="default" w:ascii="宋体" w:hAnsi="宋体"/>
                <w:b/>
                <w:bCs/>
                <w:color w:val="000000"/>
                <w:sz w:val="24"/>
              </w:rPr>
            </w:pPr>
            <w:r>
              <w:rPr>
                <w:rFonts w:hint="eastAsia" w:ascii="宋体" w:hAnsi="宋体"/>
                <w:b/>
                <w:bCs/>
                <w:color w:val="000000"/>
                <w:sz w:val="24"/>
              </w:rPr>
              <w:t>3、项目建设与产业政策及备案相符性分析</w:t>
            </w:r>
          </w:p>
          <w:p>
            <w:pPr>
              <w:keepNext w:val="0"/>
              <w:keepLines w:val="0"/>
              <w:suppressLineNumbers w:val="0"/>
              <w:spacing w:before="0" w:beforeAutospacing="0" w:after="0" w:afterAutospacing="0" w:line="440" w:lineRule="exact"/>
              <w:ind w:left="0" w:right="0" w:firstLine="480" w:firstLineChars="200"/>
              <w:jc w:val="left"/>
              <w:rPr>
                <w:rFonts w:hint="default" w:ascii="宋体" w:hAnsi="宋体"/>
                <w:b/>
                <w:bCs/>
                <w:color w:val="000000"/>
                <w:sz w:val="24"/>
              </w:rPr>
            </w:pPr>
            <w:r>
              <w:rPr>
                <w:rFonts w:hint="default" w:ascii="宋体" w:hAnsi="宋体"/>
                <w:sz w:val="24"/>
              </w:rPr>
              <w:t>本项目已在</w:t>
            </w:r>
            <w:r>
              <w:rPr>
                <w:rFonts w:hint="eastAsia" w:ascii="宋体" w:hAnsi="宋体"/>
                <w:sz w:val="24"/>
              </w:rPr>
              <w:t>新乡县发展和改革委员会</w:t>
            </w:r>
            <w:r>
              <w:rPr>
                <w:rFonts w:hint="default" w:ascii="宋体" w:hAnsi="宋体"/>
                <w:sz w:val="24"/>
              </w:rPr>
              <w:t>备案，项目代码</w:t>
            </w:r>
            <w:r>
              <w:rPr>
                <w:rFonts w:hint="eastAsia" w:ascii="Times New Roman" w:hAnsi="Times New Roman" w:cs="Times New Roman"/>
                <w:sz w:val="24"/>
                <w:lang w:val="en-US" w:eastAsia="zh-CN"/>
              </w:rPr>
              <w:t>2302</w:t>
            </w:r>
            <w:r>
              <w:rPr>
                <w:rFonts w:hint="default" w:ascii="Times New Roman" w:hAnsi="Times New Roman" w:cs="Times New Roman"/>
                <w:sz w:val="24"/>
                <w:lang w:val="en-US" w:eastAsia="zh-CN"/>
              </w:rPr>
              <w:t>-410721-04-01-</w:t>
            </w:r>
            <w:r>
              <w:rPr>
                <w:rFonts w:hint="eastAsia" w:ascii="Times New Roman" w:hAnsi="Times New Roman" w:cs="Times New Roman"/>
                <w:sz w:val="24"/>
                <w:lang w:val="en-US" w:eastAsia="zh-CN"/>
              </w:rPr>
              <w:t>368819</w:t>
            </w:r>
            <w:r>
              <w:rPr>
                <w:rFonts w:hint="default" w:ascii="宋体" w:hAnsi="宋体"/>
                <w:sz w:val="24"/>
              </w:rPr>
              <w:t>（详见附件）。经查阅《产业结构调整指导目录</w:t>
            </w:r>
            <w:r>
              <w:rPr>
                <w:rFonts w:hint="default" w:ascii="Times New Roman" w:hAnsi="Times New Roman" w:cs="Times New Roman"/>
                <w:sz w:val="24"/>
              </w:rPr>
              <w:t>2019年</w:t>
            </w:r>
            <w:r>
              <w:rPr>
                <w:rFonts w:hint="default" w:ascii="宋体" w:hAnsi="宋体"/>
                <w:sz w:val="24"/>
              </w:rPr>
              <w:t>本》，该项目属于“</w:t>
            </w:r>
            <w:r>
              <w:rPr>
                <w:rFonts w:hint="eastAsia" w:ascii="宋体" w:hAnsi="宋体"/>
                <w:sz w:val="24"/>
                <w:lang w:val="en-US" w:eastAsia="zh-CN"/>
              </w:rPr>
              <w:t>允许类</w:t>
            </w:r>
            <w:r>
              <w:rPr>
                <w:rFonts w:hint="default" w:ascii="宋体" w:hAnsi="宋体"/>
                <w:sz w:val="24"/>
              </w:rPr>
              <w:t>”，符合国家产业政策要求。</w:t>
            </w:r>
            <w:r>
              <w:rPr>
                <w:rFonts w:hint="default" w:ascii="宋体" w:hAnsi="宋体"/>
                <w:color w:val="000000"/>
                <w:sz w:val="24"/>
              </w:rPr>
              <w:t>本项目情况与产业政策一致性分析见表</w:t>
            </w:r>
            <w:r>
              <w:rPr>
                <w:rFonts w:hint="eastAsia" w:cs="Times New Roman"/>
                <w:color w:val="000000"/>
                <w:sz w:val="24"/>
                <w:lang w:val="en-US" w:eastAsia="zh-CN"/>
              </w:rPr>
              <w:t>5</w:t>
            </w:r>
            <w:r>
              <w:rPr>
                <w:rFonts w:hint="default" w:ascii="宋体" w:hAnsi="宋体"/>
                <w:color w:val="000000"/>
                <w:sz w:val="24"/>
              </w:rPr>
              <w:t>。</w:t>
            </w:r>
          </w:p>
          <w:p>
            <w:pPr>
              <w:keepNext w:val="0"/>
              <w:keepLines w:val="0"/>
              <w:suppressLineNumbers w:val="0"/>
              <w:spacing w:before="0" w:beforeAutospacing="0" w:after="0" w:afterAutospacing="0" w:line="440" w:lineRule="exact"/>
              <w:ind w:left="0" w:right="0"/>
              <w:jc w:val="center"/>
              <w:textAlignment w:val="baseline"/>
              <w:rPr>
                <w:rFonts w:hint="default" w:eastAsia="黑体"/>
                <w:color w:val="000000"/>
                <w:sz w:val="24"/>
              </w:rPr>
            </w:pPr>
            <w:r>
              <w:rPr>
                <w:rFonts w:hint="default" w:ascii="宋体" w:hAnsi="宋体"/>
                <w:b/>
                <w:bCs/>
                <w:color w:val="000000"/>
                <w:sz w:val="24"/>
              </w:rPr>
              <w:t>表</w:t>
            </w:r>
            <w:r>
              <w:rPr>
                <w:rFonts w:hint="eastAsia" w:ascii="宋体" w:hAnsi="宋体"/>
                <w:b/>
                <w:bCs/>
                <w:color w:val="000000"/>
                <w:sz w:val="24"/>
                <w:lang w:val="en-US" w:eastAsia="zh-CN"/>
              </w:rPr>
              <w:t xml:space="preserve">5  </w:t>
            </w:r>
            <w:r>
              <w:rPr>
                <w:rFonts w:hint="default" w:ascii="宋体" w:hAnsi="宋体"/>
                <w:b/>
                <w:bCs/>
                <w:color w:val="000000"/>
                <w:sz w:val="24"/>
              </w:rPr>
              <w:t>项目与产业政策一致性分析</w:t>
            </w:r>
          </w:p>
          <w:tbl>
            <w:tblPr>
              <w:tblStyle w:val="22"/>
              <w:tblW w:w="4999" w:type="pct"/>
              <w:jc w:val="center"/>
              <w:tblLayout w:type="fixed"/>
              <w:tblCellMar>
                <w:top w:w="0" w:type="dxa"/>
                <w:left w:w="108" w:type="dxa"/>
                <w:bottom w:w="0" w:type="dxa"/>
                <w:right w:w="108" w:type="dxa"/>
              </w:tblCellMar>
            </w:tblPr>
            <w:tblGrid>
              <w:gridCol w:w="2833"/>
              <w:gridCol w:w="2791"/>
              <w:gridCol w:w="2093"/>
              <w:gridCol w:w="1120"/>
            </w:tblGrid>
            <w:tr>
              <w:trPr>
                <w:trHeight w:val="397" w:hRule="atLeast"/>
                <w:jc w:val="center"/>
              </w:trPr>
              <w:tc>
                <w:tcPr>
                  <w:tcW w:w="2833" w:type="dxa"/>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类 别</w:t>
                  </w:r>
                </w:p>
              </w:tc>
              <w:tc>
                <w:tcPr>
                  <w:tcW w:w="279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内 容</w:t>
                  </w:r>
                </w:p>
              </w:tc>
              <w:tc>
                <w:tcPr>
                  <w:tcW w:w="209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本项目情况</w:t>
                  </w:r>
                </w:p>
              </w:tc>
              <w:tc>
                <w:tcPr>
                  <w:tcW w:w="1120" w:type="dxa"/>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b/>
                      <w:color w:val="000000"/>
                      <w:sz w:val="21"/>
                      <w:szCs w:val="21"/>
                    </w:rPr>
                  </w:pPr>
                  <w:r>
                    <w:rPr>
                      <w:rFonts w:hint="default" w:ascii="宋体" w:hAnsi="宋体"/>
                      <w:b/>
                      <w:color w:val="000000"/>
                      <w:sz w:val="21"/>
                      <w:szCs w:val="21"/>
                    </w:rPr>
                    <w:t>相符性</w:t>
                  </w:r>
                </w:p>
              </w:tc>
            </w:tr>
            <w:tr>
              <w:tblPrEx>
                <w:tblCellMar>
                  <w:top w:w="0" w:type="dxa"/>
                  <w:left w:w="108" w:type="dxa"/>
                  <w:bottom w:w="0" w:type="dxa"/>
                  <w:right w:w="108" w:type="dxa"/>
                </w:tblCellMar>
              </w:tblPrEx>
              <w:trPr>
                <w:trHeight w:val="397" w:hRule="atLeast"/>
                <w:jc w:val="center"/>
              </w:trPr>
              <w:tc>
                <w:tcPr>
                  <w:tcW w:w="2833" w:type="dxa"/>
                  <w:tcBorders>
                    <w:top w:val="single" w:color="auto"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1"/>
                      <w:szCs w:val="21"/>
                    </w:rPr>
                  </w:pPr>
                  <w:r>
                    <w:rPr>
                      <w:rFonts w:hint="eastAsia" w:ascii="宋体" w:hAnsi="宋体"/>
                      <w:color w:val="auto"/>
                      <w:sz w:val="21"/>
                      <w:szCs w:val="21"/>
                    </w:rPr>
                    <w:t>鼓励类</w:t>
                  </w:r>
                </w:p>
              </w:tc>
              <w:tc>
                <w:tcPr>
                  <w:tcW w:w="2791" w:type="dxa"/>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ascii="宋体" w:hAnsi="宋体"/>
                      <w:color w:val="auto"/>
                      <w:sz w:val="21"/>
                      <w:szCs w:val="21"/>
                    </w:rPr>
                    <w:t>查无相关对应条款</w:t>
                  </w:r>
                </w:p>
              </w:tc>
              <w:tc>
                <w:tcPr>
                  <w:tcW w:w="2093" w:type="dxa"/>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ascii="宋体" w:hAnsi="宋体"/>
                      <w:color w:val="auto"/>
                      <w:sz w:val="21"/>
                      <w:szCs w:val="21"/>
                      <w:lang w:val="en-US" w:eastAsia="zh-CN"/>
                    </w:rPr>
                    <w:t>/</w:t>
                  </w:r>
                </w:p>
              </w:tc>
              <w:tc>
                <w:tcPr>
                  <w:tcW w:w="1120" w:type="dxa"/>
                  <w:tcBorders>
                    <w:top w:val="single" w:color="auto" w:sz="8"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ascii="宋体" w:hAnsi="宋体" w:eastAsia="宋体" w:cs="宋体"/>
                      <w:color w:val="auto"/>
                      <w:sz w:val="21"/>
                      <w:szCs w:val="21"/>
                      <w:lang w:val="en-US" w:eastAsia="zh-CN"/>
                    </w:rPr>
                    <w:t>/</w:t>
                  </w:r>
                </w:p>
              </w:tc>
            </w:tr>
            <w:tr>
              <w:tblPrEx>
                <w:tblCellMar>
                  <w:top w:w="0" w:type="dxa"/>
                  <w:left w:w="108" w:type="dxa"/>
                  <w:bottom w:w="0" w:type="dxa"/>
                  <w:right w:w="108" w:type="dxa"/>
                </w:tblCellMar>
              </w:tblPrEx>
              <w:trPr>
                <w:trHeight w:val="397" w:hRule="atLeast"/>
                <w:jc w:val="center"/>
              </w:trPr>
              <w:tc>
                <w:tcPr>
                  <w:tcW w:w="2833"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限制类</w:t>
                  </w:r>
                </w:p>
              </w:tc>
              <w:tc>
                <w:tcPr>
                  <w:tcW w:w="2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20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c>
                <w:tcPr>
                  <w:tcW w:w="1120"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r>
            <w:tr>
              <w:trPr>
                <w:trHeight w:val="397" w:hRule="atLeast"/>
                <w:jc w:val="center"/>
              </w:trPr>
              <w:tc>
                <w:tcPr>
                  <w:tcW w:w="2833"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淘汰类</w:t>
                  </w:r>
                </w:p>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（落后生产工艺装备）</w:t>
                  </w:r>
                </w:p>
              </w:tc>
              <w:tc>
                <w:tcPr>
                  <w:tcW w:w="279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20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c>
                <w:tcPr>
                  <w:tcW w:w="1120"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r>
            <w:tr>
              <w:tblPrEx>
                <w:tblCellMar>
                  <w:top w:w="0" w:type="dxa"/>
                  <w:left w:w="108" w:type="dxa"/>
                  <w:bottom w:w="0" w:type="dxa"/>
                  <w:right w:w="108" w:type="dxa"/>
                </w:tblCellMar>
              </w:tblPrEx>
              <w:trPr>
                <w:trHeight w:val="397" w:hRule="atLeast"/>
                <w:jc w:val="center"/>
              </w:trPr>
              <w:tc>
                <w:tcPr>
                  <w:tcW w:w="2833" w:type="dxa"/>
                  <w:tcBorders>
                    <w:top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000000"/>
                      <w:sz w:val="21"/>
                      <w:szCs w:val="21"/>
                    </w:rPr>
                  </w:pPr>
                  <w:r>
                    <w:rPr>
                      <w:rFonts w:hint="eastAsia" w:ascii="宋体" w:hAnsi="宋体"/>
                      <w:color w:val="000000"/>
                      <w:sz w:val="21"/>
                      <w:szCs w:val="21"/>
                    </w:rPr>
                    <w:t>淘汰类（落后产品）</w:t>
                  </w:r>
                </w:p>
              </w:tc>
              <w:tc>
                <w:tcPr>
                  <w:tcW w:w="2791"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查无相关对应条款</w:t>
                  </w:r>
                </w:p>
              </w:tc>
              <w:tc>
                <w:tcPr>
                  <w:tcW w:w="2093"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c>
                <w:tcPr>
                  <w:tcW w:w="1120" w:type="dxa"/>
                  <w:tcBorders>
                    <w:top w:val="single" w:color="auto" w:sz="4" w:space="0"/>
                    <w:left w:val="single" w:color="auto" w:sz="4"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r>
                    <w:rPr>
                      <w:rFonts w:hint="eastAsia" w:ascii="宋体" w:hAnsi="宋体"/>
                      <w:color w:val="000000"/>
                      <w:sz w:val="21"/>
                      <w:szCs w:val="21"/>
                    </w:rPr>
                    <w:t>/</w:t>
                  </w:r>
                </w:p>
              </w:tc>
            </w:tr>
          </w:tbl>
          <w:p>
            <w:pPr>
              <w:keepNext w:val="0"/>
              <w:keepLines w:val="0"/>
              <w:suppressLineNumbers w:val="0"/>
              <w:spacing w:before="0" w:beforeAutospacing="0" w:after="0" w:afterAutospacing="0" w:line="440" w:lineRule="exact"/>
              <w:ind w:left="0" w:right="0" w:firstLine="480" w:firstLineChars="200"/>
              <w:rPr>
                <w:rFonts w:hint="default" w:hAnsi="宋体"/>
                <w:color w:val="000000"/>
                <w:sz w:val="24"/>
              </w:rPr>
            </w:pPr>
            <w:r>
              <w:rPr>
                <w:rFonts w:hint="default" w:hAnsi="宋体"/>
                <w:color w:val="000000"/>
                <w:sz w:val="24"/>
              </w:rPr>
              <w:t>本项目与备案一致性分析见表</w:t>
            </w:r>
            <w:r>
              <w:rPr>
                <w:rFonts w:hint="eastAsia" w:ascii="Times New Roman" w:hAnsi="Times New Roman" w:cs="Times New Roman"/>
                <w:color w:val="000000"/>
                <w:sz w:val="24"/>
                <w:lang w:val="en-US" w:eastAsia="zh-CN"/>
              </w:rPr>
              <w:t>6</w:t>
            </w:r>
            <w:r>
              <w:rPr>
                <w:rFonts w:hint="default" w:hAnsi="宋体"/>
                <w:color w:val="000000"/>
                <w:sz w:val="24"/>
              </w:rPr>
              <w:t>。</w:t>
            </w:r>
          </w:p>
          <w:p>
            <w:pPr>
              <w:keepNext w:val="0"/>
              <w:keepLines w:val="0"/>
              <w:suppressLineNumbers w:val="0"/>
              <w:spacing w:before="0" w:beforeAutospacing="0" w:after="0" w:afterAutospacing="0" w:line="440" w:lineRule="exact"/>
              <w:ind w:left="0" w:right="0"/>
              <w:jc w:val="center"/>
              <w:textAlignment w:val="baseline"/>
              <w:rPr>
                <w:rFonts w:hint="default" w:eastAsia="黑体"/>
                <w:color w:val="auto"/>
                <w:sz w:val="24"/>
              </w:rPr>
            </w:pPr>
            <w:r>
              <w:rPr>
                <w:rFonts w:hint="default" w:ascii="宋体" w:hAnsi="宋体"/>
                <w:b/>
                <w:bCs/>
                <w:color w:val="auto"/>
                <w:sz w:val="24"/>
              </w:rPr>
              <w:t>表</w:t>
            </w:r>
            <w:r>
              <w:rPr>
                <w:rFonts w:hint="eastAsia" w:ascii="宋体" w:hAnsi="宋体"/>
                <w:b/>
                <w:bCs/>
                <w:color w:val="auto"/>
                <w:sz w:val="24"/>
                <w:lang w:val="en-US" w:eastAsia="zh-CN"/>
              </w:rPr>
              <w:t>6</w:t>
            </w:r>
            <w:r>
              <w:rPr>
                <w:rFonts w:hint="default" w:ascii="宋体" w:hAnsi="宋体"/>
                <w:b/>
                <w:bCs/>
                <w:color w:val="auto"/>
                <w:sz w:val="24"/>
              </w:rPr>
              <w:t xml:space="preserve"> </w:t>
            </w:r>
            <w:r>
              <w:rPr>
                <w:rFonts w:hint="eastAsia" w:ascii="宋体" w:hAnsi="宋体"/>
                <w:b/>
                <w:bCs/>
                <w:color w:val="auto"/>
                <w:sz w:val="24"/>
                <w:lang w:val="en-US" w:eastAsia="zh-CN"/>
              </w:rPr>
              <w:t xml:space="preserve"> </w:t>
            </w:r>
            <w:r>
              <w:rPr>
                <w:rFonts w:hint="default" w:ascii="宋体" w:hAnsi="宋体"/>
                <w:b/>
                <w:bCs/>
                <w:color w:val="auto"/>
                <w:sz w:val="24"/>
              </w:rPr>
              <w:t>本项目与备案一致性分析一览表</w:t>
            </w:r>
          </w:p>
          <w:tbl>
            <w:tblPr>
              <w:tblStyle w:val="22"/>
              <w:tblW w:w="5000" w:type="pct"/>
              <w:jc w:val="center"/>
              <w:tblLayout w:type="fixed"/>
              <w:tblCellMar>
                <w:top w:w="0" w:type="dxa"/>
                <w:left w:w="108" w:type="dxa"/>
                <w:bottom w:w="0" w:type="dxa"/>
                <w:right w:w="108" w:type="dxa"/>
              </w:tblCellMar>
            </w:tblPr>
            <w:tblGrid>
              <w:gridCol w:w="814"/>
              <w:gridCol w:w="3559"/>
              <w:gridCol w:w="3525"/>
              <w:gridCol w:w="940"/>
            </w:tblGrid>
            <w:tr>
              <w:tblPrEx>
                <w:tblCellMar>
                  <w:top w:w="0" w:type="dxa"/>
                  <w:left w:w="108" w:type="dxa"/>
                  <w:bottom w:w="0" w:type="dxa"/>
                  <w:right w:w="108" w:type="dxa"/>
                </w:tblCellMar>
              </w:tblPrEx>
              <w:trPr>
                <w:trHeight w:val="397" w:hRule="atLeast"/>
                <w:jc w:val="center"/>
              </w:trPr>
              <w:tc>
                <w:tcPr>
                  <w:tcW w:w="814" w:type="dxa"/>
                  <w:tcBorders>
                    <w:top w:val="single" w:color="000000" w:sz="8" w:space="0"/>
                    <w:bottom w:val="single" w:color="000000"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名称</w:t>
                  </w:r>
                </w:p>
              </w:tc>
              <w:tc>
                <w:tcPr>
                  <w:tcW w:w="3559" w:type="dxa"/>
                  <w:tcBorders>
                    <w:top w:val="single" w:color="000000" w:sz="8" w:space="0"/>
                    <w:left w:val="single" w:color="auto" w:sz="8" w:space="0"/>
                    <w:bottom w:val="single" w:color="000000"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项目备案</w:t>
                  </w:r>
                </w:p>
              </w:tc>
              <w:tc>
                <w:tcPr>
                  <w:tcW w:w="3525" w:type="dxa"/>
                  <w:tcBorders>
                    <w:top w:val="single" w:color="000000" w:sz="8" w:space="0"/>
                    <w:left w:val="single" w:color="auto" w:sz="8" w:space="0"/>
                    <w:bottom w:val="single" w:color="000000"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项目情况</w:t>
                  </w:r>
                </w:p>
              </w:tc>
              <w:tc>
                <w:tcPr>
                  <w:tcW w:w="940" w:type="dxa"/>
                  <w:tcBorders>
                    <w:top w:val="single" w:color="000000" w:sz="8" w:space="0"/>
                    <w:left w:val="single" w:color="auto" w:sz="8" w:space="0"/>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相符性</w:t>
                  </w:r>
                </w:p>
              </w:tc>
            </w:tr>
            <w:tr>
              <w:tblPrEx>
                <w:tblCellMar>
                  <w:top w:w="0" w:type="dxa"/>
                  <w:left w:w="108" w:type="dxa"/>
                  <w:bottom w:w="0" w:type="dxa"/>
                  <w:right w:w="108" w:type="dxa"/>
                </w:tblCellMar>
              </w:tblPrEx>
              <w:trPr>
                <w:trHeight w:val="397" w:hRule="atLeast"/>
                <w:jc w:val="center"/>
              </w:trPr>
              <w:tc>
                <w:tcPr>
                  <w:tcW w:w="814" w:type="dxa"/>
                  <w:tcBorders>
                    <w:top w:val="single" w:color="000000" w:sz="8"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rPr>
                    <w:t>生产工艺</w:t>
                  </w:r>
                </w:p>
              </w:tc>
              <w:tc>
                <w:tcPr>
                  <w:tcW w:w="3559"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auto"/>
                      <w:sz w:val="21"/>
                      <w:szCs w:val="21"/>
                    </w:rPr>
                  </w:pPr>
                  <w:r>
                    <w:rPr>
                      <w:rFonts w:hint="eastAsia" w:hAnsi="宋体"/>
                      <w:color w:val="auto"/>
                      <w:sz w:val="21"/>
                      <w:szCs w:val="21"/>
                    </w:rPr>
                    <w:t>原料EVA树脂、石蜡等加热混合—拉条冷却—切粒—干燥—成品</w:t>
                  </w:r>
                </w:p>
              </w:tc>
              <w:tc>
                <w:tcPr>
                  <w:tcW w:w="3525"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hAnsi="宋体"/>
                      <w:color w:val="auto"/>
                      <w:sz w:val="21"/>
                      <w:szCs w:val="21"/>
                    </w:rPr>
                    <w:t>原料EVA树脂、石蜡等加热混合—拉条冷却—切粒—干燥—成品</w:t>
                  </w:r>
                </w:p>
              </w:tc>
              <w:tc>
                <w:tcPr>
                  <w:tcW w:w="940" w:type="dxa"/>
                  <w:tcBorders>
                    <w:top w:val="single" w:color="000000" w:sz="8" w:space="0"/>
                    <w:left w:val="single" w:color="000000" w:sz="4" w:space="0"/>
                    <w:bottom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相 符</w:t>
                  </w:r>
                </w:p>
              </w:tc>
            </w:tr>
            <w:tr>
              <w:tblPrEx>
                <w:tblCellMar>
                  <w:top w:w="0" w:type="dxa"/>
                  <w:left w:w="108" w:type="dxa"/>
                  <w:bottom w:w="0" w:type="dxa"/>
                  <w:right w:w="108" w:type="dxa"/>
                </w:tblCellMar>
              </w:tblPrEx>
              <w:trPr>
                <w:trHeight w:val="397" w:hRule="atLeast"/>
                <w:jc w:val="center"/>
              </w:trPr>
              <w:tc>
                <w:tcPr>
                  <w:tcW w:w="814" w:type="dxa"/>
                  <w:tcBorders>
                    <w:top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投资</w:t>
                  </w:r>
                </w:p>
              </w:tc>
              <w:tc>
                <w:tcPr>
                  <w:tcW w:w="3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1000</w:t>
                  </w:r>
                  <w:r>
                    <w:rPr>
                      <w:rFonts w:hint="default" w:hAnsi="宋体"/>
                      <w:color w:val="auto"/>
                      <w:sz w:val="21"/>
                      <w:szCs w:val="21"/>
                    </w:rPr>
                    <w:t>万元</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1000</w:t>
                  </w:r>
                  <w:r>
                    <w:rPr>
                      <w:rFonts w:hint="default" w:hAnsi="宋体"/>
                      <w:color w:val="auto"/>
                      <w:sz w:val="21"/>
                      <w:szCs w:val="21"/>
                    </w:rPr>
                    <w:t>万元</w:t>
                  </w:r>
                </w:p>
              </w:tc>
              <w:tc>
                <w:tcPr>
                  <w:tcW w:w="940" w:type="dxa"/>
                  <w:tcBorders>
                    <w:top w:val="single" w:color="000000" w:sz="4" w:space="0"/>
                    <w:left w:val="single" w:color="000000" w:sz="4" w:space="0"/>
                    <w:bottom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相</w:t>
                  </w:r>
                  <w:r>
                    <w:rPr>
                      <w:rFonts w:hint="default"/>
                      <w:color w:val="auto"/>
                      <w:sz w:val="21"/>
                      <w:szCs w:val="21"/>
                    </w:rPr>
                    <w:t xml:space="preserve"> </w:t>
                  </w:r>
                  <w:r>
                    <w:rPr>
                      <w:rFonts w:hint="default" w:hAnsi="宋体"/>
                      <w:color w:val="auto"/>
                      <w:sz w:val="21"/>
                      <w:szCs w:val="21"/>
                    </w:rPr>
                    <w:t>符</w:t>
                  </w:r>
                </w:p>
              </w:tc>
            </w:tr>
            <w:tr>
              <w:tblPrEx>
                <w:tblCellMar>
                  <w:top w:w="0" w:type="dxa"/>
                  <w:left w:w="108" w:type="dxa"/>
                  <w:bottom w:w="0" w:type="dxa"/>
                  <w:right w:w="108" w:type="dxa"/>
                </w:tblCellMar>
              </w:tblPrEx>
              <w:trPr>
                <w:trHeight w:val="397" w:hRule="atLeast"/>
                <w:jc w:val="center"/>
              </w:trPr>
              <w:tc>
                <w:tcPr>
                  <w:tcW w:w="814" w:type="dxa"/>
                  <w:tcBorders>
                    <w:top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生产</w:t>
                  </w:r>
                </w:p>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规模</w:t>
                  </w:r>
                </w:p>
              </w:tc>
              <w:tc>
                <w:tcPr>
                  <w:tcW w:w="355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ascii="宋体" w:hAnsi="宋体"/>
                      <w:color w:val="000000"/>
                      <w:sz w:val="21"/>
                      <w:szCs w:val="21"/>
                      <w:lang w:val="en-US" w:eastAsia="zh-CN"/>
                    </w:rPr>
                    <w:t>年产</w:t>
                  </w:r>
                  <w:r>
                    <w:rPr>
                      <w:rFonts w:hint="default" w:ascii="Times New Roman" w:hAnsi="Times New Roman" w:cs="Times New Roman"/>
                      <w:color w:val="000000"/>
                      <w:sz w:val="21"/>
                      <w:szCs w:val="21"/>
                      <w:lang w:val="en-US" w:eastAsia="zh-CN"/>
                    </w:rPr>
                    <w:t>900</w:t>
                  </w:r>
                  <w:r>
                    <w:rPr>
                      <w:rFonts w:hint="eastAsia" w:ascii="宋体" w:hAnsi="宋体"/>
                      <w:color w:val="000000"/>
                      <w:sz w:val="21"/>
                      <w:szCs w:val="21"/>
                      <w:lang w:val="en-US" w:eastAsia="zh-CN"/>
                    </w:rPr>
                    <w:t>吨环保型包装印刷材料项目</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ascii="宋体" w:hAnsi="宋体"/>
                      <w:color w:val="000000"/>
                      <w:sz w:val="21"/>
                      <w:szCs w:val="21"/>
                      <w:lang w:val="en-US" w:eastAsia="zh-CN"/>
                    </w:rPr>
                    <w:t>年产</w:t>
                  </w:r>
                  <w:r>
                    <w:rPr>
                      <w:rFonts w:hint="default" w:ascii="Times New Roman" w:hAnsi="Times New Roman" w:cs="Times New Roman"/>
                      <w:color w:val="000000"/>
                      <w:sz w:val="21"/>
                      <w:szCs w:val="21"/>
                      <w:lang w:val="en-US" w:eastAsia="zh-CN"/>
                    </w:rPr>
                    <w:t>900</w:t>
                  </w:r>
                  <w:r>
                    <w:rPr>
                      <w:rFonts w:hint="eastAsia" w:ascii="宋体" w:hAnsi="宋体"/>
                      <w:color w:val="000000"/>
                      <w:sz w:val="21"/>
                      <w:szCs w:val="21"/>
                      <w:lang w:val="en-US" w:eastAsia="zh-CN"/>
                    </w:rPr>
                    <w:t>吨环保型包装印刷材料项目</w:t>
                  </w:r>
                </w:p>
              </w:tc>
              <w:tc>
                <w:tcPr>
                  <w:tcW w:w="940" w:type="dxa"/>
                  <w:tcBorders>
                    <w:top w:val="single" w:color="000000" w:sz="4" w:space="0"/>
                    <w:left w:val="single" w:color="000000" w:sz="4" w:space="0"/>
                    <w:bottom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相</w:t>
                  </w:r>
                  <w:r>
                    <w:rPr>
                      <w:rFonts w:hint="default"/>
                      <w:color w:val="auto"/>
                      <w:sz w:val="21"/>
                      <w:szCs w:val="21"/>
                    </w:rPr>
                    <w:t xml:space="preserve"> </w:t>
                  </w:r>
                  <w:r>
                    <w:rPr>
                      <w:rFonts w:hint="default" w:hAnsi="宋体"/>
                      <w:color w:val="auto"/>
                      <w:sz w:val="21"/>
                      <w:szCs w:val="21"/>
                    </w:rPr>
                    <w:t>符</w:t>
                  </w:r>
                </w:p>
              </w:tc>
            </w:tr>
            <w:tr>
              <w:tblPrEx>
                <w:tblCellMar>
                  <w:top w:w="0" w:type="dxa"/>
                  <w:left w:w="108" w:type="dxa"/>
                  <w:bottom w:w="0" w:type="dxa"/>
                  <w:right w:w="108" w:type="dxa"/>
                </w:tblCellMar>
              </w:tblPrEx>
              <w:trPr>
                <w:trHeight w:val="397" w:hRule="atLeast"/>
                <w:jc w:val="center"/>
              </w:trPr>
              <w:tc>
                <w:tcPr>
                  <w:tcW w:w="814" w:type="dxa"/>
                  <w:tcBorders>
                    <w:top w:val="single" w:color="000000" w:sz="4" w:space="0"/>
                    <w:bottom w:val="single" w:color="000000" w:sz="8"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建设</w:t>
                  </w:r>
                </w:p>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地点</w:t>
                  </w:r>
                </w:p>
              </w:tc>
              <w:tc>
                <w:tcPr>
                  <w:tcW w:w="3559"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宋体" w:hAnsi="宋体" w:cs="宋体"/>
                      <w:sz w:val="21"/>
                      <w:szCs w:val="21"/>
                      <w:lang w:val="en-US" w:eastAsia="zh-CN"/>
                    </w:rPr>
                    <w:t>新乡市新乡县七里营镇工业园区阳光路</w:t>
                  </w:r>
                  <w:r>
                    <w:rPr>
                      <w:rFonts w:hint="default" w:ascii="Times New Roman" w:hAnsi="Times New Roman" w:cs="Times New Roman"/>
                      <w:sz w:val="21"/>
                      <w:szCs w:val="21"/>
                      <w:lang w:val="en-US" w:eastAsia="zh-CN"/>
                    </w:rPr>
                    <w:t>6</w:t>
                  </w:r>
                  <w:r>
                    <w:rPr>
                      <w:rFonts w:hint="eastAsia" w:ascii="宋体" w:hAnsi="宋体" w:cs="宋体"/>
                      <w:sz w:val="21"/>
                      <w:szCs w:val="21"/>
                      <w:lang w:val="en-US" w:eastAsia="zh-CN"/>
                    </w:rPr>
                    <w:t>号</w:t>
                  </w:r>
                </w:p>
              </w:tc>
              <w:tc>
                <w:tcPr>
                  <w:tcW w:w="3525"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宋体" w:hAnsi="宋体" w:cs="宋体"/>
                      <w:sz w:val="21"/>
                      <w:szCs w:val="21"/>
                      <w:lang w:val="en-US" w:eastAsia="zh-CN"/>
                    </w:rPr>
                    <w:t>新乡市新乡县七里营镇工业园区阳光路</w:t>
                  </w:r>
                  <w:r>
                    <w:rPr>
                      <w:rFonts w:hint="default" w:ascii="Times New Roman" w:hAnsi="Times New Roman" w:cs="Times New Roman"/>
                      <w:sz w:val="21"/>
                      <w:szCs w:val="21"/>
                      <w:lang w:val="en-US" w:eastAsia="zh-CN"/>
                    </w:rPr>
                    <w:t>6</w:t>
                  </w:r>
                  <w:r>
                    <w:rPr>
                      <w:rFonts w:hint="eastAsia" w:ascii="宋体" w:hAnsi="宋体" w:cs="宋体"/>
                      <w:sz w:val="21"/>
                      <w:szCs w:val="21"/>
                      <w:lang w:val="en-US" w:eastAsia="zh-CN"/>
                    </w:rPr>
                    <w:t>号</w:t>
                  </w:r>
                </w:p>
              </w:tc>
              <w:tc>
                <w:tcPr>
                  <w:tcW w:w="940" w:type="dxa"/>
                  <w:tcBorders>
                    <w:top w:val="single" w:color="000000" w:sz="4" w:space="0"/>
                    <w:left w:val="single" w:color="000000" w:sz="4" w:space="0"/>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相</w:t>
                  </w:r>
                  <w:r>
                    <w:rPr>
                      <w:rFonts w:hint="default"/>
                      <w:color w:val="auto"/>
                      <w:sz w:val="21"/>
                      <w:szCs w:val="21"/>
                    </w:rPr>
                    <w:t xml:space="preserve"> </w:t>
                  </w:r>
                  <w:r>
                    <w:rPr>
                      <w:rFonts w:hint="default" w:hAnsi="宋体"/>
                      <w:color w:val="auto"/>
                      <w:sz w:val="21"/>
                      <w:szCs w:val="21"/>
                    </w:rPr>
                    <w:t>符</w:t>
                  </w:r>
                </w:p>
              </w:tc>
            </w:tr>
          </w:tbl>
          <w:p>
            <w:pPr>
              <w:keepNext w:val="0"/>
              <w:keepLines w:val="0"/>
              <w:suppressLineNumbers w:val="0"/>
              <w:spacing w:before="0" w:beforeAutospacing="0" w:after="0" w:afterAutospacing="0" w:line="440" w:lineRule="exact"/>
              <w:ind w:left="0" w:right="0" w:firstLine="482" w:firstLineChars="200"/>
              <w:rPr>
                <w:rFonts w:hint="default"/>
                <w:b/>
                <w:bCs/>
                <w:color w:val="000000"/>
                <w:kern w:val="0"/>
                <w:sz w:val="24"/>
              </w:rPr>
            </w:pPr>
            <w:r>
              <w:rPr>
                <w:rFonts w:hint="eastAsia"/>
                <w:b/>
                <w:sz w:val="24"/>
              </w:rPr>
              <w:t>4、</w:t>
            </w:r>
            <w:r>
              <w:rPr>
                <w:rFonts w:hint="eastAsia"/>
                <w:b/>
                <w:bCs/>
                <w:color w:val="000000"/>
                <w:kern w:val="0"/>
                <w:sz w:val="24"/>
              </w:rPr>
              <w:t>本项目与《新乡市环境污染防治攻坚指挥部办公室关于印发新乡市2022年大气、水、土壤污染防治攻坚战及农业农村污染治理攻坚战实施方案的通知》（新环攻坚办〔2022〕60号）相符性分析</w:t>
            </w:r>
          </w:p>
          <w:p>
            <w:pPr>
              <w:keepNext w:val="0"/>
              <w:keepLines w:val="0"/>
              <w:suppressLineNumbers w:val="0"/>
              <w:spacing w:before="0" w:beforeAutospacing="0" w:after="0" w:afterAutospacing="0" w:line="440" w:lineRule="exact"/>
              <w:ind w:left="0" w:right="0" w:firstLine="482" w:firstLineChars="200"/>
              <w:jc w:val="center"/>
              <w:textAlignment w:val="baseline"/>
              <w:rPr>
                <w:rFonts w:hint="default" w:eastAsia="黑体"/>
                <w:color w:val="000000"/>
                <w:sz w:val="24"/>
              </w:rPr>
            </w:pPr>
            <w:r>
              <w:rPr>
                <w:rFonts w:hint="default" w:ascii="宋体" w:hAnsi="宋体"/>
                <w:b/>
                <w:bCs/>
                <w:color w:val="000000"/>
                <w:sz w:val="24"/>
              </w:rPr>
              <w:t>表</w:t>
            </w:r>
            <w:r>
              <w:rPr>
                <w:rFonts w:hint="eastAsia" w:ascii="宋体" w:hAnsi="宋体"/>
                <w:b/>
                <w:bCs/>
                <w:color w:val="000000"/>
                <w:sz w:val="24"/>
                <w:lang w:val="en-US" w:eastAsia="zh-CN"/>
              </w:rPr>
              <w:t xml:space="preserve">7  </w:t>
            </w:r>
            <w:r>
              <w:rPr>
                <w:rFonts w:hint="eastAsia" w:ascii="宋体" w:hAnsi="宋体"/>
                <w:b/>
                <w:bCs/>
                <w:color w:val="000000"/>
                <w:sz w:val="24"/>
              </w:rPr>
              <w:t>本项目</w:t>
            </w:r>
            <w:r>
              <w:rPr>
                <w:rFonts w:hint="default" w:ascii="宋体" w:hAnsi="宋体"/>
                <w:b/>
                <w:bCs/>
                <w:color w:val="000000"/>
                <w:sz w:val="24"/>
              </w:rPr>
              <w:t>与</w:t>
            </w:r>
            <w:r>
              <w:rPr>
                <w:rFonts w:hint="eastAsia" w:ascii="宋体" w:hAnsi="宋体"/>
                <w:b/>
                <w:bCs/>
                <w:color w:val="000000"/>
                <w:sz w:val="24"/>
              </w:rPr>
              <w:t>新环攻坚办〔2022〕60号文的相符性</w:t>
            </w:r>
            <w:r>
              <w:rPr>
                <w:rFonts w:hint="default" w:ascii="宋体" w:hAnsi="宋体"/>
                <w:b/>
                <w:bCs/>
                <w:color w:val="000000"/>
                <w:sz w:val="24"/>
              </w:rPr>
              <w:t>分析</w:t>
            </w:r>
          </w:p>
          <w:tbl>
            <w:tblPr>
              <w:tblStyle w:val="22"/>
              <w:tblW w:w="50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4441"/>
              <w:gridCol w:w="2044"/>
              <w:gridCol w:w="996"/>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rPr>
                  </w:pPr>
                  <w:r>
                    <w:rPr>
                      <w:rFonts w:hint="eastAsia"/>
                      <w:b/>
                      <w:color w:val="000000"/>
                      <w:sz w:val="21"/>
                      <w:szCs w:val="21"/>
                    </w:rPr>
                    <w:t>主要任务</w:t>
                  </w:r>
                </w:p>
              </w:tc>
              <w:tc>
                <w:tcPr>
                  <w:tcW w:w="38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rPr>
                  </w:pPr>
                  <w:r>
                    <w:rPr>
                      <w:rFonts w:hint="eastAsia"/>
                      <w:b/>
                      <w:color w:val="000000"/>
                      <w:sz w:val="21"/>
                      <w:szCs w:val="21"/>
                    </w:rPr>
                    <w:t>实施方案</w:t>
                  </w:r>
                </w:p>
              </w:tc>
              <w:tc>
                <w:tcPr>
                  <w:tcW w:w="1753"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rPr>
                  </w:pPr>
                  <w:r>
                    <w:rPr>
                      <w:rFonts w:hint="default"/>
                      <w:b/>
                      <w:color w:val="000000"/>
                      <w:sz w:val="21"/>
                      <w:szCs w:val="21"/>
                    </w:rPr>
                    <w:t>本项目情况</w:t>
                  </w:r>
                </w:p>
              </w:tc>
              <w:tc>
                <w:tcPr>
                  <w:tcW w:w="854" w:type="dxa"/>
                  <w:tcBorders>
                    <w:top w:val="single" w:color="auto" w:sz="8" w:space="0"/>
                    <w:left w:val="single" w:color="auto" w:sz="8"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rPr>
                  </w:pPr>
                  <w:r>
                    <w:rPr>
                      <w:rFonts w:hint="eastAsia"/>
                      <w:b/>
                      <w:color w:val="000000"/>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color w:val="000000"/>
                      <w:sz w:val="21"/>
                      <w:szCs w:val="21"/>
                    </w:rPr>
                  </w:pPr>
                  <w:r>
                    <w:rPr>
                      <w:rFonts w:hint="eastAsia"/>
                      <w:b/>
                      <w:color w:val="000000"/>
                      <w:sz w:val="21"/>
                      <w:szCs w:val="21"/>
                    </w:rPr>
                    <w:t>新乡市2022年大气污染防治攻坚战实施方案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1164" w:type="dxa"/>
                  <w:tcBorders>
                    <w:top w:val="single" w:color="auto" w:sz="4" w:space="0"/>
                    <w:left w:val="nil"/>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Cs/>
                      <w:color w:val="000000"/>
                      <w:sz w:val="21"/>
                      <w:szCs w:val="21"/>
                    </w:rPr>
                  </w:pPr>
                  <w:r>
                    <w:rPr>
                      <w:rFonts w:hint="default"/>
                      <w:bCs/>
                      <w:color w:val="000000"/>
                      <w:sz w:val="21"/>
                      <w:szCs w:val="21"/>
                    </w:rPr>
                    <w:t>3.</w:t>
                  </w:r>
                  <w:r>
                    <w:rPr>
                      <w:rFonts w:hint="eastAsia"/>
                      <w:bCs/>
                      <w:color w:val="000000"/>
                      <w:sz w:val="21"/>
                      <w:szCs w:val="21"/>
                    </w:rPr>
                    <w:t>严格项目准入，推进绿色低碳产业发展</w:t>
                  </w:r>
                </w:p>
              </w:tc>
              <w:tc>
                <w:tcPr>
                  <w:tcW w:w="3809" w:type="dxa"/>
                  <w:tcBorders>
                    <w:top w:val="single" w:color="auto" w:sz="4" w:space="0"/>
                    <w:bottom w:val="single" w:color="auto" w:sz="8"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000000"/>
                      <w:sz w:val="21"/>
                      <w:szCs w:val="21"/>
                    </w:rPr>
                  </w:pPr>
                  <w:r>
                    <w:rPr>
                      <w:rFonts w:hint="eastAsia"/>
                      <w:color w:val="000000"/>
                      <w:sz w:val="21"/>
                      <w:szCs w:val="21"/>
                    </w:rPr>
                    <w:t>项目准入严格落实国家产业规划、产业政策、“三线一单”、规划环评，以及产能置换、煤炭消费减量替代、区域污染物削减等相关要求，积极支持节能环保、新能源等战略性新兴产业发展，坚决遏制高耗能、高排放项目盲目建设，“两高”项目由省级相关部门实施联合会商联审机制。严禁新增钢铁、电解铝、水泥熟料、平板玻璃、传统煤化工（甲醇、合成氨）、氧化铝、焦化、铸造、铝用碳素、烧结砖瓦、铁合金等行业产能。禁止耐火材料、铅锌冶炼（含再生铅）行业单纯新增产能。水泥行业产能置换项目应实现矿石皮带廊密闭运输、大宗物料产品清洁运输。强化项目环评及“三同时”管理，国家、省绩效分级重点行业企业新建、扩建项目达到</w:t>
                  </w:r>
                  <w:r>
                    <w:rPr>
                      <w:rFonts w:hint="default"/>
                      <w:color w:val="000000"/>
                      <w:sz w:val="21"/>
                      <w:szCs w:val="21"/>
                    </w:rPr>
                    <w:t xml:space="preserve">A </w:t>
                  </w:r>
                  <w:r>
                    <w:rPr>
                      <w:rFonts w:hint="eastAsia"/>
                      <w:color w:val="000000"/>
                      <w:sz w:val="21"/>
                      <w:szCs w:val="21"/>
                    </w:rPr>
                    <w:t>级绩效水平，改建项目达到</w:t>
                  </w:r>
                  <w:r>
                    <w:rPr>
                      <w:rFonts w:hint="default"/>
                      <w:color w:val="000000"/>
                      <w:sz w:val="21"/>
                      <w:szCs w:val="21"/>
                    </w:rPr>
                    <w:t xml:space="preserve">B </w:t>
                  </w:r>
                  <w:r>
                    <w:rPr>
                      <w:rFonts w:hint="eastAsia"/>
                      <w:color w:val="000000"/>
                      <w:sz w:val="21"/>
                      <w:szCs w:val="21"/>
                    </w:rPr>
                    <w:t>级以上绩效水平。</w:t>
                  </w:r>
                </w:p>
              </w:tc>
              <w:tc>
                <w:tcPr>
                  <w:tcW w:w="1753" w:type="dxa"/>
                  <w:tcBorders>
                    <w:top w:val="single" w:color="auto" w:sz="4"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rPr>
                  </w:pPr>
                  <w:r>
                    <w:rPr>
                      <w:rFonts w:hint="default"/>
                      <w:color w:val="000000"/>
                      <w:sz w:val="21"/>
                      <w:szCs w:val="21"/>
                    </w:rPr>
                    <w:t>本项目为</w:t>
                  </w:r>
                  <w:r>
                    <w:rPr>
                      <w:rFonts w:hint="eastAsia"/>
                      <w:color w:val="000000"/>
                      <w:sz w:val="21"/>
                      <w:szCs w:val="21"/>
                      <w:lang w:val="en-US" w:eastAsia="zh-CN"/>
                    </w:rPr>
                    <w:t>塑料制品业</w:t>
                  </w:r>
                  <w:r>
                    <w:rPr>
                      <w:rFonts w:hint="default"/>
                      <w:color w:val="000000"/>
                      <w:sz w:val="21"/>
                      <w:szCs w:val="21"/>
                    </w:rPr>
                    <w:t>，不属于河南省禁止类项目。</w:t>
                  </w:r>
                  <w:r>
                    <w:rPr>
                      <w:rFonts w:hint="eastAsia"/>
                      <w:color w:val="000000"/>
                      <w:sz w:val="21"/>
                      <w:szCs w:val="21"/>
                    </w:rPr>
                    <w:t>本项目</w:t>
                  </w:r>
                  <w:r>
                    <w:rPr>
                      <w:rFonts w:hint="eastAsia"/>
                      <w:color w:val="000000"/>
                      <w:sz w:val="21"/>
                      <w:szCs w:val="21"/>
                      <w:lang w:val="en-US" w:eastAsia="zh-CN"/>
                    </w:rPr>
                    <w:t>为塑料制品行业，</w:t>
                  </w:r>
                  <w:r>
                    <w:rPr>
                      <w:rFonts w:hint="eastAsia"/>
                      <w:color w:val="000000"/>
                      <w:sz w:val="21"/>
                      <w:szCs w:val="21"/>
                    </w:rPr>
                    <w:t>将按照</w:t>
                  </w:r>
                  <w:r>
                    <w:rPr>
                      <w:rFonts w:hint="default"/>
                      <w:bCs/>
                      <w:color w:val="000000"/>
                      <w:sz w:val="21"/>
                      <w:szCs w:val="21"/>
                    </w:rPr>
                    <w:t>《河南省重点行业绩效分级指南》（2021年修订版）</w:t>
                  </w:r>
                  <w:r>
                    <w:rPr>
                      <w:rFonts w:hint="default"/>
                      <w:color w:val="000000"/>
                      <w:sz w:val="21"/>
                      <w:szCs w:val="21"/>
                    </w:rPr>
                    <w:t xml:space="preserve">A </w:t>
                  </w:r>
                  <w:r>
                    <w:rPr>
                      <w:rFonts w:hint="eastAsia"/>
                      <w:color w:val="000000"/>
                      <w:sz w:val="21"/>
                      <w:szCs w:val="21"/>
                    </w:rPr>
                    <w:t>级绩效水平要求建设。</w:t>
                  </w:r>
                </w:p>
              </w:tc>
              <w:tc>
                <w:tcPr>
                  <w:tcW w:w="854" w:type="dxa"/>
                  <w:tcBorders>
                    <w:top w:val="single" w:color="auto" w:sz="4"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color w:val="000000"/>
                      <w:sz w:val="21"/>
                      <w:szCs w:val="21"/>
                      <w:lang w:val="en-US" w:eastAsia="zh-CN"/>
                    </w:rPr>
                  </w:pPr>
                  <w:r>
                    <w:rPr>
                      <w:rFonts w:hint="eastAsia"/>
                      <w:color w:val="000000"/>
                      <w:sz w:val="21"/>
                      <w:szCs w:val="21"/>
                      <w:lang w:val="en-US" w:eastAsia="zh-CN"/>
                    </w:rPr>
                    <w:t>属于允许类</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bottom w:val="single" w:color="auto" w:sz="4"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z w:val="21"/>
                      <w:szCs w:val="21"/>
                    </w:rPr>
                  </w:pPr>
                  <w:r>
                    <w:rPr>
                      <w:rFonts w:hint="eastAsia"/>
                      <w:b/>
                      <w:color w:val="000000"/>
                      <w:sz w:val="21"/>
                      <w:szCs w:val="21"/>
                    </w:rPr>
                    <w:t>新乡市2022年水污染防治攻坚战实施方案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z w:val="21"/>
                      <w:szCs w:val="21"/>
                    </w:rPr>
                  </w:pPr>
                  <w:r>
                    <w:rPr>
                      <w:rFonts w:hint="default"/>
                      <w:color w:val="000000"/>
                      <w:sz w:val="21"/>
                      <w:szCs w:val="21"/>
                    </w:rPr>
                    <w:t>15.</w:t>
                  </w:r>
                  <w:r>
                    <w:rPr>
                      <w:rFonts w:hint="eastAsia"/>
                      <w:color w:val="000000"/>
                      <w:sz w:val="21"/>
                      <w:szCs w:val="21"/>
                    </w:rPr>
                    <w:t>助力企业绿色发展</w:t>
                  </w:r>
                </w:p>
              </w:tc>
              <w:tc>
                <w:tcPr>
                  <w:tcW w:w="3809" w:type="dxa"/>
                  <w:tcBorders>
                    <w:top w:val="single" w:color="auto" w:sz="8" w:space="0"/>
                    <w:bottom w:val="single" w:color="auto" w:sz="8"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000000"/>
                      <w:sz w:val="21"/>
                      <w:szCs w:val="21"/>
                    </w:rPr>
                  </w:pPr>
                  <w:r>
                    <w:rPr>
                      <w:rFonts w:hint="eastAsia"/>
                      <w:color w:val="000000"/>
                      <w:sz w:val="21"/>
                      <w:szCs w:val="21"/>
                    </w:rPr>
                    <w:t>筛选重点水污染物排放企业开展强制性清洁生产审核，推动企业清洁生产改造，减少单位产品耗水量和单位产品排污量，推动绿色低碳高质量发展。结合水环境容量、地表水环境目标、排污许可证要求，对直排入河排污单位污水处理设施适时进行提标改造。推进工业水循环利用和水循环梯级利用，在高耗水行业开展水效“领跑者”行动。电力企业严格落实环评审批的使用再生水要求。到</w:t>
                  </w:r>
                  <w:r>
                    <w:rPr>
                      <w:rFonts w:hint="default"/>
                      <w:color w:val="000000"/>
                      <w:sz w:val="21"/>
                      <w:szCs w:val="21"/>
                    </w:rPr>
                    <w:t xml:space="preserve">2022 </w:t>
                  </w:r>
                  <w:r>
                    <w:rPr>
                      <w:rFonts w:hint="eastAsia"/>
                      <w:color w:val="000000"/>
                      <w:sz w:val="21"/>
                      <w:szCs w:val="21"/>
                    </w:rPr>
                    <w:t>年底，万元工业增加值用水量较</w:t>
                  </w:r>
                  <w:r>
                    <w:rPr>
                      <w:rFonts w:hint="default"/>
                      <w:color w:val="000000"/>
                      <w:sz w:val="21"/>
                      <w:szCs w:val="21"/>
                    </w:rPr>
                    <w:t xml:space="preserve">2020 </w:t>
                  </w:r>
                  <w:r>
                    <w:rPr>
                      <w:rFonts w:hint="eastAsia"/>
                      <w:color w:val="000000"/>
                      <w:sz w:val="21"/>
                      <w:szCs w:val="21"/>
                    </w:rPr>
                    <w:t>年下降约</w:t>
                  </w:r>
                  <w:r>
                    <w:rPr>
                      <w:rFonts w:hint="default"/>
                      <w:color w:val="000000"/>
                      <w:sz w:val="21"/>
                      <w:szCs w:val="21"/>
                    </w:rPr>
                    <w:t>2%</w:t>
                  </w:r>
                  <w:r>
                    <w:rPr>
                      <w:rFonts w:hint="eastAsia"/>
                      <w:color w:val="000000"/>
                      <w:sz w:val="21"/>
                      <w:szCs w:val="21"/>
                    </w:rPr>
                    <w:t>。</w:t>
                  </w:r>
                </w:p>
              </w:tc>
              <w:tc>
                <w:tcPr>
                  <w:tcW w:w="1753" w:type="dxa"/>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sz w:val="21"/>
                      <w:szCs w:val="21"/>
                    </w:rPr>
                  </w:pPr>
                  <w:r>
                    <w:rPr>
                      <w:rFonts w:hint="default"/>
                      <w:color w:val="000000"/>
                      <w:sz w:val="21"/>
                      <w:szCs w:val="21"/>
                    </w:rPr>
                    <w:t>本项目不涉及重点水污染物排放，不属于电力企业</w:t>
                  </w:r>
                </w:p>
              </w:tc>
              <w:tc>
                <w:tcPr>
                  <w:tcW w:w="854" w:type="dxa"/>
                  <w:tcBorders>
                    <w:top w:val="single" w:color="auto" w:sz="8"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z w:val="21"/>
                      <w:szCs w:val="21"/>
                    </w:rPr>
                  </w:pPr>
                  <w:r>
                    <w:rPr>
                      <w:rFonts w:hint="eastAsia"/>
                      <w:color w:val="000000"/>
                      <w:sz w:val="21"/>
                      <w:szCs w:val="21"/>
                    </w:rPr>
                    <w:t>相符</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80" w:type="dxa"/>
                  <w:gridSpan w:val="4"/>
                  <w:tcBorders>
                    <w:top w:val="single" w:color="auto" w:sz="8" w:space="0"/>
                    <w:left w:val="nil"/>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z w:val="21"/>
                      <w:szCs w:val="21"/>
                    </w:rPr>
                  </w:pPr>
                  <w:r>
                    <w:rPr>
                      <w:rFonts w:hint="eastAsia"/>
                      <w:b/>
                      <w:color w:val="000000"/>
                      <w:sz w:val="21"/>
                      <w:szCs w:val="21"/>
                    </w:rPr>
                    <w:t>新乡市2022年土壤污染防治攻坚战实施方案</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op w:val="single" w:color="auto" w:sz="8" w:space="0"/>
                    <w:left w:val="nil"/>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Cs/>
                      <w:color w:val="FF0000"/>
                      <w:sz w:val="21"/>
                      <w:szCs w:val="21"/>
                    </w:rPr>
                  </w:pPr>
                  <w:r>
                    <w:rPr>
                      <w:rFonts w:hint="eastAsia"/>
                      <w:color w:val="000000"/>
                      <w:sz w:val="21"/>
                      <w:szCs w:val="21"/>
                    </w:rPr>
                    <w:t>8.严格固体废物环境管理</w:t>
                  </w:r>
                </w:p>
              </w:tc>
              <w:tc>
                <w:tcPr>
                  <w:tcW w:w="3809" w:type="dxa"/>
                  <w:tcBorders>
                    <w:top w:val="single" w:color="auto" w:sz="8" w:space="0"/>
                    <w:bottom w:val="single" w:color="auto" w:sz="8" w:space="0"/>
                    <w:right w:val="single" w:color="auto" w:sz="4" w:space="0"/>
                  </w:tcBorders>
                  <w:noWrap w:val="0"/>
                  <w:vAlign w:val="center"/>
                </w:tcPr>
                <w:p>
                  <w:pPr>
                    <w:keepNext w:val="0"/>
                    <w:keepLines w:val="0"/>
                    <w:suppressLineNumbers w:val="0"/>
                    <w:autoSpaceDE w:val="0"/>
                    <w:autoSpaceDN w:val="0"/>
                    <w:adjustRightInd w:val="0"/>
                    <w:spacing w:before="0" w:beforeAutospacing="0" w:after="0" w:afterAutospacing="0"/>
                    <w:ind w:left="0" w:right="0"/>
                    <w:jc w:val="left"/>
                    <w:rPr>
                      <w:rFonts w:hint="default"/>
                      <w:color w:val="000000"/>
                      <w:sz w:val="21"/>
                      <w:szCs w:val="21"/>
                    </w:rPr>
                  </w:pPr>
                  <w:r>
                    <w:rPr>
                      <w:rFonts w:hint="eastAsia"/>
                      <w:color w:val="000000"/>
                      <w:sz w:val="21"/>
                      <w:szCs w:val="21"/>
                    </w:rPr>
                    <w:t>全面提升危险废物环境监管、利用处置和环境风险防范“三个能力”，推进医疗废物和危险废物集中处置项目建设，开展铅酸蓄电池收集试点工作。动态更新危险废物“四个清单”，有序推进固废信息化建设。</w:t>
                  </w:r>
                </w:p>
              </w:tc>
              <w:tc>
                <w:tcPr>
                  <w:tcW w:w="1753" w:type="dxa"/>
                  <w:tcBorders>
                    <w:top w:val="single" w:color="auto" w:sz="8" w:space="0"/>
                    <w:left w:val="single" w:color="auto" w:sz="4"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FF0000"/>
                      <w:kern w:val="0"/>
                      <w:sz w:val="21"/>
                      <w:szCs w:val="21"/>
                    </w:rPr>
                  </w:pPr>
                  <w:r>
                    <w:rPr>
                      <w:rFonts w:hint="eastAsia"/>
                      <w:color w:val="000000"/>
                      <w:sz w:val="21"/>
                      <w:szCs w:val="21"/>
                    </w:rPr>
                    <w:t>本项目一般固废经一般固废暂存间暂存后定期外售，危险废物经危废暂存间暂存后，定期委托有相应资质的危废处理单位处置。</w:t>
                  </w:r>
                </w:p>
              </w:tc>
              <w:tc>
                <w:tcPr>
                  <w:tcW w:w="854" w:type="dxa"/>
                  <w:tcBorders>
                    <w:top w:val="single" w:color="auto" w:sz="8" w:space="0"/>
                    <w:bottom w:val="single" w:color="auto" w:sz="8" w:space="0"/>
                    <w:right w:val="nil"/>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rPr>
                  </w:pPr>
                  <w:r>
                    <w:rPr>
                      <w:rFonts w:hint="eastAsia"/>
                      <w:sz w:val="21"/>
                      <w:szCs w:val="21"/>
                    </w:rPr>
                    <w:t>相符</w:t>
                  </w:r>
                </w:p>
              </w:tc>
            </w:tr>
          </w:tbl>
          <w:p>
            <w:pPr>
              <w:keepNext w:val="0"/>
              <w:keepLines w:val="0"/>
              <w:suppressLineNumbers w:val="0"/>
              <w:spacing w:before="0" w:beforeAutospacing="0" w:after="0" w:afterAutospacing="0" w:line="440" w:lineRule="exact"/>
              <w:ind w:left="0" w:right="0" w:firstLine="480" w:firstLineChars="200"/>
              <w:rPr>
                <w:rFonts w:hint="default"/>
                <w:color w:val="000000"/>
                <w:sz w:val="24"/>
              </w:rPr>
            </w:pPr>
            <w:r>
              <w:rPr>
                <w:rFonts w:hint="default" w:hAnsi="宋体"/>
                <w:color w:val="000000"/>
                <w:sz w:val="24"/>
              </w:rPr>
              <w:t>由上表可知，本项目符合</w:t>
            </w:r>
            <w:r>
              <w:rPr>
                <w:rFonts w:hint="default" w:hAnsi="宋体"/>
                <w:bCs/>
                <w:color w:val="000000"/>
                <w:kern w:val="0"/>
                <w:sz w:val="24"/>
              </w:rPr>
              <w:t>《新乡市</w:t>
            </w:r>
            <w:r>
              <w:rPr>
                <w:rFonts w:hint="default"/>
                <w:bCs/>
                <w:color w:val="000000"/>
                <w:kern w:val="0"/>
                <w:sz w:val="24"/>
              </w:rPr>
              <w:t>202</w:t>
            </w:r>
            <w:r>
              <w:rPr>
                <w:rFonts w:hint="eastAsia"/>
                <w:bCs/>
                <w:color w:val="000000"/>
                <w:kern w:val="0"/>
                <w:sz w:val="24"/>
              </w:rPr>
              <w:t>2</w:t>
            </w:r>
            <w:r>
              <w:rPr>
                <w:rFonts w:hint="default" w:hAnsi="宋体"/>
                <w:bCs/>
                <w:color w:val="000000"/>
                <w:kern w:val="0"/>
                <w:sz w:val="24"/>
              </w:rPr>
              <w:t>年大气、水、土壤污染防治攻坚战及农业农村污染治理攻坚战实施方案》（新环攻坚办〔</w:t>
            </w:r>
            <w:r>
              <w:rPr>
                <w:rFonts w:hint="default"/>
                <w:bCs/>
                <w:color w:val="000000"/>
                <w:kern w:val="0"/>
                <w:sz w:val="24"/>
              </w:rPr>
              <w:t>202</w:t>
            </w:r>
            <w:r>
              <w:rPr>
                <w:rFonts w:hint="eastAsia"/>
                <w:bCs/>
                <w:color w:val="000000"/>
                <w:kern w:val="0"/>
                <w:sz w:val="24"/>
              </w:rPr>
              <w:t>2</w:t>
            </w:r>
            <w:r>
              <w:rPr>
                <w:rFonts w:hint="default" w:hAnsi="宋体"/>
                <w:bCs/>
                <w:color w:val="000000"/>
                <w:kern w:val="0"/>
                <w:sz w:val="24"/>
              </w:rPr>
              <w:t>〕</w:t>
            </w:r>
            <w:r>
              <w:rPr>
                <w:rFonts w:hint="eastAsia"/>
                <w:bCs/>
                <w:color w:val="000000"/>
                <w:kern w:val="0"/>
                <w:sz w:val="24"/>
              </w:rPr>
              <w:t>60</w:t>
            </w:r>
            <w:r>
              <w:rPr>
                <w:rFonts w:hint="default" w:hAnsi="宋体"/>
                <w:bCs/>
                <w:color w:val="000000"/>
                <w:kern w:val="0"/>
                <w:sz w:val="24"/>
              </w:rPr>
              <w:t>号）</w:t>
            </w:r>
            <w:r>
              <w:rPr>
                <w:rFonts w:hint="default" w:hAnsi="宋体"/>
                <w:color w:val="000000"/>
                <w:sz w:val="24"/>
              </w:rPr>
              <w:t>的相关规定。</w:t>
            </w:r>
          </w:p>
          <w:p>
            <w:pPr>
              <w:keepNext w:val="0"/>
              <w:keepLines w:val="0"/>
              <w:suppressLineNumbers w:val="0"/>
              <w:spacing w:before="0" w:beforeAutospacing="0" w:after="0" w:afterAutospacing="0" w:line="440" w:lineRule="exact"/>
              <w:ind w:left="0" w:right="0" w:firstLine="482" w:firstLineChars="200"/>
              <w:rPr>
                <w:rFonts w:hint="default" w:hAnsi="宋体"/>
                <w:b/>
                <w:color w:val="000000"/>
                <w:kern w:val="0"/>
                <w:sz w:val="24"/>
              </w:rPr>
            </w:pPr>
            <w:r>
              <w:rPr>
                <w:rFonts w:hint="eastAsia"/>
                <w:b/>
                <w:color w:val="000000"/>
                <w:kern w:val="0"/>
                <w:sz w:val="24"/>
              </w:rPr>
              <w:t>5</w:t>
            </w:r>
            <w:r>
              <w:rPr>
                <w:rFonts w:hint="default" w:hAnsi="宋体"/>
                <w:b/>
                <w:color w:val="000000"/>
                <w:kern w:val="0"/>
                <w:sz w:val="24"/>
              </w:rPr>
              <w:t>、本项目与</w:t>
            </w:r>
            <w:r>
              <w:rPr>
                <w:rFonts w:hint="eastAsia" w:hAnsi="宋体"/>
                <w:b/>
                <w:color w:val="000000"/>
                <w:kern w:val="0"/>
                <w:sz w:val="24"/>
              </w:rPr>
              <w:t>《</w:t>
            </w:r>
            <w:r>
              <w:rPr>
                <w:rFonts w:hint="eastAsia" w:hAnsi="宋体"/>
                <w:b/>
                <w:kern w:val="0"/>
                <w:sz w:val="24"/>
                <w:lang w:val="pt-BR"/>
              </w:rPr>
              <w:t>关于印发河南省2021年工业企业大气污染物全面达标提升行动方案的通知</w:t>
            </w:r>
            <w:r>
              <w:rPr>
                <w:rFonts w:hint="eastAsia" w:hAnsi="宋体"/>
                <w:b/>
                <w:kern w:val="0"/>
                <w:sz w:val="24"/>
              </w:rPr>
              <w:t>》（</w:t>
            </w:r>
            <w:r>
              <w:rPr>
                <w:rFonts w:hint="eastAsia" w:hAnsi="宋体"/>
                <w:b/>
                <w:color w:val="000000"/>
                <w:kern w:val="0"/>
                <w:sz w:val="24"/>
                <w:lang w:val="pt-BR"/>
              </w:rPr>
              <w:t>豫环文[2021]59号</w:t>
            </w:r>
            <w:r>
              <w:rPr>
                <w:rFonts w:hint="eastAsia" w:hAnsi="宋体"/>
                <w:b/>
                <w:color w:val="000000"/>
                <w:kern w:val="0"/>
                <w:sz w:val="24"/>
              </w:rPr>
              <w:t>）的对照分析</w:t>
            </w:r>
          </w:p>
          <w:p>
            <w:pPr>
              <w:pStyle w:val="53"/>
              <w:keepNext w:val="0"/>
              <w:keepLines w:val="0"/>
              <w:suppressLineNumbers w:val="0"/>
              <w:spacing w:before="0" w:beforeAutospacing="0" w:after="0" w:afterAutospacing="0" w:line="440" w:lineRule="exact"/>
              <w:ind w:left="0" w:right="0" w:firstLine="0"/>
              <w:jc w:val="center"/>
              <w:rPr>
                <w:rFonts w:hint="default" w:hAnsi="宋体" w:cs="Times New Roman"/>
                <w:b/>
                <w:bCs/>
                <w:color w:val="000000"/>
                <w:sz w:val="24"/>
                <w:szCs w:val="24"/>
              </w:rPr>
            </w:pPr>
            <w:r>
              <w:rPr>
                <w:rFonts w:hint="default" w:hAnsi="宋体" w:cs="Times New Roman"/>
                <w:b/>
                <w:bCs/>
                <w:color w:val="000000"/>
                <w:sz w:val="24"/>
                <w:szCs w:val="24"/>
              </w:rPr>
              <w:t>表</w:t>
            </w:r>
            <w:r>
              <w:rPr>
                <w:rFonts w:hint="eastAsia" w:hAnsi="宋体" w:cs="Times New Roman"/>
                <w:b/>
                <w:bCs/>
                <w:color w:val="000000"/>
                <w:sz w:val="24"/>
                <w:szCs w:val="24"/>
                <w:lang w:val="en-US" w:eastAsia="zh-CN"/>
              </w:rPr>
              <w:t xml:space="preserve">8  </w:t>
            </w:r>
            <w:r>
              <w:rPr>
                <w:rFonts w:hint="default" w:hAnsi="宋体" w:cs="Times New Roman"/>
                <w:b/>
                <w:bCs/>
                <w:color w:val="000000"/>
                <w:sz w:val="24"/>
                <w:szCs w:val="24"/>
              </w:rPr>
              <w:t>与豫环文[2021]59号文的对比分析一览表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5142"/>
              <w:gridCol w:w="1571"/>
              <w:gridCol w:w="11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5" w:type="dxa"/>
                  <w:gridSpan w:val="2"/>
                  <w:tcBorders>
                    <w:top w:val="single" w:color="auto" w:sz="8" w:space="0"/>
                    <w:left w:val="nil"/>
                    <w:bottom w:val="single" w:color="auto" w:sz="8" w:space="0"/>
                    <w:right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《实施方案》中与本项目有关的内容</w:t>
                  </w:r>
                </w:p>
              </w:tc>
              <w:tc>
                <w:tcPr>
                  <w:tcW w:w="1276" w:type="dxa"/>
                  <w:tcBorders>
                    <w:top w:val="single" w:color="auto" w:sz="8" w:space="0"/>
                    <w:left w:val="single" w:color="auto" w:sz="8" w:space="0"/>
                    <w:bottom w:val="single" w:color="auto" w:sz="8" w:space="0"/>
                    <w:right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本项目情况</w:t>
                  </w:r>
                </w:p>
              </w:tc>
              <w:tc>
                <w:tcPr>
                  <w:tcW w:w="911" w:type="dxa"/>
                  <w:tcBorders>
                    <w:top w:val="single" w:color="auto" w:sz="8" w:space="0"/>
                    <w:left w:val="single" w:color="auto" w:sz="8" w:space="0"/>
                    <w:bottom w:val="single" w:color="auto" w:sz="8"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tcBorders>
                    <w:top w:val="single" w:color="auto" w:sz="8" w:space="0"/>
                    <w:left w:val="nil"/>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（一）有组织排放</w:t>
                  </w:r>
                </w:p>
              </w:tc>
              <w:tc>
                <w:tcPr>
                  <w:tcW w:w="4178" w:type="dxa"/>
                  <w:tcBorders>
                    <w:top w:val="single" w:color="auto" w:sz="8"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sz w:val="21"/>
                      <w:szCs w:val="21"/>
                    </w:rPr>
                  </w:pPr>
                  <w:r>
                    <w:rPr>
                      <w:rFonts w:hint="default" w:ascii="Times New Roman" w:hAnsi="宋体" w:cs="Times New Roman"/>
                      <w:sz w:val="21"/>
                      <w:szCs w:val="21"/>
                    </w:rPr>
                    <w:t>钢铁、水泥、火电、焦化、铝工业、黄金冶炼、印刷企业及涉及工业涂装工序企业大气污染物排放全面实现河南省地方污染物排放标准限值要求；有色金属冶炼及压延、玻璃、耐火材料、铸造、陶瓷、碳素、石灰等行业全面实现河南省《工业炉窑大气污染物排放标准》（</w:t>
                  </w:r>
                  <w:r>
                    <w:rPr>
                      <w:rFonts w:hint="default" w:ascii="Times New Roman" w:hAnsi="Times New Roman" w:cs="Times New Roman"/>
                      <w:sz w:val="21"/>
                      <w:szCs w:val="21"/>
                    </w:rPr>
                    <w:t>DB41/1066—2020</w:t>
                  </w:r>
                  <w:r>
                    <w:rPr>
                      <w:rFonts w:hint="default" w:ascii="Times New Roman" w:hAnsi="宋体" w:cs="Times New Roman"/>
                      <w:sz w:val="21"/>
                      <w:szCs w:val="21"/>
                    </w:rPr>
                    <w:t>）排放限值要求；农药生产企业，制药企业，涂料、油墨及胶粘剂生产企业，无机化学制造企业，砖瓦工业企业大气污染物排放全面实现国家污染物排放标准及修改单要求（有特别限值的应执行特别限值要求）。</w:t>
                  </w:r>
                </w:p>
              </w:tc>
              <w:tc>
                <w:tcPr>
                  <w:tcW w:w="1276" w:type="dxa"/>
                  <w:tcBorders>
                    <w:top w:val="single" w:color="auto" w:sz="8"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sz w:val="21"/>
                      <w:szCs w:val="21"/>
                    </w:rPr>
                  </w:pPr>
                  <w:r>
                    <w:rPr>
                      <w:rFonts w:hint="default" w:ascii="Times New Roman" w:hAnsi="宋体" w:cs="Times New Roman"/>
                      <w:sz w:val="21"/>
                      <w:szCs w:val="21"/>
                    </w:rPr>
                    <w:t>本项目属于</w:t>
                  </w:r>
                  <w:r>
                    <w:rPr>
                      <w:rFonts w:hint="eastAsia" w:ascii="Times New Roman" w:hAnsi="宋体" w:cs="Times New Roman"/>
                      <w:sz w:val="21"/>
                      <w:szCs w:val="21"/>
                      <w:highlight w:val="none"/>
                      <w:lang w:val="en-US" w:eastAsia="zh-CN"/>
                    </w:rPr>
                    <w:t>塑料制品业</w:t>
                  </w:r>
                  <w:r>
                    <w:rPr>
                      <w:rFonts w:hint="default" w:ascii="Times New Roman" w:hAnsi="宋体" w:cs="Times New Roman"/>
                      <w:sz w:val="21"/>
                      <w:szCs w:val="21"/>
                      <w:highlight w:val="none"/>
                    </w:rPr>
                    <w:t>，生产过程</w:t>
                  </w:r>
                  <w:r>
                    <w:rPr>
                      <w:rFonts w:hint="default" w:ascii="Times New Roman" w:hAnsi="宋体" w:cs="Times New Roman"/>
                      <w:sz w:val="21"/>
                      <w:szCs w:val="21"/>
                    </w:rPr>
                    <w:t>中不涉及锅炉和</w:t>
                  </w:r>
                  <w:r>
                    <w:rPr>
                      <w:rFonts w:hint="eastAsia" w:ascii="Times New Roman" w:hAnsi="宋体" w:cs="Times New Roman"/>
                      <w:sz w:val="21"/>
                      <w:szCs w:val="21"/>
                    </w:rPr>
                    <w:t>工业</w:t>
                  </w:r>
                  <w:r>
                    <w:rPr>
                      <w:rFonts w:hint="default" w:ascii="Times New Roman" w:hAnsi="宋体" w:cs="Times New Roman"/>
                      <w:sz w:val="21"/>
                      <w:szCs w:val="21"/>
                    </w:rPr>
                    <w:t>窑炉。</w:t>
                  </w:r>
                </w:p>
              </w:tc>
              <w:tc>
                <w:tcPr>
                  <w:tcW w:w="911" w:type="dxa"/>
                  <w:tcBorders>
                    <w:top w:val="single" w:color="auto" w:sz="8" w:space="0"/>
                    <w:left w:val="single" w:color="auto" w:sz="4" w:space="0"/>
                    <w:bottom w:val="single" w:color="auto" w:sz="4"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sz w:val="21"/>
                      <w:szCs w:val="21"/>
                    </w:rPr>
                  </w:pPr>
                  <w:r>
                    <w:rPr>
                      <w:rFonts w:hint="default" w:ascii="Times New Roman" w:hAnsi="宋体" w:cs="Times New Roman"/>
                      <w:sz w:val="21"/>
                      <w:szCs w:val="21"/>
                    </w:rPr>
                    <w:t>不涉及</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nil"/>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（二）无组织排放</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default" w:ascii="Times New Roman" w:hAnsi="宋体" w:cs="Times New Roman"/>
                      <w:color w:val="000000"/>
                      <w:sz w:val="21"/>
                      <w:szCs w:val="21"/>
                    </w:rPr>
                    <w:t>无组织排放治理应达到大气污染防治攻坚治理措施要求，针对原料运输、贮存、装卸、混合、转运、加装、工艺过程、产品出料、包装等各个生产环节，持续做好全流程控制、收集、净化处理工作，完善在线监测、视频监控和相应的污染物排放监测设备，全面实现</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五到位、一密闭</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生产过程收尘到位，物料运输抑尘到位，厂区道路除尘到位，裸露土地绿化到位，无组织排放监控到位；厂区内贮存的各类易产生粉尘的物料及燃料全部密闭）；涉及挥发性有机物无组织排放的企业挥发性有机物无组织排放应满足《挥发性有机物无组织排放控制标准》（</w:t>
                  </w:r>
                  <w:r>
                    <w:rPr>
                      <w:rFonts w:hint="default" w:ascii="Times New Roman" w:hAnsi="Times New Roman" w:cs="Times New Roman"/>
                      <w:color w:val="000000"/>
                      <w:sz w:val="21"/>
                      <w:szCs w:val="21"/>
                    </w:rPr>
                    <w:t>GB37822—2019</w:t>
                  </w:r>
                  <w:r>
                    <w:rPr>
                      <w:rFonts w:hint="default" w:ascii="Times New Roman" w:hAnsi="宋体" w:cs="Times New Roman"/>
                      <w:color w:val="000000"/>
                      <w:sz w:val="21"/>
                      <w:szCs w:val="21"/>
                    </w:rPr>
                    <w:t>）要求。</w:t>
                  </w:r>
                </w:p>
              </w:tc>
              <w:tc>
                <w:tcPr>
                  <w:tcW w:w="1276" w:type="dxa"/>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bCs/>
                      <w:color w:val="000000"/>
                      <w:sz w:val="21"/>
                      <w:szCs w:val="21"/>
                    </w:rPr>
                    <w:t>本项目</w:t>
                  </w:r>
                  <w:r>
                    <w:rPr>
                      <w:rFonts w:hint="eastAsia" w:ascii="Times New Roman" w:hAnsi="宋体" w:cs="Times New Roman"/>
                      <w:bCs/>
                      <w:color w:val="000000"/>
                      <w:sz w:val="21"/>
                      <w:szCs w:val="21"/>
                    </w:rPr>
                    <w:t>生产均在密闭车间内进行。生产过程中做到“五到位、一密闭”。</w:t>
                  </w:r>
                </w:p>
              </w:tc>
              <w:tc>
                <w:tcPr>
                  <w:tcW w:w="911" w:type="dxa"/>
                  <w:tcBorders>
                    <w:top w:val="single" w:color="auto" w:sz="4" w:space="0"/>
                    <w:left w:val="single" w:color="auto" w:sz="4" w:space="0"/>
                    <w:bottom w:val="single" w:color="auto" w:sz="4"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nil"/>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w:t>
                  </w:r>
                  <w:r>
                    <w:rPr>
                      <w:rFonts w:hint="eastAsia" w:ascii="Times New Roman" w:hAnsi="宋体" w:cs="Times New Roman"/>
                      <w:color w:val="000000"/>
                      <w:sz w:val="21"/>
                      <w:szCs w:val="21"/>
                      <w:lang w:val="en-US" w:eastAsia="zh-CN"/>
                    </w:rPr>
                    <w:t>三</w:t>
                  </w:r>
                  <w:r>
                    <w:rPr>
                      <w:rFonts w:hint="default" w:ascii="Times New Roman" w:hAnsi="宋体" w:cs="Times New Roman"/>
                      <w:color w:val="000000"/>
                      <w:sz w:val="21"/>
                      <w:szCs w:val="21"/>
                    </w:rPr>
                    <w:t>）大力提升有组织排放治理水平</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cs="Times New Roman"/>
                      <w:color w:val="000000"/>
                      <w:sz w:val="21"/>
                      <w:szCs w:val="21"/>
                    </w:rPr>
                  </w:pPr>
                  <w:r>
                    <w:rPr>
                      <w:rFonts w:hint="default" w:ascii="Times New Roman" w:hAnsi="宋体" w:cs="Times New Roman"/>
                      <w:color w:val="000000"/>
                      <w:sz w:val="21"/>
                      <w:szCs w:val="21"/>
                    </w:rPr>
                    <w:t>各省辖市（含济源示范区，下同）生态环境局督促相关企业因厂制宜选择成熟可靠的环保治理技术，鼓励采用覆膜滤料袋式除尘器、湿式静电除尘器、高效滤筒除尘器等除尘设施；烟气脱硫应实施增容提效改造等措施，提高运行稳定性，取消烟气旁路；烟气脱硝采用活性炭（焦）、选择性催化还原（</w:t>
                  </w:r>
                  <w:r>
                    <w:rPr>
                      <w:rFonts w:hint="default" w:ascii="Times New Roman" w:hAnsi="Times New Roman" w:cs="Times New Roman"/>
                      <w:color w:val="000000"/>
                      <w:sz w:val="21"/>
                      <w:szCs w:val="21"/>
                    </w:rPr>
                    <w:t>SCR</w:t>
                  </w:r>
                  <w:r>
                    <w:rPr>
                      <w:rFonts w:hint="default" w:ascii="Times New Roman" w:hAnsi="宋体" w:cs="Times New Roman"/>
                      <w:color w:val="000000"/>
                      <w:sz w:val="21"/>
                      <w:szCs w:val="21"/>
                    </w:rPr>
                    <w:t>）等高效脱硝技术；工业锅炉、工业窑炉应采用低氮燃烧技术；排放挥发性有机物的企业应根据挥发性有机物组分及浓度、生产工况等，合理选择治理技术，除采用浓缩</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焚烧（催化燃烧）工艺外，禁止采用单一低温等离子、光催化、光氧化、喷淋吸附等治理技术。采用活性炭吸附技术的，应选择碘值不低于</w:t>
                  </w:r>
                  <w:r>
                    <w:rPr>
                      <w:rFonts w:hint="default" w:ascii="Times New Roman" w:hAnsi="Times New Roman" w:cs="Times New Roman"/>
                      <w:color w:val="000000"/>
                      <w:sz w:val="21"/>
                      <w:szCs w:val="21"/>
                    </w:rPr>
                    <w:t>800</w:t>
                  </w:r>
                  <w:r>
                    <w:rPr>
                      <w:rFonts w:hint="default" w:ascii="Times New Roman" w:hAnsi="宋体" w:cs="Times New Roman"/>
                      <w:color w:val="000000"/>
                      <w:sz w:val="21"/>
                      <w:szCs w:val="21"/>
                    </w:rPr>
                    <w:t>毫克</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克的活性炭，并按设计要求足量添加、及时更换，并做好活性炭购买、更换、废活性炭暂存转运记录。普遍采用活性炭吸附有机废气的园区应当建设统一的脱附、再生处理中心，涂装类园区应当统筹规划建设集中涂装中心。</w:t>
                  </w:r>
                </w:p>
              </w:tc>
              <w:tc>
                <w:tcPr>
                  <w:tcW w:w="1276" w:type="dxa"/>
                  <w:vMerge w:val="restart"/>
                  <w:tcBorders>
                    <w:top w:val="single" w:color="auto" w:sz="4" w:space="0"/>
                    <w:left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bCs/>
                      <w:color w:val="auto"/>
                      <w:sz w:val="21"/>
                      <w:szCs w:val="21"/>
                    </w:rPr>
                    <w:t>本项目</w:t>
                  </w:r>
                  <w:r>
                    <w:rPr>
                      <w:rFonts w:hint="eastAsia" w:ascii="Times New Roman" w:hAnsi="宋体" w:cs="Times New Roman"/>
                      <w:bCs/>
                      <w:color w:val="auto"/>
                      <w:sz w:val="21"/>
                      <w:szCs w:val="21"/>
                    </w:rPr>
                    <w:t>生产在密闭车间内进行，</w:t>
                  </w:r>
                  <w:r>
                    <w:rPr>
                      <w:rFonts w:hint="eastAsia" w:ascii="Times New Roman" w:hAnsi="宋体" w:cs="Times New Roman"/>
                      <w:bCs/>
                      <w:color w:val="auto"/>
                      <w:sz w:val="21"/>
                      <w:szCs w:val="21"/>
                      <w:highlight w:val="none"/>
                    </w:rPr>
                    <w:t>生产过程中</w:t>
                  </w:r>
                  <w:r>
                    <w:rPr>
                      <w:rFonts w:hint="eastAsia" w:ascii="Times New Roman" w:hAnsi="宋体" w:cs="Times New Roman"/>
                      <w:bCs/>
                      <w:color w:val="auto"/>
                      <w:sz w:val="21"/>
                      <w:szCs w:val="21"/>
                      <w:highlight w:val="none"/>
                      <w:lang w:val="en-US" w:eastAsia="zh-CN"/>
                    </w:rPr>
                    <w:t>有机废气</w:t>
                  </w:r>
                  <w:r>
                    <w:rPr>
                      <w:rFonts w:hint="eastAsia" w:ascii="宋体" w:hAnsi="宋体"/>
                      <w:color w:val="auto"/>
                      <w:sz w:val="21"/>
                      <w:szCs w:val="21"/>
                    </w:rPr>
                    <w:t>通过密闭负压管道收集后</w:t>
                  </w:r>
                  <w:r>
                    <w:rPr>
                      <w:rFonts w:hint="eastAsia" w:ascii="Times New Roman" w:hAnsi="宋体" w:cs="Times New Roman"/>
                      <w:bCs/>
                      <w:color w:val="auto"/>
                      <w:sz w:val="21"/>
                      <w:szCs w:val="21"/>
                      <w:highlight w:val="none"/>
                      <w:lang w:val="en-US" w:eastAsia="zh-CN"/>
                    </w:rPr>
                    <w:t>经</w:t>
                  </w:r>
                  <w:r>
                    <w:rPr>
                      <w:rFonts w:hint="eastAsia" w:ascii="Times New Roman" w:hAnsi="宋体" w:cs="Times New Roman"/>
                      <w:bCs/>
                      <w:color w:val="auto"/>
                      <w:sz w:val="21"/>
                      <w:szCs w:val="21"/>
                      <w:highlight w:val="none"/>
                    </w:rPr>
                    <w:t>活性炭吸附脱附</w:t>
                  </w:r>
                  <w:r>
                    <w:rPr>
                      <w:rFonts w:hint="eastAsia" w:ascii="Times New Roman" w:hAnsi="宋体" w:cs="Times New Roman"/>
                      <w:bCs/>
                      <w:color w:val="auto"/>
                      <w:sz w:val="21"/>
                      <w:szCs w:val="21"/>
                      <w:highlight w:val="none"/>
                      <w:lang w:val="en-US" w:eastAsia="zh-CN"/>
                    </w:rPr>
                    <w:t>+</w:t>
                  </w:r>
                  <w:r>
                    <w:rPr>
                      <w:rFonts w:hint="eastAsia" w:ascii="Times New Roman" w:hAnsi="宋体" w:cs="Times New Roman"/>
                      <w:bCs/>
                      <w:color w:val="auto"/>
                      <w:sz w:val="21"/>
                      <w:szCs w:val="21"/>
                      <w:highlight w:val="none"/>
                    </w:rPr>
                    <w:t>催化燃烧装置处理</w:t>
                  </w:r>
                  <w:r>
                    <w:rPr>
                      <w:rFonts w:hint="eastAsia" w:ascii="Times New Roman" w:hAnsi="宋体" w:cs="Times New Roman"/>
                      <w:bCs/>
                      <w:color w:val="auto"/>
                      <w:sz w:val="21"/>
                      <w:szCs w:val="21"/>
                      <w:lang w:val="en-US" w:eastAsia="zh-CN"/>
                    </w:rPr>
                    <w:t>，</w:t>
                  </w:r>
                  <w:r>
                    <w:rPr>
                      <w:rFonts w:hint="eastAsia" w:ascii="Times New Roman" w:hAnsi="宋体" w:cs="Times New Roman"/>
                      <w:bCs/>
                      <w:color w:val="auto"/>
                      <w:sz w:val="21"/>
                      <w:szCs w:val="21"/>
                    </w:rPr>
                    <w:t>尾</w:t>
                  </w:r>
                  <w:r>
                    <w:rPr>
                      <w:rFonts w:hint="eastAsia" w:ascii="Times New Roman" w:hAnsi="宋体" w:cs="Times New Roman"/>
                      <w:bCs/>
                      <w:color w:val="auto"/>
                      <w:sz w:val="21"/>
                      <w:szCs w:val="21"/>
                      <w:lang w:val="en-US" w:eastAsia="zh-CN"/>
                    </w:rPr>
                    <w:t>气</w:t>
                  </w:r>
                  <w:r>
                    <w:rPr>
                      <w:rFonts w:hint="eastAsia" w:ascii="Times New Roman" w:hAnsi="宋体" w:cs="Times New Roman"/>
                      <w:bCs/>
                      <w:color w:val="auto"/>
                      <w:sz w:val="21"/>
                      <w:szCs w:val="21"/>
                    </w:rPr>
                    <w:t>由15m排气筒进行排放</w:t>
                  </w:r>
                </w:p>
              </w:tc>
              <w:tc>
                <w:tcPr>
                  <w:tcW w:w="911" w:type="dxa"/>
                  <w:tcBorders>
                    <w:top w:val="single" w:color="auto" w:sz="4" w:space="0"/>
                    <w:left w:val="single" w:color="auto" w:sz="4" w:space="0"/>
                    <w:bottom w:val="single" w:color="auto" w:sz="4"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nil"/>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w:t>
                  </w:r>
                  <w:r>
                    <w:rPr>
                      <w:rFonts w:hint="eastAsia" w:ascii="Times New Roman" w:hAnsi="宋体" w:cs="Times New Roman"/>
                      <w:color w:val="000000"/>
                      <w:sz w:val="21"/>
                      <w:szCs w:val="21"/>
                      <w:lang w:val="en-US" w:eastAsia="zh-CN"/>
                    </w:rPr>
                    <w:t>四</w:t>
                  </w:r>
                  <w:r>
                    <w:rPr>
                      <w:rFonts w:hint="default" w:ascii="Times New Roman" w:hAnsi="宋体" w:cs="Times New Roman"/>
                      <w:color w:val="000000"/>
                      <w:sz w:val="21"/>
                      <w:szCs w:val="21"/>
                    </w:rPr>
                    <w:t>）强力推进无组织排放治理效果</w:t>
                  </w:r>
                </w:p>
              </w:tc>
              <w:tc>
                <w:tcPr>
                  <w:tcW w:w="4178" w:type="dxa"/>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default" w:ascii="Times New Roman" w:hAnsi="宋体" w:cs="Times New Roman"/>
                      <w:color w:val="000000"/>
                      <w:sz w:val="21"/>
                      <w:szCs w:val="21"/>
                    </w:rPr>
                    <w:t>各省辖市生态环境局督促相关企业认真组织企业进行自查，建立无组织排放问题清单，加强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p>
              </w:tc>
              <w:tc>
                <w:tcPr>
                  <w:tcW w:w="1276" w:type="dxa"/>
                  <w:vMerge w:val="continue"/>
                  <w:tcBorders>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p>
              </w:tc>
              <w:tc>
                <w:tcPr>
                  <w:tcW w:w="911" w:type="dxa"/>
                  <w:tcBorders>
                    <w:top w:val="single" w:color="auto" w:sz="4" w:space="0"/>
                    <w:left w:val="single" w:color="auto" w:sz="4" w:space="0"/>
                    <w:bottom w:val="single" w:color="auto" w:sz="4"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tcBorders>
                    <w:top w:val="single" w:color="auto" w:sz="4" w:space="0"/>
                    <w:left w:val="nil"/>
                    <w:bottom w:val="single" w:color="auto" w:sz="8"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w:t>
                  </w:r>
                  <w:r>
                    <w:rPr>
                      <w:rFonts w:hint="eastAsia" w:ascii="Times New Roman" w:hAnsi="宋体" w:cs="Times New Roman"/>
                      <w:color w:val="000000"/>
                      <w:sz w:val="21"/>
                      <w:szCs w:val="21"/>
                      <w:lang w:val="en-US" w:eastAsia="zh-CN"/>
                    </w:rPr>
                    <w:t>五</w:t>
                  </w:r>
                  <w:r>
                    <w:rPr>
                      <w:rFonts w:hint="default" w:ascii="Times New Roman" w:hAnsi="宋体" w:cs="Times New Roman"/>
                      <w:color w:val="000000"/>
                      <w:sz w:val="21"/>
                      <w:szCs w:val="21"/>
                    </w:rPr>
                    <w:t>）认真贯彻落实排污许可管理条例</w:t>
                  </w:r>
                </w:p>
              </w:tc>
              <w:tc>
                <w:tcPr>
                  <w:tcW w:w="4178" w:type="dxa"/>
                  <w:tcBorders>
                    <w:top w:val="single" w:color="auto" w:sz="4" w:space="0"/>
                    <w:left w:val="single" w:color="auto" w:sz="4" w:space="0"/>
                    <w:bottom w:val="single" w:color="auto" w:sz="8"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default" w:ascii="Times New Roman" w:hAnsi="宋体" w:cs="Times New Roman"/>
                      <w:color w:val="000000"/>
                      <w:sz w:val="21"/>
                      <w:szCs w:val="21"/>
                    </w:rPr>
                    <w:t>各省辖市生态环境局督促各排污单位严格落实《排污许可管理条例》要求，规范排污单位自行监测、台账记录、执行报告。加大排污许可证后监管执法力度，严厉查处、依法打击、公开曝光无证排污和不按证排污等违法行为，倒逼排污单位落实主体责任，切实做到持证排污、按证排污。严格落实</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谁核发、谁监管</w:t>
                  </w:r>
                  <w:r>
                    <w:rPr>
                      <w:rFonts w:hint="default" w:ascii="Times New Roman" w:hAnsi="Times New Roman" w:cs="Times New Roman"/>
                      <w:color w:val="000000"/>
                      <w:sz w:val="21"/>
                      <w:szCs w:val="21"/>
                    </w:rPr>
                    <w:t>”</w:t>
                  </w:r>
                  <w:r>
                    <w:rPr>
                      <w:rFonts w:hint="default" w:ascii="Times New Roman" w:hAnsi="宋体" w:cs="Times New Roman"/>
                      <w:color w:val="000000"/>
                      <w:sz w:val="21"/>
                      <w:szCs w:val="21"/>
                    </w:rPr>
                    <w:t>原则，统筹做好发证和执法监管工作，确保实现固定污染源持证排污动态全覆盖。</w:t>
                  </w:r>
                </w:p>
              </w:tc>
              <w:tc>
                <w:tcPr>
                  <w:tcW w:w="1276" w:type="dxa"/>
                  <w:tcBorders>
                    <w:top w:val="single" w:color="auto" w:sz="4" w:space="0"/>
                    <w:left w:val="single" w:color="auto" w:sz="4" w:space="0"/>
                    <w:bottom w:val="single" w:color="auto" w:sz="8"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000000"/>
                      <w:sz w:val="21"/>
                      <w:szCs w:val="21"/>
                    </w:rPr>
                    <w:t>本项目主要为生活污水，收集后</w:t>
                  </w:r>
                  <w:r>
                    <w:rPr>
                      <w:rFonts w:hint="eastAsia" w:ascii="Times New Roman" w:hAnsi="宋体" w:cs="Times New Roman"/>
                      <w:color w:val="000000"/>
                      <w:sz w:val="21"/>
                      <w:szCs w:val="21"/>
                      <w:lang w:val="en-US" w:eastAsia="zh-CN"/>
                    </w:rPr>
                    <w:t>经化粪池处理后</w:t>
                  </w:r>
                  <w:r>
                    <w:rPr>
                      <w:rFonts w:hint="eastAsia" w:cs="Times New Roman"/>
                      <w:b w:val="0"/>
                      <w:bCs/>
                      <w:color w:val="auto"/>
                      <w:sz w:val="21"/>
                      <w:szCs w:val="21"/>
                      <w:lang w:val="en-US" w:eastAsia="zh-CN"/>
                    </w:rPr>
                    <w:t>通过污水管网排入新乡县综合污水处理厂进一步处理</w:t>
                  </w:r>
                </w:p>
              </w:tc>
              <w:tc>
                <w:tcPr>
                  <w:tcW w:w="911" w:type="dxa"/>
                  <w:tcBorders>
                    <w:top w:val="single" w:color="auto" w:sz="4" w:space="0"/>
                    <w:left w:val="single" w:color="auto" w:sz="4" w:space="0"/>
                    <w:bottom w:val="single" w:color="auto" w:sz="8" w:space="0"/>
                    <w:right w:val="nil"/>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eastAsia" w:ascii="Times New Roman" w:hAnsi="Times New Roman" w:eastAsia="宋体" w:cs="Times New Roman"/>
                      <w:color w:val="000000"/>
                      <w:sz w:val="21"/>
                      <w:szCs w:val="21"/>
                      <w:lang w:val="en-US" w:eastAsia="zh-CN"/>
                    </w:rPr>
                    <w:t>相符</w:t>
                  </w:r>
                </w:p>
              </w:tc>
            </w:tr>
          </w:tbl>
          <w:p>
            <w:pPr>
              <w:pStyle w:val="53"/>
              <w:keepNext w:val="0"/>
              <w:keepLines w:val="0"/>
              <w:suppressLineNumbers w:val="0"/>
              <w:spacing w:before="0" w:beforeAutospacing="0" w:after="0" w:afterAutospacing="0" w:line="440" w:lineRule="exact"/>
              <w:ind w:left="0" w:right="0"/>
              <w:rPr>
                <w:rFonts w:hint="eastAsia" w:ascii="Times New Roman" w:hAnsi="宋体" w:cs="Times New Roman"/>
                <w:color w:val="000000"/>
                <w:sz w:val="24"/>
              </w:rPr>
            </w:pPr>
            <w:r>
              <w:rPr>
                <w:rFonts w:hint="default" w:ascii="Times New Roman" w:hAnsi="宋体" w:cs="Times New Roman"/>
                <w:color w:val="000000"/>
                <w:sz w:val="24"/>
              </w:rPr>
              <w:t>由上表可知，本项目符合</w:t>
            </w:r>
            <w:r>
              <w:rPr>
                <w:rFonts w:hint="default" w:ascii="Times New Roman" w:hAnsi="宋体" w:cs="Times New Roman"/>
                <w:color w:val="000000"/>
                <w:sz w:val="24"/>
                <w:lang w:val="pt-BR"/>
              </w:rPr>
              <w:t>河南省生态环境厅《关于印发河南省</w:t>
            </w:r>
            <w:r>
              <w:rPr>
                <w:rFonts w:hint="default" w:ascii="Times New Roman" w:hAnsi="Times New Roman" w:cs="Times New Roman"/>
                <w:color w:val="000000"/>
                <w:sz w:val="24"/>
                <w:lang w:val="pt-BR"/>
              </w:rPr>
              <w:t>2021</w:t>
            </w:r>
            <w:r>
              <w:rPr>
                <w:rFonts w:hint="default" w:ascii="Times New Roman" w:hAnsi="宋体" w:cs="Times New Roman"/>
                <w:color w:val="000000"/>
                <w:sz w:val="24"/>
                <w:lang w:val="pt-BR"/>
              </w:rPr>
              <w:t>年工业企业大气污染物全面达标提升行动方案的通知》（豫环文</w:t>
            </w:r>
            <w:r>
              <w:rPr>
                <w:rFonts w:hint="default" w:ascii="Times New Roman" w:hAnsi="Times New Roman" w:cs="Times New Roman"/>
                <w:color w:val="000000"/>
                <w:sz w:val="24"/>
                <w:lang w:val="pt-BR"/>
              </w:rPr>
              <w:t>[2021]59</w:t>
            </w:r>
            <w:r>
              <w:rPr>
                <w:rFonts w:hint="default" w:ascii="Times New Roman" w:hAnsi="宋体" w:cs="Times New Roman"/>
                <w:color w:val="000000"/>
                <w:sz w:val="24"/>
                <w:lang w:val="pt-BR"/>
              </w:rPr>
              <w:t>号）</w:t>
            </w:r>
            <w:r>
              <w:rPr>
                <w:rFonts w:hint="default" w:ascii="Times New Roman" w:hAnsi="宋体" w:cs="Times New Roman"/>
                <w:color w:val="000000"/>
                <w:sz w:val="24"/>
              </w:rPr>
              <w:t>的相关规定。</w:t>
            </w:r>
          </w:p>
          <w:p>
            <w:pPr>
              <w:pStyle w:val="53"/>
              <w:keepNext w:val="0"/>
              <w:keepLines w:val="0"/>
              <w:suppressLineNumbers w:val="0"/>
              <w:spacing w:before="0" w:beforeAutospacing="0" w:after="0" w:afterAutospacing="0" w:line="440" w:lineRule="exact"/>
              <w:ind w:left="0" w:right="0" w:firstLine="482" w:firstLineChars="200"/>
              <w:rPr>
                <w:rFonts w:hint="default" w:ascii="Times New Roman" w:hAnsi="宋体" w:cs="Times New Roman"/>
                <w:b/>
                <w:bCs/>
                <w:color w:val="auto"/>
                <w:sz w:val="24"/>
              </w:rPr>
            </w:pPr>
            <w:r>
              <w:rPr>
                <w:rFonts w:hint="eastAsia" w:ascii="Times New Roman" w:hAnsi="Times New Roman" w:cs="Times New Roman"/>
                <w:b/>
                <w:bCs/>
                <w:color w:val="auto"/>
                <w:sz w:val="24"/>
              </w:rPr>
              <w:t>6</w:t>
            </w:r>
            <w:r>
              <w:rPr>
                <w:rFonts w:hint="default" w:ascii="Times New Roman" w:hAnsi="宋体" w:cs="Times New Roman"/>
                <w:b/>
                <w:bCs/>
                <w:color w:val="auto"/>
                <w:sz w:val="24"/>
              </w:rPr>
              <w:t>、本项目与《</w:t>
            </w:r>
            <w:r>
              <w:rPr>
                <w:rFonts w:hint="eastAsia" w:ascii="Times New Roman" w:hAnsi="宋体" w:cs="Times New Roman"/>
                <w:b/>
                <w:bCs/>
                <w:color w:val="auto"/>
                <w:sz w:val="24"/>
              </w:rPr>
              <w:t>河南省重点行业绩效分级指南</w:t>
            </w:r>
            <w:r>
              <w:rPr>
                <w:rFonts w:hint="default" w:ascii="Times New Roman" w:hAnsi="宋体" w:cs="Times New Roman"/>
                <w:b/>
                <w:bCs/>
                <w:color w:val="auto"/>
                <w:sz w:val="24"/>
              </w:rPr>
              <w:t>》</w:t>
            </w:r>
            <w:r>
              <w:rPr>
                <w:rFonts w:hint="eastAsia" w:ascii="Times New Roman" w:hAnsi="宋体" w:cs="Times New Roman"/>
                <w:b/>
                <w:bCs/>
                <w:color w:val="auto"/>
                <w:sz w:val="24"/>
              </w:rPr>
              <w:t>（2021年修订版）</w:t>
            </w:r>
            <w:r>
              <w:rPr>
                <w:rFonts w:hint="default" w:ascii="Times New Roman" w:hAnsi="宋体" w:cs="Times New Roman"/>
                <w:b/>
                <w:bCs/>
                <w:color w:val="auto"/>
                <w:sz w:val="24"/>
              </w:rPr>
              <w:t>对照分析</w:t>
            </w:r>
          </w:p>
          <w:p>
            <w:pPr>
              <w:keepNext w:val="0"/>
              <w:keepLines w:val="0"/>
              <w:suppressLineNumbers w:val="0"/>
              <w:spacing w:before="0" w:beforeAutospacing="0" w:after="0" w:afterAutospacing="0" w:line="440" w:lineRule="exact"/>
              <w:ind w:left="0" w:right="0" w:firstLine="480" w:firstLineChars="200"/>
              <w:rPr>
                <w:rFonts w:hint="default" w:ascii="Times New Roman" w:hAnsi="宋体" w:cs="Times New Roman"/>
                <w:color w:val="auto"/>
                <w:sz w:val="24"/>
                <w:lang w:val="pt-BR"/>
              </w:rPr>
            </w:pPr>
            <w:r>
              <w:rPr>
                <w:rFonts w:hint="default"/>
                <w:color w:val="auto"/>
                <w:sz w:val="24"/>
              </w:rPr>
              <w:t>本项目</w:t>
            </w:r>
            <w:r>
              <w:rPr>
                <w:rFonts w:hint="eastAsia"/>
                <w:color w:val="auto"/>
                <w:sz w:val="24"/>
                <w:lang w:val="en-US" w:eastAsia="zh-CN"/>
              </w:rPr>
              <w:t>以EVA树脂为主要原料，通过加热混合、拉条冷却、切粒、干燥工艺生产环保型书刊胶装机专用树脂颗粒</w:t>
            </w:r>
            <w:r>
              <w:rPr>
                <w:rFonts w:hint="eastAsia" w:hAnsi="宋体"/>
                <w:color w:val="auto"/>
                <w:sz w:val="24"/>
              </w:rPr>
              <w:t>，</w:t>
            </w:r>
            <w:r>
              <w:rPr>
                <w:rFonts w:hint="eastAsia" w:hAnsi="宋体"/>
                <w:color w:val="auto"/>
                <w:sz w:val="24"/>
                <w:lang w:val="en-US" w:eastAsia="zh-CN"/>
              </w:rPr>
              <w:t>属于塑料制品业，</w:t>
            </w:r>
            <w:r>
              <w:rPr>
                <w:rFonts w:hint="eastAsia" w:hAnsi="宋体"/>
                <w:color w:val="auto"/>
                <w:sz w:val="24"/>
              </w:rPr>
              <w:t>不属于国家</w:t>
            </w:r>
            <w:r>
              <w:rPr>
                <w:rFonts w:hint="eastAsia"/>
                <w:color w:val="auto"/>
                <w:sz w:val="24"/>
              </w:rPr>
              <w:t>39</w:t>
            </w:r>
            <w:r>
              <w:rPr>
                <w:rFonts w:hint="eastAsia" w:hAnsi="宋体"/>
                <w:color w:val="auto"/>
                <w:sz w:val="24"/>
              </w:rPr>
              <w:t>个重点行业</w:t>
            </w:r>
            <w:r>
              <w:rPr>
                <w:rFonts w:hint="eastAsia" w:hAnsi="宋体"/>
                <w:color w:val="auto"/>
                <w:sz w:val="24"/>
                <w:lang w:eastAsia="zh-CN"/>
              </w:rPr>
              <w:t>，</w:t>
            </w:r>
            <w:r>
              <w:rPr>
                <w:rFonts w:hint="eastAsia" w:hAnsi="宋体"/>
                <w:color w:val="auto"/>
                <w:sz w:val="24"/>
                <w:lang w:val="en-US" w:eastAsia="zh-CN"/>
              </w:rPr>
              <w:t>属于河南省</w:t>
            </w:r>
            <w:r>
              <w:rPr>
                <w:rFonts w:hint="eastAsia" w:hAnsi="宋体"/>
                <w:color w:val="auto"/>
                <w:sz w:val="24"/>
              </w:rPr>
              <w:t>省级</w:t>
            </w:r>
            <w:r>
              <w:rPr>
                <w:rFonts w:hint="eastAsia"/>
                <w:color w:val="auto"/>
                <w:sz w:val="24"/>
              </w:rPr>
              <w:t>12</w:t>
            </w:r>
            <w:r>
              <w:rPr>
                <w:rFonts w:hint="eastAsia" w:hAnsi="宋体"/>
                <w:color w:val="auto"/>
                <w:sz w:val="24"/>
              </w:rPr>
              <w:t>个重点行业项目</w:t>
            </w:r>
            <w:r>
              <w:rPr>
                <w:rFonts w:hint="eastAsia" w:hAnsi="宋体"/>
                <w:color w:val="auto"/>
                <w:sz w:val="24"/>
                <w:lang w:val="en-US" w:eastAsia="zh-CN"/>
              </w:rPr>
              <w:t>塑料制品A级企业</w:t>
            </w:r>
            <w:r>
              <w:rPr>
                <w:rFonts w:hint="eastAsia" w:hAnsi="宋体"/>
                <w:color w:val="auto"/>
                <w:sz w:val="24"/>
              </w:rPr>
              <w:t>。故本项目应按照</w:t>
            </w:r>
            <w:r>
              <w:rPr>
                <w:rFonts w:hint="default" w:ascii="Times New Roman" w:hAnsi="宋体" w:cs="Times New Roman"/>
                <w:bCs/>
                <w:color w:val="auto"/>
                <w:sz w:val="24"/>
              </w:rPr>
              <w:t>《</w:t>
            </w:r>
            <w:r>
              <w:rPr>
                <w:rFonts w:hint="eastAsia" w:ascii="Times New Roman" w:hAnsi="宋体" w:cs="Times New Roman"/>
                <w:bCs/>
                <w:color w:val="auto"/>
                <w:sz w:val="24"/>
                <w:lang w:val="en-US" w:eastAsia="zh-CN"/>
              </w:rPr>
              <w:t>河南省重点行业绩效分级指南</w:t>
            </w:r>
            <w:r>
              <w:rPr>
                <w:rFonts w:hint="default" w:ascii="Times New Roman" w:hAnsi="宋体" w:cs="Times New Roman"/>
                <w:bCs/>
                <w:color w:val="auto"/>
                <w:sz w:val="24"/>
              </w:rPr>
              <w:t>》</w:t>
            </w:r>
            <w:r>
              <w:rPr>
                <w:rFonts w:hint="eastAsia" w:ascii="Times New Roman" w:hAnsi="宋体" w:cs="Times New Roman"/>
                <w:bCs/>
                <w:color w:val="auto"/>
                <w:sz w:val="24"/>
              </w:rPr>
              <w:t>（2021年修订版）</w:t>
            </w:r>
            <w:r>
              <w:rPr>
                <w:rFonts w:hint="eastAsia" w:hAnsi="宋体" w:cs="Times New Roman"/>
                <w:bCs/>
                <w:color w:val="auto"/>
                <w:sz w:val="24"/>
                <w:lang w:val="en-US" w:eastAsia="zh-CN"/>
              </w:rPr>
              <w:t>进行评价</w:t>
            </w:r>
            <w:r>
              <w:rPr>
                <w:rFonts w:hint="eastAsia" w:ascii="Times New Roman" w:hAnsi="宋体" w:cs="Times New Roman"/>
                <w:bCs/>
                <w:color w:val="auto"/>
                <w:sz w:val="24"/>
              </w:rPr>
              <w:t>，</w:t>
            </w:r>
            <w:r>
              <w:rPr>
                <w:rFonts w:hint="default" w:ascii="Times New Roman" w:hAnsi="宋体" w:cs="Times New Roman"/>
                <w:color w:val="auto"/>
                <w:sz w:val="24"/>
                <w:lang w:val="pt-BR"/>
              </w:rPr>
              <w:t>本项目与</w:t>
            </w:r>
            <w:r>
              <w:rPr>
                <w:rFonts w:hint="default" w:ascii="Times New Roman" w:hAnsi="宋体" w:cs="Times New Roman"/>
                <w:bCs/>
                <w:color w:val="auto"/>
                <w:sz w:val="24"/>
              </w:rPr>
              <w:t>《</w:t>
            </w:r>
            <w:r>
              <w:rPr>
                <w:rFonts w:hint="eastAsia" w:ascii="Times New Roman" w:hAnsi="宋体" w:cs="Times New Roman"/>
                <w:bCs/>
                <w:color w:val="auto"/>
                <w:sz w:val="24"/>
                <w:lang w:val="en-US" w:eastAsia="zh-CN"/>
              </w:rPr>
              <w:t>河南省重点行业绩效分级指南</w:t>
            </w:r>
            <w:r>
              <w:rPr>
                <w:rFonts w:hint="default" w:ascii="Times New Roman" w:hAnsi="宋体" w:cs="Times New Roman"/>
                <w:bCs/>
                <w:color w:val="auto"/>
                <w:sz w:val="24"/>
              </w:rPr>
              <w:t>》</w:t>
            </w:r>
            <w:r>
              <w:rPr>
                <w:rFonts w:hint="eastAsia" w:ascii="Times New Roman" w:hAnsi="宋体" w:cs="Times New Roman"/>
                <w:bCs/>
                <w:color w:val="auto"/>
                <w:sz w:val="24"/>
              </w:rPr>
              <w:t>（2021年修订版）</w:t>
            </w:r>
            <w:r>
              <w:rPr>
                <w:rFonts w:hint="default" w:ascii="Times New Roman" w:hAnsi="宋体" w:cs="Times New Roman"/>
                <w:color w:val="auto"/>
                <w:sz w:val="24"/>
              </w:rPr>
              <w:t>对照分析</w:t>
            </w:r>
            <w:r>
              <w:rPr>
                <w:rFonts w:hint="default" w:ascii="Times New Roman" w:hAnsi="宋体" w:cs="Times New Roman"/>
                <w:color w:val="auto"/>
                <w:sz w:val="24"/>
                <w:lang w:val="pt-BR"/>
              </w:rPr>
              <w:t>见下表。</w:t>
            </w:r>
          </w:p>
          <w:p>
            <w:pPr>
              <w:pStyle w:val="53"/>
              <w:keepNext w:val="0"/>
              <w:keepLines w:val="0"/>
              <w:suppressLineNumbers w:val="0"/>
              <w:spacing w:before="0" w:beforeAutospacing="0" w:after="0" w:afterAutospacing="0" w:line="440" w:lineRule="exact"/>
              <w:ind w:left="0" w:right="0" w:firstLine="0"/>
              <w:jc w:val="center"/>
              <w:rPr>
                <w:rFonts w:hint="default" w:hAnsi="宋体" w:cs="Times New Roman"/>
                <w:b/>
                <w:bCs/>
                <w:color w:val="000000"/>
                <w:sz w:val="24"/>
                <w:szCs w:val="24"/>
              </w:rPr>
            </w:pPr>
            <w:r>
              <w:rPr>
                <w:rFonts w:hint="default" w:hAnsi="宋体" w:cs="Times New Roman"/>
                <w:b/>
                <w:bCs/>
                <w:color w:val="000000"/>
                <w:sz w:val="24"/>
                <w:szCs w:val="24"/>
              </w:rPr>
              <w:t>表</w:t>
            </w:r>
            <w:r>
              <w:rPr>
                <w:rFonts w:hint="eastAsia" w:hAnsi="宋体" w:cs="Times New Roman"/>
                <w:b/>
                <w:bCs/>
                <w:color w:val="000000"/>
                <w:sz w:val="24"/>
                <w:szCs w:val="24"/>
                <w:lang w:val="en-US" w:eastAsia="zh-CN"/>
              </w:rPr>
              <w:t xml:space="preserve">9  </w:t>
            </w:r>
            <w:r>
              <w:rPr>
                <w:rFonts w:hint="eastAsia" w:hAnsi="宋体" w:cs="Times New Roman"/>
                <w:b/>
                <w:bCs/>
                <w:color w:val="000000"/>
                <w:sz w:val="24"/>
                <w:szCs w:val="24"/>
              </w:rPr>
              <w:t>本项目</w:t>
            </w:r>
            <w:r>
              <w:rPr>
                <w:rFonts w:hint="default" w:hAnsi="宋体" w:cs="Times New Roman"/>
                <w:b/>
                <w:bCs/>
                <w:color w:val="000000"/>
                <w:sz w:val="24"/>
                <w:szCs w:val="24"/>
              </w:rPr>
              <w:t>与</w:t>
            </w:r>
            <w:r>
              <w:rPr>
                <w:rFonts w:hint="eastAsia" w:hAnsi="宋体" w:cs="Times New Roman"/>
                <w:b/>
                <w:bCs/>
                <w:color w:val="000000"/>
                <w:sz w:val="24"/>
                <w:szCs w:val="24"/>
                <w:lang w:val="en-US" w:eastAsia="zh-CN"/>
              </w:rPr>
              <w:t>重点行业绩效分级指南</w:t>
            </w:r>
            <w:r>
              <w:rPr>
                <w:rFonts w:hint="eastAsia" w:hAnsi="宋体" w:cs="Times New Roman"/>
                <w:b/>
                <w:bCs/>
                <w:color w:val="000000"/>
                <w:sz w:val="24"/>
                <w:szCs w:val="24"/>
              </w:rPr>
              <w:t>要求</w:t>
            </w:r>
            <w:r>
              <w:rPr>
                <w:rFonts w:hint="default" w:hAnsi="宋体" w:cs="Times New Roman"/>
                <w:b/>
                <w:bCs/>
                <w:color w:val="000000"/>
                <w:sz w:val="24"/>
                <w:szCs w:val="24"/>
              </w:rPr>
              <w:t>的对照分析</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7"/>
              <w:gridCol w:w="400"/>
              <w:gridCol w:w="4402"/>
              <w:gridCol w:w="2728"/>
              <w:gridCol w:w="911"/>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bottom w:val="single" w:color="auto" w:sz="8" w:space="0"/>
                    <w:right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类别</w:t>
                  </w:r>
                </w:p>
              </w:tc>
              <w:tc>
                <w:tcPr>
                  <w:tcW w:w="2490" w:type="pct"/>
                  <w:tcBorders>
                    <w:left w:val="single" w:color="auto" w:sz="8" w:space="0"/>
                    <w:bottom w:val="single" w:color="auto" w:sz="8" w:space="0"/>
                    <w:right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文件要求</w:t>
                  </w:r>
                </w:p>
              </w:tc>
              <w:tc>
                <w:tcPr>
                  <w:tcW w:w="1543" w:type="pct"/>
                  <w:tcBorders>
                    <w:left w:val="single" w:color="auto" w:sz="8" w:space="0"/>
                    <w:bottom w:val="single" w:color="auto" w:sz="8" w:space="0"/>
                    <w:right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本项目情况</w:t>
                  </w:r>
                </w:p>
              </w:tc>
              <w:tc>
                <w:tcPr>
                  <w:tcW w:w="515" w:type="pct"/>
                  <w:tcBorders>
                    <w:left w:val="single" w:color="auto" w:sz="8" w:space="0"/>
                    <w:bottom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b/>
                      <w:color w:val="000000"/>
                      <w:sz w:val="21"/>
                      <w:szCs w:val="21"/>
                    </w:rPr>
                  </w:pPr>
                  <w:r>
                    <w:rPr>
                      <w:rFonts w:hint="default" w:ascii="Times New Roman" w:hAnsi="宋体" w:cs="Times New Roman"/>
                      <w:b/>
                      <w:color w:val="000000"/>
                      <w:sz w:val="21"/>
                      <w:szCs w:val="21"/>
                    </w:rPr>
                    <w:t>相符性</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8"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000000"/>
                      <w:sz w:val="21"/>
                      <w:szCs w:val="21"/>
                      <w:lang w:val="en-US" w:eastAsia="zh-CN"/>
                    </w:rPr>
                    <w:t>原料、能源类型</w:t>
                  </w:r>
                </w:p>
              </w:tc>
              <w:tc>
                <w:tcPr>
                  <w:tcW w:w="2490" w:type="pct"/>
                  <w:tcBorders>
                    <w:top w:val="single" w:color="auto" w:sz="8"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1.原料全部使用非再生料（即使用原包料，非废旧塑料）；</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eastAsia" w:ascii="Times New Roman" w:hAnsi="宋体" w:cs="Times New Roman"/>
                      <w:color w:val="000000"/>
                      <w:sz w:val="21"/>
                      <w:szCs w:val="21"/>
                    </w:rPr>
                    <w:t>2.能源使用电、天然气、液化石油气等能源。</w:t>
                  </w:r>
                </w:p>
              </w:tc>
              <w:tc>
                <w:tcPr>
                  <w:tcW w:w="1543" w:type="pct"/>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left"/>
                    <w:rPr>
                      <w:rFonts w:hint="default" w:eastAsia="宋体"/>
                      <w:sz w:val="21"/>
                      <w:szCs w:val="21"/>
                      <w:lang w:val="en-US" w:eastAsia="zh-CN"/>
                    </w:rPr>
                  </w:pPr>
                  <w:r>
                    <w:rPr>
                      <w:rFonts w:hint="eastAsia" w:hAnsi="宋体"/>
                      <w:sz w:val="21"/>
                      <w:szCs w:val="21"/>
                    </w:rPr>
                    <w:t>本项目</w:t>
                  </w:r>
                  <w:r>
                    <w:rPr>
                      <w:rFonts w:hint="eastAsia" w:hAnsi="宋体"/>
                      <w:sz w:val="21"/>
                      <w:szCs w:val="21"/>
                      <w:lang w:val="en-US" w:eastAsia="zh-CN"/>
                    </w:rPr>
                    <w:t>原料为原包料，主要能源为电。</w:t>
                  </w:r>
                </w:p>
              </w:tc>
              <w:tc>
                <w:tcPr>
                  <w:tcW w:w="515" w:type="pct"/>
                  <w:tcBorders>
                    <w:top w:val="single" w:color="auto" w:sz="8"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eastAsia="zh-CN"/>
                    </w:rPr>
                  </w:pPr>
                  <w:r>
                    <w:rPr>
                      <w:rFonts w:hint="eastAsia" w:ascii="Times New Roman" w:hAnsi="宋体" w:cs="Times New Roman"/>
                      <w:color w:val="000000"/>
                      <w:sz w:val="21"/>
                      <w:szCs w:val="21"/>
                      <w:lang w:val="en-US" w:eastAsia="zh-CN"/>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000000"/>
                      <w:sz w:val="21"/>
                      <w:szCs w:val="21"/>
                      <w:lang w:val="en-US" w:eastAsia="zh-CN"/>
                    </w:rPr>
                    <w:t>生产工艺及装备水平</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1.属于《产业结构调整指导目录（2019年版）》鼓励类和允许类；</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2.符合相关行业产业政策；</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3.符合河南省相关政策要求；</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eastAsia" w:ascii="Times New Roman" w:hAnsi="宋体" w:cs="Times New Roman"/>
                      <w:color w:val="000000"/>
                      <w:sz w:val="21"/>
                      <w:szCs w:val="21"/>
                    </w:rPr>
                    <w:t>4.符合市级规划。</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lang w:val="en-US" w:eastAsia="zh-CN"/>
                    </w:rPr>
                  </w:pPr>
                  <w:r>
                    <w:rPr>
                      <w:rFonts w:hint="default" w:ascii="Times New Roman" w:hAnsi="宋体" w:cs="Times New Roman"/>
                      <w:color w:val="000000"/>
                      <w:sz w:val="21"/>
                      <w:szCs w:val="21"/>
                    </w:rPr>
                    <w:t>本项目</w:t>
                  </w:r>
                  <w:r>
                    <w:rPr>
                      <w:rFonts w:hint="eastAsia" w:ascii="Times New Roman" w:hAnsi="宋体" w:cs="Times New Roman"/>
                      <w:color w:val="000000"/>
                      <w:sz w:val="21"/>
                      <w:szCs w:val="21"/>
                      <w:lang w:val="en-US" w:eastAsia="zh-CN"/>
                    </w:rPr>
                    <w:t>属于允许类项目，符合产业政策要求。</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eastAsia="zh-CN"/>
                    </w:rPr>
                  </w:pPr>
                  <w:r>
                    <w:rPr>
                      <w:rFonts w:hint="eastAsia" w:ascii="Times New Roman" w:hAnsi="宋体" w:cs="Times New Roman"/>
                      <w:color w:val="000000"/>
                      <w:sz w:val="21"/>
                      <w:szCs w:val="21"/>
                      <w:lang w:val="en-US" w:eastAsia="zh-CN"/>
                    </w:rPr>
                    <w:t>废气收集及处理工艺</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1.投料、挤塑、注塑、滚塑、吹塑、压延、挤出、造粒、热定型、冷却、发泡、熟化、干燥等涉VOCs工序采用密闭设备或在密闭空间内</w:t>
                  </w:r>
                  <w:r>
                    <w:rPr>
                      <w:rFonts w:hint="eastAsia" w:ascii="Times New Roman" w:hAnsi="Times New Roman" w:cs="Times New Roman"/>
                      <w:color w:val="000000"/>
                      <w:sz w:val="21"/>
                      <w:szCs w:val="21"/>
                      <w:lang w:val="en-US" w:eastAsia="zh-CN"/>
                    </w:rPr>
                    <w:t>操</w:t>
                  </w:r>
                  <w:r>
                    <w:rPr>
                      <w:rFonts w:hint="eastAsia" w:ascii="Times New Roman" w:hAnsi="Times New Roman" w:cs="Times New Roman"/>
                      <w:color w:val="000000"/>
                      <w:sz w:val="21"/>
                      <w:szCs w:val="21"/>
                    </w:rPr>
                    <w:t>作，废气有效收集至VOCs废气处理系统，车间外无异味；采用局部集气罩的，距集气罩开口面最远处的VOCs无组织排放位置，控制风速不低于0.3米/秒；</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2.VOCs治理采用燃烧工艺（包括直接燃烧、催化燃烧和蓄热燃烧），或静电、吸附、低温等离子、生物法等两级及以上组合工艺处理（采用一次性活性炭吸附的，活性炭碘值在800mg/g及以上）；</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3.粉状、粒状物料采用自动投料器投加和配混，投加和混配工序在封闭车间内进行，PM有效收集，采用覆膜滤袋、滤筒等高效除尘技术；</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4.废吸附剂应密闭的包装袋或容器储存、转运，并建立储存、处置台账；</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5.NOx治理采用低氮燃烧、SNCR/SCR等适宜技术</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auto"/>
                      <w:sz w:val="21"/>
                      <w:szCs w:val="21"/>
                    </w:rPr>
                    <w:t>本项目生产在密闭车间内进行，</w:t>
                  </w:r>
                  <w:r>
                    <w:rPr>
                      <w:rFonts w:hint="eastAsia" w:ascii="Times New Roman" w:hAnsi="宋体" w:cs="Times New Roman"/>
                      <w:color w:val="auto"/>
                      <w:sz w:val="21"/>
                      <w:szCs w:val="21"/>
                      <w:lang w:val="en-US" w:eastAsia="zh-CN"/>
                    </w:rPr>
                    <w:t>挤出、造粒、冷却等</w:t>
                  </w:r>
                  <w:r>
                    <w:rPr>
                      <w:rFonts w:hint="eastAsia" w:ascii="Times New Roman" w:hAnsi="宋体" w:cs="Times New Roman"/>
                      <w:color w:val="auto"/>
                      <w:sz w:val="21"/>
                      <w:szCs w:val="21"/>
                    </w:rPr>
                    <w:t>过程中有机废气通过密闭负压管道收集后</w:t>
                  </w:r>
                  <w:r>
                    <w:rPr>
                      <w:rFonts w:hint="eastAsia" w:ascii="Times New Roman" w:hAnsi="宋体" w:cs="Times New Roman"/>
                      <w:color w:val="auto"/>
                      <w:sz w:val="21"/>
                      <w:szCs w:val="21"/>
                      <w:lang w:val="en-US" w:eastAsia="zh-CN"/>
                    </w:rPr>
                    <w:t>经</w:t>
                  </w:r>
                  <w:r>
                    <w:rPr>
                      <w:rFonts w:hint="eastAsia" w:ascii="Times New Roman" w:hAnsi="宋体" w:cs="Times New Roman"/>
                      <w:color w:val="auto"/>
                      <w:sz w:val="21"/>
                      <w:szCs w:val="21"/>
                    </w:rPr>
                    <w:t>活性炭吸附脱附+催化燃烧装置处理，尾气由15m排气筒进行排放</w:t>
                  </w:r>
                  <w:r>
                    <w:rPr>
                      <w:rFonts w:hint="eastAsia" w:ascii="Times New Roman" w:hAnsi="宋体" w:cs="Times New Roman"/>
                      <w:color w:val="auto"/>
                      <w:sz w:val="21"/>
                      <w:szCs w:val="21"/>
                      <w:lang w:eastAsia="zh-CN"/>
                    </w:rPr>
                    <w:t>，</w:t>
                  </w:r>
                  <w:r>
                    <w:rPr>
                      <w:rFonts w:hint="eastAsia" w:ascii="Times New Roman" w:hAnsi="宋体" w:cs="Times New Roman"/>
                      <w:color w:val="auto"/>
                      <w:sz w:val="21"/>
                      <w:szCs w:val="21"/>
                      <w:lang w:val="en-US" w:eastAsia="zh-CN"/>
                    </w:rPr>
                    <w:t>废活性炭危废间暂存，交由有资质单位处置，并建立台账。</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eastAsia="zh-CN"/>
                    </w:rPr>
                  </w:pPr>
                  <w:r>
                    <w:rPr>
                      <w:rFonts w:hint="eastAsia" w:ascii="Times New Roman" w:hAnsi="宋体" w:cs="Times New Roman"/>
                      <w:color w:val="000000"/>
                      <w:sz w:val="21"/>
                      <w:szCs w:val="21"/>
                      <w:lang w:val="en-US" w:eastAsia="zh-CN"/>
                    </w:rPr>
                    <w:t>无组织管控</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1.VOCs物料存储于密闭的容器、包装袋、储罐、储库、料仓中；盛装VOCs物料的容器或包装袋存放于室内</w:t>
                  </w:r>
                  <w:r>
                    <w:rPr>
                      <w:rFonts w:hint="eastAsia" w:ascii="Times New Roman" w:hAnsi="宋体" w:cs="Times New Roman"/>
                      <w:color w:val="000000"/>
                      <w:sz w:val="21"/>
                      <w:szCs w:val="21"/>
                      <w:lang w:eastAsia="zh-CN"/>
                    </w:rPr>
                    <w:t>；</w:t>
                  </w:r>
                  <w:r>
                    <w:rPr>
                      <w:rFonts w:hint="eastAsia" w:ascii="Times New Roman" w:hAnsi="宋体" w:cs="Times New Roman"/>
                      <w:color w:val="000000"/>
                      <w:sz w:val="21"/>
                      <w:szCs w:val="21"/>
                    </w:rPr>
                    <w:t>盛装VOCs物料的容器或包装袋在非取用状态时应加盖、封口，保持密闭；</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2.粉状物料采用气力输送、管状带式输送机、螺旋输送机等自动化、密闭输送方式；粒状物料采用封闭皮带等自动化、封闭输送方式；液态VOCs物料采用密闭管道输送；</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宋体" w:cs="Times New Roman"/>
                      <w:color w:val="000000"/>
                      <w:sz w:val="21"/>
                      <w:szCs w:val="21"/>
                    </w:rPr>
                  </w:pPr>
                  <w:r>
                    <w:rPr>
                      <w:rFonts w:hint="eastAsia" w:ascii="Times New Roman" w:hAnsi="宋体" w:cs="Times New Roman"/>
                      <w:color w:val="000000"/>
                      <w:sz w:val="21"/>
                      <w:szCs w:val="21"/>
                    </w:rPr>
                    <w:t>3.产生VOCs的生产工序和装置应设置有效集气装置并引至VOCs末端处理设施；</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eastAsia" w:ascii="Times New Roman" w:hAnsi="宋体" w:cs="Times New Roman"/>
                      <w:color w:val="000000"/>
                      <w:sz w:val="21"/>
                      <w:szCs w:val="21"/>
                    </w:rPr>
                    <w:t>4.厂区道路及车间地面硬化，车间地面、墙壁、设备顶部整洁无积尘；厂内地面全部硬化或绿化，无成片裸露土地。</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1、VOCs物料存储与密闭包装袋内，包装袋存放于室内；2、粒装物料采用密闭输送方式，产生VOCs的生产工序通过密闭负压管道收集后经活性炭吸附脱附+催化燃烧装置处理，3、厂区道路和车间道路全面硬化，车间地面、墙面、设备顶部无积尘。</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Times New Roman" w:eastAsia="宋体" w:cs="Times New Roman"/>
                      <w:color w:val="000000"/>
                      <w:sz w:val="21"/>
                      <w:szCs w:val="21"/>
                      <w:lang w:eastAsia="zh-CN"/>
                    </w:rPr>
                  </w:pPr>
                  <w:r>
                    <w:rPr>
                      <w:rFonts w:hint="eastAsia" w:ascii="Times New Roman" w:hAnsi="宋体" w:cs="Times New Roman"/>
                      <w:color w:val="000000"/>
                      <w:sz w:val="21"/>
                      <w:szCs w:val="21"/>
                      <w:lang w:val="en-US" w:eastAsia="zh-CN"/>
                    </w:rPr>
                    <w:t>排放限制</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1.全厂有组织PM、NMHC有组织排放浓度分别不高于10、10mg/m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2.VOCs治理设施同步运行率和去除率分别达</w:t>
                  </w:r>
                  <w:r>
                    <w:rPr>
                      <w:rFonts w:hint="eastAsia" w:ascii="Times New Roman" w:hAnsi="Times New Roman" w:cs="Times New Roman"/>
                      <w:color w:val="000000"/>
                      <w:sz w:val="21"/>
                      <w:szCs w:val="21"/>
                      <w:lang w:val="en-US" w:eastAsia="zh-CN"/>
                    </w:rPr>
                    <w:t>到</w:t>
                  </w:r>
                  <w:r>
                    <w:rPr>
                      <w:rFonts w:hint="eastAsia" w:ascii="Times New Roman" w:hAnsi="Times New Roman" w:cs="Times New Roman"/>
                      <w:color w:val="000000"/>
                      <w:sz w:val="21"/>
                      <w:szCs w:val="21"/>
                    </w:rPr>
                    <w:t>100%和80%；去除率确实达不到的，生产车间或生产设备的无组织排放监控点NMHC浓度低于4mg/m</w:t>
                  </w:r>
                  <w:r>
                    <w:rPr>
                      <w:rFonts w:hint="default" w:ascii="Times New Roman" w:hAnsi="Times New Roman" w:cs="Times New Roman"/>
                      <w:color w:val="000000"/>
                      <w:sz w:val="21"/>
                      <w:szCs w:val="21"/>
                    </w:rPr>
                    <w:t>³</w:t>
                  </w:r>
                  <w:r>
                    <w:rPr>
                      <w:rFonts w:hint="eastAsia" w:ascii="Times New Roman" w:hAnsi="Times New Roman" w:cs="Times New Roman"/>
                      <w:color w:val="000000"/>
                      <w:sz w:val="21"/>
                      <w:szCs w:val="21"/>
                    </w:rPr>
                    <w:t>，企业边界1hNMHC 平均浓度低于2mg/m</w:t>
                  </w:r>
                  <w:r>
                    <w:rPr>
                      <w:rFonts w:hint="default" w:ascii="Times New Roman" w:hAnsi="Times New Roman" w:cs="Times New Roman"/>
                      <w:color w:val="000000"/>
                      <w:sz w:val="21"/>
                      <w:szCs w:val="21"/>
                    </w:rPr>
                    <w:t>³</w:t>
                  </w:r>
                  <w:r>
                    <w:rPr>
                      <w:rFonts w:hint="eastAsia" w:ascii="Times New Roman" w:hAnsi="Times New Roman" w:cs="Times New Roman"/>
                      <w:color w:val="000000"/>
                      <w:sz w:val="21"/>
                      <w:szCs w:val="21"/>
                    </w:rPr>
                    <w:t>；</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3.锅炉烟气排放限值要求：燃气锅炉PM、SO</w:t>
                  </w:r>
                  <w:r>
                    <w:rPr>
                      <w:rFonts w:hint="eastAsia" w:ascii="Times New Roman" w:hAnsi="Times New Roman" w:cs="Times New Roman"/>
                      <w:color w:val="000000"/>
                      <w:sz w:val="21"/>
                      <w:szCs w:val="21"/>
                      <w:vertAlign w:val="subscript"/>
                    </w:rPr>
                    <w:t>2</w:t>
                  </w:r>
                  <w:r>
                    <w:rPr>
                      <w:rFonts w:hint="eastAsia" w:ascii="Times New Roman" w:hAnsi="Times New Roman" w:cs="Times New Roman"/>
                      <w:color w:val="000000"/>
                      <w:sz w:val="21"/>
                      <w:szCs w:val="21"/>
                    </w:rPr>
                    <w:t>、NOx排放浓度分别不高于：5、10、50/30</w:t>
                  </w:r>
                  <w:r>
                    <w:rPr>
                      <w:rFonts w:hint="default" w:ascii="Times New Roman" w:hAnsi="Times New Roman" w:cs="Times New Roman"/>
                      <w:color w:val="000000"/>
                      <w:sz w:val="21"/>
                      <w:szCs w:val="21"/>
                      <w:vertAlign w:val="superscript"/>
                    </w:rPr>
                    <w:t>【1】</w:t>
                  </w:r>
                  <w:r>
                    <w:rPr>
                      <w:rFonts w:hint="eastAsia" w:ascii="Times New Roman" w:hAnsi="Times New Roman" w:cs="Times New Roman"/>
                      <w:color w:val="000000"/>
                      <w:sz w:val="21"/>
                      <w:szCs w:val="21"/>
                    </w:rPr>
                    <w:t>mg/m</w:t>
                  </w:r>
                  <w:r>
                    <w:rPr>
                      <w:rFonts w:hint="eastAsia" w:ascii="Times New Roman" w:hAnsi="Times New Roman" w:cs="Times New Roman"/>
                      <w:color w:val="000000"/>
                      <w:sz w:val="21"/>
                      <w:szCs w:val="21"/>
                      <w:vertAlign w:val="superscript"/>
                    </w:rPr>
                    <w:t>3</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宋体" w:cs="Times New Roman"/>
                      <w:color w:val="auto"/>
                      <w:sz w:val="21"/>
                      <w:szCs w:val="21"/>
                      <w:lang w:val="en-US" w:eastAsia="zh-CN"/>
                    </w:rPr>
                    <w:t>本项目有组织NMHC有组织排放浓度不高于10mg/m</w:t>
                  </w:r>
                  <w:r>
                    <w:rPr>
                      <w:rFonts w:hint="eastAsia" w:ascii="Times New Roman" w:hAnsi="宋体" w:cs="Times New Roman"/>
                      <w:color w:val="auto"/>
                      <w:sz w:val="21"/>
                      <w:szCs w:val="21"/>
                      <w:vertAlign w:val="baseline"/>
                      <w:lang w:val="en-US" w:eastAsia="zh-CN"/>
                    </w:rPr>
                    <w:t>3；</w:t>
                  </w:r>
                  <w:r>
                    <w:rPr>
                      <w:rFonts w:hint="eastAsia" w:ascii="Times New Roman" w:hAnsi="Times New Roman" w:cs="Times New Roman"/>
                      <w:color w:val="000000"/>
                      <w:sz w:val="21"/>
                      <w:szCs w:val="21"/>
                    </w:rPr>
                    <w:t>VOCs治理设施去除率80%；</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Times New Roman" w:eastAsia="宋体" w:cs="Times New Roman"/>
                      <w:color w:val="000000"/>
                      <w:sz w:val="21"/>
                      <w:szCs w:val="21"/>
                      <w:lang w:val="en-US" w:eastAsia="zh-CN"/>
                    </w:rPr>
                  </w:pPr>
                  <w:r>
                    <w:rPr>
                      <w:rFonts w:hint="eastAsia" w:ascii="Times New Roman" w:hAnsi="宋体" w:cs="Times New Roman"/>
                      <w:color w:val="auto"/>
                      <w:sz w:val="21"/>
                      <w:szCs w:val="21"/>
                      <w:lang w:val="en-US" w:eastAsia="zh-CN"/>
                    </w:rPr>
                    <w:t>项目不涉及锅炉烟气。</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监测监控水平</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rPr>
                    <w:t>1.有组织排放口按生态环境部门要求安装烟气排放自</w:t>
                  </w:r>
                  <w:r>
                    <w:rPr>
                      <w:rFonts w:hint="eastAsia" w:ascii="Times New Roman" w:hAnsi="Times New Roman" w:cs="Times New Roman"/>
                      <w:color w:val="000000"/>
                      <w:sz w:val="21"/>
                      <w:szCs w:val="21"/>
                      <w:lang w:val="en-US" w:eastAsia="zh-CN"/>
                    </w:rPr>
                    <w:t>动</w:t>
                  </w:r>
                  <w:r>
                    <w:rPr>
                      <w:rFonts w:hint="eastAsia" w:ascii="Times New Roman" w:hAnsi="Times New Roman" w:cs="Times New Roman"/>
                      <w:color w:val="000000"/>
                      <w:sz w:val="21"/>
                      <w:szCs w:val="21"/>
                    </w:rPr>
                    <w:t>监控设施（CEMS），并按要求联网</w:t>
                  </w:r>
                  <w:r>
                    <w:rPr>
                      <w:rFonts w:hint="eastAsia" w:ascii="Times New Roman" w:hAnsi="Times New Roman" w:cs="Times New Roman"/>
                      <w:color w:val="000000"/>
                      <w:sz w:val="21"/>
                      <w:szCs w:val="21"/>
                      <w:lang w:eastAsia="zh-CN"/>
                    </w:rPr>
                    <w:t>；</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2.有组织排放口按照排污许可证要求开展自行监测；</w:t>
                  </w:r>
                </w:p>
                <w:p>
                  <w:pPr>
                    <w:pStyle w:val="53"/>
                    <w:keepNext w:val="0"/>
                    <w:keepLines w:val="0"/>
                    <w:suppressLineNumbers w:val="0"/>
                    <w:adjustRightInd w:val="0"/>
                    <w:snapToGrid w:val="0"/>
                    <w:spacing w:before="0" w:beforeAutospacing="0" w:after="0" w:afterAutospacing="0" w:line="240" w:lineRule="auto"/>
                    <w:ind w:left="0" w:right="0" w:firstLine="0"/>
                    <w:jc w:val="left"/>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3.涉气生产工序、生产装置及污染治理设施按生态环境部门要求安装用</w:t>
                  </w:r>
                  <w:r>
                    <w:rPr>
                      <w:rFonts w:hint="eastAsia" w:ascii="Times New Roman" w:hAnsi="Times New Roman" w:cs="Times New Roman"/>
                      <w:color w:val="000000"/>
                      <w:sz w:val="21"/>
                      <w:szCs w:val="21"/>
                      <w:lang w:val="en-US" w:eastAsia="zh-CN"/>
                    </w:rPr>
                    <w:t>电</w:t>
                  </w:r>
                  <w:r>
                    <w:rPr>
                      <w:rFonts w:hint="eastAsia" w:ascii="Times New Roman" w:hAnsi="Times New Roman" w:cs="Times New Roman"/>
                      <w:color w:val="000000"/>
                      <w:sz w:val="21"/>
                      <w:szCs w:val="21"/>
                    </w:rPr>
                    <w:t>监管设备，用电监管设备与省、市生态环境部门用电监管平台联网。</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1、本项目废气污染物为非甲烷总烃，按生态环境部门要求安装烟气排放自动监控设施(CEMS），并按要求联网；2、企业排放按排污许可证要求监测；3、</w:t>
                  </w:r>
                  <w:r>
                    <w:rPr>
                      <w:rFonts w:hint="eastAsia" w:ascii="Times New Roman" w:hAnsi="Times New Roman" w:cs="Times New Roman"/>
                      <w:color w:val="000000"/>
                      <w:sz w:val="21"/>
                      <w:szCs w:val="21"/>
                    </w:rPr>
                    <w:t>涉气生产工序、生产装置按生态环境部门要求安装用</w:t>
                  </w:r>
                  <w:r>
                    <w:rPr>
                      <w:rFonts w:hint="eastAsia" w:ascii="Times New Roman" w:hAnsi="Times New Roman" w:cs="Times New Roman"/>
                      <w:color w:val="000000"/>
                      <w:sz w:val="21"/>
                      <w:szCs w:val="21"/>
                      <w:lang w:val="en-US" w:eastAsia="zh-CN"/>
                    </w:rPr>
                    <w:t>点</w:t>
                  </w:r>
                  <w:r>
                    <w:rPr>
                      <w:rFonts w:hint="eastAsia" w:ascii="Times New Roman" w:hAnsi="Times New Roman" w:cs="Times New Roman"/>
                      <w:color w:val="000000"/>
                      <w:sz w:val="21"/>
                      <w:szCs w:val="21"/>
                    </w:rPr>
                    <w:t>监管设备，</w:t>
                  </w:r>
                  <w:r>
                    <w:rPr>
                      <w:rFonts w:hint="eastAsia" w:ascii="Times New Roman" w:hAnsi="Times New Roman" w:cs="Times New Roman"/>
                      <w:color w:val="000000"/>
                      <w:sz w:val="21"/>
                      <w:szCs w:val="21"/>
                      <w:lang w:val="en-US" w:eastAsia="zh-CN"/>
                    </w:rPr>
                    <w:t>并与</w:t>
                  </w:r>
                  <w:r>
                    <w:rPr>
                      <w:rFonts w:hint="eastAsia" w:ascii="Times New Roman" w:hAnsi="Times New Roman" w:cs="Times New Roman"/>
                      <w:color w:val="000000"/>
                      <w:sz w:val="21"/>
                      <w:szCs w:val="21"/>
                    </w:rPr>
                    <w:t>用电监管平台联网</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4" w:type="pct"/>
                  <w:vMerge w:val="restart"/>
                  <w:tcBorders>
                    <w:top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环境管理水平</w:t>
                  </w:r>
                </w:p>
              </w:tc>
              <w:tc>
                <w:tcPr>
                  <w:tcW w:w="226" w:type="pct"/>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环保档案</w:t>
                  </w:r>
                </w:p>
              </w:tc>
              <w:tc>
                <w:tcPr>
                  <w:tcW w:w="2490" w:type="pct"/>
                  <w:tcBorders>
                    <w:top w:val="single" w:color="auto" w:sz="4" w:space="0"/>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环评批复文件和竣工环保验收文件或环境现状评估备案证明；</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国家版排污许可证；</w:t>
                  </w:r>
                </w:p>
                <w:p>
                  <w:pPr>
                    <w:keepNext w:val="0"/>
                    <w:keepLines w:val="0"/>
                    <w:widowControl/>
                    <w:suppressLineNumbers w:val="0"/>
                    <w:spacing w:before="0" w:beforeAutospacing="0" w:after="0" w:afterAutospacing="0"/>
                    <w:ind w:left="0" w:right="0"/>
                    <w:jc w:val="left"/>
                    <w:rPr>
                      <w:rFonts w:hint="default"/>
                      <w:sz w:val="21"/>
                      <w:szCs w:val="21"/>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环境管理制度（有组织、无组织排放长效管理机制，主要包括岗位责任制度、达标公示制度和定期巡查维护制 </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度等）</w:t>
                  </w:r>
                  <w:r>
                    <w:rPr>
                      <w:rFonts w:hint="eastAsia" w:ascii="宋体" w:hAnsi="宋体" w:cs="宋体"/>
                      <w:color w:val="00000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default" w:ascii="宋体" w:hAnsi="宋体" w:eastAsia="宋体" w:cs="宋体"/>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4</w:t>
                  </w:r>
                  <w:r>
                    <w:rPr>
                      <w:rFonts w:hint="eastAsia" w:cs="Times New Roman"/>
                      <w:color w:val="000000"/>
                      <w:kern w:val="0"/>
                      <w:sz w:val="21"/>
                      <w:szCs w:val="21"/>
                      <w:lang w:val="en-US" w:eastAsia="zh-CN" w:bidi="ar"/>
                    </w:rPr>
                    <w:t>.废气治理设施运行管理规程；</w:t>
                  </w:r>
                </w:p>
                <w:p>
                  <w:pPr>
                    <w:keepNext w:val="0"/>
                    <w:keepLines w:val="0"/>
                    <w:widowControl/>
                    <w:suppressLineNumbers w:val="0"/>
                    <w:spacing w:before="0" w:beforeAutospacing="0" w:after="0" w:afterAutospacing="0"/>
                    <w:ind w:left="0" w:right="0"/>
                    <w:jc w:val="left"/>
                    <w:rPr>
                      <w:rFonts w:hint="eastAsia" w:ascii="Times New Roman" w:hAnsi="Times New Roman" w:cs="Times New Roman"/>
                      <w:color w:val="000000"/>
                      <w:sz w:val="21"/>
                      <w:szCs w:val="21"/>
                    </w:rPr>
                  </w:pPr>
                  <w:r>
                    <w:rPr>
                      <w:rFonts w:hint="default" w:ascii="Times New Roman" w:hAnsi="Times New Roman" w:cs="Times New Roman"/>
                      <w:color w:val="000000"/>
                      <w:kern w:val="0"/>
                      <w:sz w:val="21"/>
                      <w:szCs w:val="21"/>
                      <w:lang w:val="en-US" w:eastAsia="zh-CN" w:bidi="ar"/>
                    </w:rPr>
                    <w:t>5.</w:t>
                  </w:r>
                  <w:r>
                    <w:rPr>
                      <w:rFonts w:hint="eastAsia" w:cs="Times New Roman"/>
                      <w:color w:val="000000"/>
                      <w:kern w:val="0"/>
                      <w:sz w:val="21"/>
                      <w:szCs w:val="21"/>
                      <w:lang w:val="en-US" w:eastAsia="zh-CN" w:bidi="ar"/>
                    </w:rPr>
                    <w:t>一年内废气监测报告（符合排污许可证监测项目及频次要求）</w:t>
                  </w:r>
                  <w:r>
                    <w:rPr>
                      <w:rFonts w:hint="eastAsia" w:ascii="宋体" w:hAnsi="宋体" w:cs="宋体"/>
                      <w:color w:val="000000"/>
                      <w:kern w:val="0"/>
                      <w:sz w:val="21"/>
                      <w:szCs w:val="21"/>
                      <w:lang w:val="en-US" w:eastAsia="zh-CN" w:bidi="ar"/>
                    </w:rPr>
                    <w:t>。</w:t>
                  </w:r>
                </w:p>
              </w:tc>
              <w:tc>
                <w:tcPr>
                  <w:tcW w:w="1543" w:type="pct"/>
                  <w:tcBorders>
                    <w:top w:val="single" w:color="auto" w:sz="4" w:space="0"/>
                    <w:left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本项目按照环保要求履行环保手续，按时申报排污许可证，定期进行年度监测，排污口设置排污口标识。</w:t>
                  </w:r>
                </w:p>
              </w:tc>
              <w:tc>
                <w:tcPr>
                  <w:tcW w:w="515" w:type="pct"/>
                  <w:tcBorders>
                    <w:top w:val="single" w:color="auto" w:sz="4" w:space="0"/>
                    <w:lef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4" w:type="pct"/>
                  <w:vMerge w:val="continue"/>
                  <w:tcBorders>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宋体" w:cs="Times New Roman"/>
                      <w:color w:val="000000"/>
                      <w:sz w:val="21"/>
                      <w:szCs w:val="21"/>
                      <w:lang w:val="en-US" w:eastAsia="zh-CN"/>
                    </w:rPr>
                  </w:pPr>
                </w:p>
              </w:tc>
              <w:tc>
                <w:tcPr>
                  <w:tcW w:w="226" w:type="pct"/>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台账记录</w:t>
                  </w:r>
                </w:p>
              </w:tc>
              <w:tc>
                <w:tcPr>
                  <w:tcW w:w="2490" w:type="pct"/>
                  <w:tcBorders>
                    <w:left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生产设施运行管理信息（生产时间、运行负荷、产品产量等）；</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废气污染治理设施运行管理信息；</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监测记录信息（主要污染排放口废气排放记录等）；</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主要原辅材料消耗记录；</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燃料消耗记录；</w:t>
                  </w:r>
                </w:p>
                <w:p>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固废、危废处理记录；</w:t>
                  </w:r>
                </w:p>
                <w:p>
                  <w:pPr>
                    <w:keepNext w:val="0"/>
                    <w:keepLines w:val="0"/>
                    <w:widowControl/>
                    <w:suppressLineNumbers w:val="0"/>
                    <w:spacing w:before="0" w:beforeAutospacing="0" w:after="0" w:afterAutospacing="0"/>
                    <w:ind w:left="0" w:right="0"/>
                    <w:jc w:val="left"/>
                    <w:rPr>
                      <w:rFonts w:hint="default"/>
                    </w:rPr>
                  </w:pPr>
                  <w:r>
                    <w:rPr>
                      <w:rFonts w:hint="default" w:ascii="Times New Roman" w:hAnsi="Times New Roman" w:eastAsia="宋体" w:cs="Times New Roman"/>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 xml:space="preserve">运输车辆、厂内车辆、非道路移动机械电子台账（进出场时间、车辆或非道路移动机械信息、运送货物名称及 </w:t>
                  </w:r>
                </w:p>
                <w:p>
                  <w:pPr>
                    <w:keepNext w:val="0"/>
                    <w:keepLines w:val="0"/>
                    <w:widowControl/>
                    <w:suppressLineNumbers w:val="0"/>
                    <w:spacing w:before="0" w:beforeAutospacing="0" w:after="0" w:afterAutospacing="0"/>
                    <w:ind w:left="0" w:right="0"/>
                    <w:jc w:val="left"/>
                    <w:rPr>
                      <w:rFonts w:hint="eastAsia" w:ascii="Times New Roman" w:hAnsi="宋体" w:cs="Times New Roman"/>
                      <w:color w:val="000000"/>
                      <w:sz w:val="21"/>
                      <w:szCs w:val="21"/>
                      <w:lang w:val="en-US" w:eastAsia="zh-CN"/>
                    </w:rPr>
                  </w:pPr>
                  <w:r>
                    <w:rPr>
                      <w:rFonts w:hint="eastAsia" w:ascii="宋体" w:hAnsi="宋体" w:eastAsia="宋体" w:cs="宋体"/>
                      <w:color w:val="000000"/>
                      <w:kern w:val="0"/>
                      <w:sz w:val="21"/>
                      <w:szCs w:val="21"/>
                      <w:lang w:val="en-US" w:eastAsia="zh-CN" w:bidi="ar"/>
                    </w:rPr>
                    <w:t xml:space="preserve">运量等）。 </w:t>
                  </w:r>
                </w:p>
              </w:tc>
              <w:tc>
                <w:tcPr>
                  <w:tcW w:w="1543" w:type="pct"/>
                  <w:tcBorders>
                    <w:left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1、本环评要求企业设置生产设施运行管理信息；2、本环评要求企业按照要求设置废气污染治理台账；3、本环评要求企业按要求进行年度自行监测；4、本环评要求企业做好主要原辅料台账记录；5、本项目不使用燃料；6、本项目设置固废及危废台账记录。</w:t>
                  </w:r>
                </w:p>
              </w:tc>
              <w:tc>
                <w:tcPr>
                  <w:tcW w:w="515" w:type="pct"/>
                  <w:tcBorders>
                    <w:lef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宋体" w:cs="Times New Roman"/>
                      <w:color w:val="000000"/>
                      <w:sz w:val="21"/>
                      <w:szCs w:val="21"/>
                      <w:lang w:val="en-US" w:eastAsia="zh-CN"/>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4" w:type="pct"/>
                  <w:vMerge w:val="continue"/>
                  <w:tcBorders>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宋体" w:cs="Times New Roman"/>
                      <w:color w:val="000000"/>
                      <w:sz w:val="21"/>
                      <w:szCs w:val="21"/>
                      <w:lang w:val="en-US" w:eastAsia="zh-CN"/>
                    </w:rPr>
                  </w:pPr>
                </w:p>
              </w:tc>
              <w:tc>
                <w:tcPr>
                  <w:tcW w:w="226" w:type="pct"/>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人员配置</w:t>
                  </w:r>
                </w:p>
              </w:tc>
              <w:tc>
                <w:tcPr>
                  <w:tcW w:w="2490" w:type="pct"/>
                  <w:tcBorders>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配备专职环保人员，并具备相应的环境管理能力（学历、培训、从业经验等）。</w:t>
                  </w:r>
                </w:p>
              </w:tc>
              <w:tc>
                <w:tcPr>
                  <w:tcW w:w="1543" w:type="pct"/>
                  <w:tcBorders>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本环评要求企业按照要求建立装门的环保机构负责环保相关工作。</w:t>
                  </w:r>
                </w:p>
              </w:tc>
              <w:tc>
                <w:tcPr>
                  <w:tcW w:w="515" w:type="pct"/>
                  <w:tcBorders>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eastAsia" w:ascii="Times New Roman" w:hAnsi="宋体" w:cs="Times New Roman"/>
                      <w:color w:val="000000"/>
                      <w:sz w:val="21"/>
                      <w:szCs w:val="21"/>
                      <w:lang w:val="en-US" w:eastAsia="zh-CN"/>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运输方式</w:t>
                  </w:r>
                </w:p>
              </w:tc>
              <w:tc>
                <w:tcPr>
                  <w:tcW w:w="249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1.物料、产品运输全部使用国五及以上排放标准的重型载货车辆（重型燃气车辆达到国六排放标准）或新能源车辆；</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2.厂区车辆全部达国五及以上排放标准（重型燃气车辆达到国六排放标准）或使用新能源车辆；</w:t>
                  </w:r>
                </w:p>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sz w:val="21"/>
                      <w:szCs w:val="21"/>
                      <w:lang w:val="en-US"/>
                    </w:rPr>
                  </w:pPr>
                  <w:r>
                    <w:rPr>
                      <w:rFonts w:hint="default" w:ascii="Times New Roman" w:hAnsi="Times New Roman" w:eastAsia="宋体" w:cs="Times New Roman"/>
                      <w:color w:val="000000"/>
                      <w:kern w:val="0"/>
                      <w:sz w:val="21"/>
                      <w:szCs w:val="21"/>
                      <w:lang w:val="en-US" w:eastAsia="zh-CN" w:bidi="ar"/>
                    </w:rPr>
                    <w:t>3.厂内非道路移动机械达到国三及以上排放标准或使用新能源</w:t>
                  </w:r>
                  <w:r>
                    <w:rPr>
                      <w:rFonts w:hint="eastAsia" w:cs="Times New Roman"/>
                      <w:color w:val="000000"/>
                      <w:kern w:val="0"/>
                      <w:sz w:val="21"/>
                      <w:szCs w:val="21"/>
                      <w:lang w:val="en-US" w:eastAsia="zh-CN" w:bidi="ar"/>
                    </w:rPr>
                    <w:t>机械。</w:t>
                  </w:r>
                </w:p>
              </w:tc>
              <w:tc>
                <w:tcPr>
                  <w:tcW w:w="1543" w:type="pct"/>
                  <w:tcBorders>
                    <w:top w:val="single" w:color="auto" w:sz="4" w:space="0"/>
                    <w:left w:val="single" w:color="auto" w:sz="4" w:space="0"/>
                    <w:bottom w:val="single" w:color="auto" w:sz="4"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企业公路运输采用国五以上汽车，不涉及厂内运输车辆</w:t>
                  </w:r>
                </w:p>
              </w:tc>
              <w:tc>
                <w:tcPr>
                  <w:tcW w:w="515" w:type="pct"/>
                  <w:tcBorders>
                    <w:top w:val="single" w:color="auto" w:sz="4" w:space="0"/>
                    <w:left w:val="single" w:color="auto" w:sz="4" w:space="0"/>
                    <w:bottom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rPr>
                  </w:pPr>
                  <w:r>
                    <w:rPr>
                      <w:rFonts w:hint="default" w:ascii="Times New Roman" w:hAnsi="宋体" w:cs="Times New Roman"/>
                      <w:color w:val="000000"/>
                      <w:sz w:val="21"/>
                      <w:szCs w:val="21"/>
                    </w:rPr>
                    <w:t>相符</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gridSpan w:val="2"/>
                  <w:tcBorders>
                    <w:top w:val="single" w:color="auto" w:sz="4" w:space="0"/>
                    <w:bottom w:val="single" w:color="auto" w:sz="8"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lang w:val="en-US" w:eastAsia="zh-CN"/>
                    </w:rPr>
                  </w:pPr>
                  <w:r>
                    <w:rPr>
                      <w:rFonts w:hint="eastAsia" w:ascii="Times New Roman" w:hAnsi="宋体" w:cs="Times New Roman"/>
                      <w:color w:val="000000"/>
                      <w:sz w:val="21"/>
                      <w:szCs w:val="21"/>
                      <w:lang w:val="en-US" w:eastAsia="zh-CN"/>
                    </w:rPr>
                    <w:t>运输监管</w:t>
                  </w:r>
                </w:p>
              </w:tc>
              <w:tc>
                <w:tcPr>
                  <w:tcW w:w="2490" w:type="pct"/>
                  <w:tcBorders>
                    <w:top w:val="single" w:color="auto" w:sz="4" w:space="0"/>
                    <w:left w:val="single" w:color="auto" w:sz="4" w:space="0"/>
                    <w:bottom w:val="single" w:color="auto" w:sz="8"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日均进出货物150吨（或载货车辆日进出 10 辆次）</w:t>
                  </w:r>
                  <w:r>
                    <w:rPr>
                      <w:rFonts w:hint="eastAsia" w:cs="Times New Roman"/>
                      <w:color w:val="000000"/>
                      <w:kern w:val="0"/>
                      <w:sz w:val="21"/>
                      <w:szCs w:val="21"/>
                      <w:lang w:val="en-US" w:eastAsia="zh-CN" w:bidi="ar"/>
                    </w:rPr>
                    <w:t>及</w:t>
                  </w:r>
                  <w:r>
                    <w:rPr>
                      <w:rFonts w:hint="default" w:ascii="Times New Roman" w:hAnsi="Times New Roman" w:eastAsia="宋体" w:cs="Times New Roman"/>
                      <w:color w:val="000000"/>
                      <w:kern w:val="0"/>
                      <w:sz w:val="21"/>
                      <w:szCs w:val="21"/>
                      <w:lang w:val="en-US" w:eastAsia="zh-CN" w:bidi="ar"/>
                    </w:rPr>
                    <w:t>以上（货物包括原料、辅料、燃料、产品和其他与生产相关</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物料）的企业，或纳入我省重点行业年产值 1000 万及以上的企业，应参照《重污染天气重点行业移动源应急管理</w:t>
                  </w:r>
                </w:p>
                <w:p>
                  <w:pPr>
                    <w:keepNext w:val="0"/>
                    <w:keepLines w:val="0"/>
                    <w:widowControl/>
                    <w:suppressLineNumbers w:val="0"/>
                    <w:spacing w:before="0" w:beforeAutospacing="0" w:after="0" w:afterAutospacing="0"/>
                    <w:ind w:left="0" w:right="0"/>
                    <w:jc w:val="left"/>
                    <w:rPr>
                      <w:rFonts w:hint="eastAsia"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技术指南》建立门禁视频监控系统和电子台账；其他企业建立电子台账。</w:t>
                  </w:r>
                </w:p>
              </w:tc>
              <w:tc>
                <w:tcPr>
                  <w:tcW w:w="1543" w:type="pct"/>
                  <w:tcBorders>
                    <w:top w:val="single" w:color="auto" w:sz="4" w:space="0"/>
                    <w:left w:val="single" w:color="auto" w:sz="4" w:space="0"/>
                    <w:bottom w:val="single" w:color="auto" w:sz="8" w:space="0"/>
                    <w:right w:val="single" w:color="auto" w:sz="4"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left"/>
                    <w:rPr>
                      <w:rFonts w:hint="default" w:ascii="Times New Roman" w:hAnsi="宋体" w:eastAsia="宋体" w:cs="Times New Roman"/>
                      <w:color w:val="000000"/>
                      <w:sz w:val="21"/>
                      <w:szCs w:val="21"/>
                      <w:lang w:val="en-US" w:eastAsia="zh-CN"/>
                    </w:rPr>
                  </w:pPr>
                  <w:r>
                    <w:rPr>
                      <w:rFonts w:hint="eastAsia" w:ascii="Times New Roman" w:hAnsi="宋体" w:cs="Times New Roman"/>
                      <w:color w:val="000000"/>
                      <w:sz w:val="21"/>
                      <w:szCs w:val="21"/>
                      <w:lang w:val="en-US" w:eastAsia="zh-CN"/>
                    </w:rPr>
                    <w:t>本项目不属于河南省涉及大宗物料运输重点行业，按照要求设置门禁视频监控和台账。</w:t>
                  </w:r>
                </w:p>
              </w:tc>
              <w:tc>
                <w:tcPr>
                  <w:tcW w:w="515" w:type="pct"/>
                  <w:tcBorders>
                    <w:top w:val="single" w:color="auto" w:sz="4" w:space="0"/>
                    <w:left w:val="single" w:color="auto" w:sz="4" w:space="0"/>
                    <w:bottom w:val="single" w:color="auto" w:sz="8" w:space="0"/>
                  </w:tcBorders>
                  <w:noWrap w:val="0"/>
                  <w:vAlign w:val="center"/>
                </w:tcPr>
                <w:p>
                  <w:pPr>
                    <w:pStyle w:val="53"/>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宋体" w:cs="Times New Roman"/>
                      <w:color w:val="000000"/>
                      <w:sz w:val="21"/>
                      <w:szCs w:val="21"/>
                    </w:rPr>
                  </w:pPr>
                  <w:r>
                    <w:rPr>
                      <w:rFonts w:hint="default" w:ascii="Times New Roman" w:hAnsi="宋体" w:cs="Times New Roman"/>
                      <w:color w:val="000000"/>
                      <w:sz w:val="21"/>
                      <w:szCs w:val="21"/>
                    </w:rPr>
                    <w:t>相符</w:t>
                  </w:r>
                </w:p>
              </w:tc>
            </w:tr>
          </w:tbl>
          <w:p>
            <w:pPr>
              <w:keepNext w:val="0"/>
              <w:keepLines w:val="0"/>
              <w:suppressLineNumbers w:val="0"/>
              <w:spacing w:before="0" w:beforeAutospacing="0" w:after="0" w:afterAutospacing="0" w:line="440" w:lineRule="exact"/>
              <w:ind w:left="0" w:right="0" w:firstLine="482" w:firstLineChars="200"/>
              <w:rPr>
                <w:rFonts w:hint="eastAsia"/>
                <w:b/>
                <w:sz w:val="24"/>
              </w:rPr>
            </w:pPr>
            <w:r>
              <w:rPr>
                <w:rFonts w:hint="eastAsia"/>
                <w:b/>
                <w:sz w:val="24"/>
              </w:rPr>
              <w:t>7、</w:t>
            </w:r>
            <w:r>
              <w:rPr>
                <w:rFonts w:hint="default"/>
                <w:b/>
                <w:sz w:val="24"/>
              </w:rPr>
              <w:t>与《</w:t>
            </w:r>
            <w:r>
              <w:rPr>
                <w:rFonts w:hint="eastAsia"/>
                <w:b/>
                <w:sz w:val="24"/>
              </w:rPr>
              <w:t>新乡市</w:t>
            </w:r>
            <w:r>
              <w:rPr>
                <w:rFonts w:hint="default"/>
                <w:b/>
                <w:sz w:val="24"/>
              </w:rPr>
              <w:t>生态环境局关于部署安装工业企业用电量监控系统的通知》</w:t>
            </w:r>
            <w:r>
              <w:rPr>
                <w:rFonts w:hint="eastAsia"/>
                <w:b/>
                <w:sz w:val="24"/>
              </w:rPr>
              <w:t>新</w:t>
            </w:r>
            <w:r>
              <w:rPr>
                <w:rFonts w:hint="default"/>
                <w:b/>
                <w:sz w:val="24"/>
              </w:rPr>
              <w:t>环[2019]</w:t>
            </w:r>
            <w:r>
              <w:rPr>
                <w:rFonts w:hint="eastAsia"/>
                <w:b/>
                <w:sz w:val="24"/>
              </w:rPr>
              <w:t>154</w:t>
            </w:r>
            <w:r>
              <w:rPr>
                <w:rFonts w:hint="default"/>
                <w:b/>
                <w:sz w:val="24"/>
              </w:rPr>
              <w:t>号文的对照分析</w:t>
            </w:r>
            <w:r>
              <w:rPr>
                <w:rFonts w:hint="eastAsia"/>
                <w:b/>
                <w:sz w:val="24"/>
              </w:rPr>
              <w:t>。</w:t>
            </w:r>
          </w:p>
          <w:p>
            <w:pPr>
              <w:pStyle w:val="53"/>
              <w:keepNext w:val="0"/>
              <w:keepLines w:val="0"/>
              <w:suppressLineNumbers w:val="0"/>
              <w:spacing w:before="0" w:beforeAutospacing="0" w:after="0" w:afterAutospacing="0" w:line="440" w:lineRule="exact"/>
              <w:ind w:left="0" w:right="0" w:firstLine="0"/>
              <w:jc w:val="center"/>
              <w:rPr>
                <w:rFonts w:hint="default" w:hAnsi="宋体" w:cs="Times New Roman"/>
                <w:b/>
                <w:bCs/>
                <w:color w:val="000000"/>
                <w:sz w:val="24"/>
                <w:szCs w:val="24"/>
              </w:rPr>
            </w:pPr>
            <w:r>
              <w:rPr>
                <w:rFonts w:hint="default" w:hAnsi="宋体" w:cs="Times New Roman"/>
                <w:b/>
                <w:bCs/>
                <w:color w:val="000000"/>
                <w:sz w:val="24"/>
                <w:szCs w:val="24"/>
              </w:rPr>
              <w:t>表</w:t>
            </w:r>
            <w:r>
              <w:rPr>
                <w:rFonts w:hint="eastAsia" w:hAnsi="宋体" w:cs="Times New Roman"/>
                <w:b/>
                <w:bCs/>
                <w:color w:val="000000"/>
                <w:sz w:val="24"/>
                <w:szCs w:val="24"/>
                <w:lang w:val="en-US" w:eastAsia="zh-CN"/>
              </w:rPr>
              <w:t xml:space="preserve">10  </w:t>
            </w:r>
            <w:r>
              <w:rPr>
                <w:rFonts w:hint="default" w:hAnsi="宋体" w:cs="Times New Roman"/>
                <w:b/>
                <w:bCs/>
                <w:color w:val="000000"/>
                <w:sz w:val="24"/>
                <w:szCs w:val="24"/>
              </w:rPr>
              <w:t>与新环[2019]154号文的对照分析</w:t>
            </w:r>
          </w:p>
          <w:tbl>
            <w:tblPr>
              <w:tblStyle w:val="22"/>
              <w:tblW w:w="5000" w:type="pct"/>
              <w:jc w:val="center"/>
              <w:tblBorders>
                <w:top w:val="single" w:color="auto" w:sz="8"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4709"/>
              <w:gridCol w:w="1777"/>
              <w:gridCol w:w="914"/>
            </w:tblGrid>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68" w:type="dxa"/>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宋体" w:hAnsi="宋体"/>
                      <w:b/>
                      <w:sz w:val="21"/>
                      <w:szCs w:val="21"/>
                    </w:rPr>
                  </w:pPr>
                  <w:r>
                    <w:rPr>
                      <w:rFonts w:hint="default" w:ascii="宋体" w:hAnsi="宋体"/>
                      <w:b/>
                      <w:sz w:val="21"/>
                      <w:szCs w:val="21"/>
                    </w:rPr>
                    <w:t>主要任务</w:t>
                  </w:r>
                </w:p>
              </w:tc>
              <w:tc>
                <w:tcPr>
                  <w:tcW w:w="382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宋体" w:hAnsi="宋体"/>
                      <w:b/>
                      <w:sz w:val="21"/>
                      <w:szCs w:val="21"/>
                    </w:rPr>
                  </w:pPr>
                  <w:r>
                    <w:rPr>
                      <w:rFonts w:hint="default" w:ascii="宋体" w:hAnsi="宋体"/>
                      <w:b/>
                      <w:sz w:val="21"/>
                      <w:szCs w:val="21"/>
                    </w:rPr>
                    <w:t>与本项目相关条文</w:t>
                  </w:r>
                </w:p>
              </w:tc>
              <w:tc>
                <w:tcPr>
                  <w:tcW w:w="1444"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ascii="宋体" w:hAnsi="宋体"/>
                      <w:b/>
                      <w:sz w:val="21"/>
                      <w:szCs w:val="21"/>
                    </w:rPr>
                  </w:pPr>
                  <w:r>
                    <w:rPr>
                      <w:rFonts w:hint="default" w:ascii="宋体" w:hAnsi="宋体"/>
                      <w:b/>
                      <w:sz w:val="21"/>
                      <w:szCs w:val="21"/>
                    </w:rPr>
                    <w:t>本项目情况</w:t>
                  </w:r>
                </w:p>
              </w:tc>
              <w:tc>
                <w:tcPr>
                  <w:tcW w:w="743" w:type="dxa"/>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125" w:leftChars="-52" w:right="0"/>
                    <w:jc w:val="center"/>
                    <w:textAlignment w:val="baseline"/>
                    <w:rPr>
                      <w:rFonts w:hint="default" w:ascii="宋体" w:hAnsi="宋体"/>
                      <w:b/>
                      <w:sz w:val="21"/>
                      <w:szCs w:val="21"/>
                    </w:rPr>
                  </w:pPr>
                  <w:r>
                    <w:rPr>
                      <w:rFonts w:hint="default" w:ascii="宋体" w:hAnsi="宋体"/>
                      <w:b/>
                      <w:sz w:val="21"/>
                      <w:szCs w:val="21"/>
                    </w:rPr>
                    <w:t>相符性</w:t>
                  </w:r>
                </w:p>
              </w:tc>
            </w:tr>
            <w:tr>
              <w:tblPrEx>
                <w:tblBorders>
                  <w:top w:val="single" w:color="auto" w:sz="8"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68" w:type="dxa"/>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color w:val="000000"/>
                      <w:sz w:val="21"/>
                      <w:szCs w:val="21"/>
                    </w:rPr>
                  </w:pPr>
                  <w:r>
                    <w:rPr>
                      <w:rFonts w:hint="eastAsia"/>
                      <w:color w:val="000000"/>
                      <w:sz w:val="21"/>
                      <w:szCs w:val="21"/>
                    </w:rPr>
                    <w:t>安装范围</w:t>
                  </w:r>
                </w:p>
              </w:tc>
              <w:tc>
                <w:tcPr>
                  <w:tcW w:w="3827" w:type="dxa"/>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left"/>
                    <w:textAlignment w:val="baseline"/>
                    <w:rPr>
                      <w:rFonts w:hint="default"/>
                      <w:sz w:val="21"/>
                      <w:szCs w:val="21"/>
                    </w:rPr>
                  </w:pPr>
                  <w:r>
                    <w:rPr>
                      <w:rFonts w:hint="eastAsia"/>
                      <w:sz w:val="21"/>
                      <w:szCs w:val="21"/>
                    </w:rPr>
                    <w:t>所有</w:t>
                  </w:r>
                  <w:r>
                    <w:rPr>
                      <w:rFonts w:hint="default"/>
                      <w:sz w:val="21"/>
                      <w:szCs w:val="21"/>
                    </w:rPr>
                    <w:t>排污企业的总用电控制位置</w:t>
                  </w:r>
                  <w:r>
                    <w:rPr>
                      <w:rFonts w:hint="eastAsia"/>
                      <w:sz w:val="21"/>
                      <w:szCs w:val="21"/>
                    </w:rPr>
                    <w:t>、</w:t>
                  </w:r>
                  <w:r>
                    <w:rPr>
                      <w:rFonts w:hint="default"/>
                      <w:sz w:val="21"/>
                      <w:szCs w:val="21"/>
                    </w:rPr>
                    <w:t>主要生产设施和污染治理设施必须安装用电量监控系统终端</w:t>
                  </w:r>
                  <w:r>
                    <w:rPr>
                      <w:rFonts w:hint="eastAsia"/>
                      <w:sz w:val="21"/>
                      <w:szCs w:val="21"/>
                    </w:rPr>
                    <w:t>。</w:t>
                  </w:r>
                </w:p>
              </w:tc>
              <w:tc>
                <w:tcPr>
                  <w:tcW w:w="1444" w:type="dxa"/>
                  <w:tcBorders>
                    <w:top w:val="single" w:color="auto" w:sz="8" w:space="0"/>
                    <w:bottom w:val="single" w:color="auto" w:sz="8" w:space="0"/>
                  </w:tcBorders>
                  <w:noWrap w:val="0"/>
                  <w:vAlign w:val="center"/>
                </w:tcPr>
                <w:p>
                  <w:pPr>
                    <w:keepNext w:val="0"/>
                    <w:keepLines w:val="0"/>
                    <w:suppressLineNumbers w:val="0"/>
                    <w:snapToGrid w:val="0"/>
                    <w:spacing w:before="0" w:beforeAutospacing="0" w:after="0" w:afterAutospacing="0"/>
                    <w:ind w:left="0" w:right="0"/>
                    <w:jc w:val="left"/>
                    <w:rPr>
                      <w:rFonts w:hint="default"/>
                      <w:sz w:val="21"/>
                      <w:szCs w:val="21"/>
                    </w:rPr>
                  </w:pPr>
                  <w:r>
                    <w:rPr>
                      <w:rFonts w:hint="default" w:hAnsi="宋体"/>
                      <w:kern w:val="0"/>
                      <w:sz w:val="21"/>
                      <w:szCs w:val="21"/>
                    </w:rPr>
                    <w:t>本项目</w:t>
                  </w:r>
                  <w:r>
                    <w:rPr>
                      <w:rFonts w:hint="eastAsia" w:hAnsi="宋体"/>
                      <w:kern w:val="0"/>
                      <w:sz w:val="21"/>
                      <w:szCs w:val="21"/>
                    </w:rPr>
                    <w:t>严格按照要求安装用电量监控系统终端。</w:t>
                  </w:r>
                </w:p>
              </w:tc>
              <w:tc>
                <w:tcPr>
                  <w:tcW w:w="743" w:type="dxa"/>
                  <w:tcBorders>
                    <w:top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rPr>
                  </w:pPr>
                  <w:r>
                    <w:rPr>
                      <w:rFonts w:hint="eastAsia"/>
                      <w:sz w:val="21"/>
                      <w:szCs w:val="21"/>
                    </w:rPr>
                    <w:t>满足</w:t>
                  </w:r>
                </w:p>
              </w:tc>
            </w:tr>
          </w:tbl>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bCs/>
                <w:color w:val="000000"/>
                <w:kern w:val="0"/>
                <w:sz w:val="24"/>
              </w:rPr>
            </w:pPr>
            <w:r>
              <w:rPr>
                <w:rFonts w:hint="default"/>
                <w:color w:val="000000"/>
                <w:sz w:val="24"/>
              </w:rPr>
              <w:t>由上表可知，本项目满足</w:t>
            </w:r>
            <w:r>
              <w:rPr>
                <w:rFonts w:hint="default"/>
                <w:kern w:val="0"/>
                <w:sz w:val="24"/>
              </w:rPr>
              <w:t>《</w:t>
            </w:r>
            <w:r>
              <w:rPr>
                <w:rFonts w:hint="eastAsia"/>
                <w:kern w:val="0"/>
                <w:sz w:val="24"/>
              </w:rPr>
              <w:t>新乡市</w:t>
            </w:r>
            <w:r>
              <w:rPr>
                <w:rFonts w:hint="default"/>
                <w:kern w:val="0"/>
                <w:sz w:val="24"/>
              </w:rPr>
              <w:t>生态环境局关于部署安装工业企业用电量监控系统的通知》</w:t>
            </w:r>
            <w:r>
              <w:rPr>
                <w:rFonts w:hint="eastAsia"/>
                <w:kern w:val="0"/>
                <w:sz w:val="24"/>
              </w:rPr>
              <w:t>新</w:t>
            </w:r>
            <w:r>
              <w:rPr>
                <w:rFonts w:hint="default"/>
                <w:kern w:val="0"/>
                <w:sz w:val="24"/>
              </w:rPr>
              <w:t>环[2019]</w:t>
            </w:r>
            <w:r>
              <w:rPr>
                <w:rFonts w:hint="eastAsia"/>
                <w:kern w:val="0"/>
                <w:sz w:val="24"/>
              </w:rPr>
              <w:t>154</w:t>
            </w:r>
            <w:r>
              <w:rPr>
                <w:rFonts w:hint="default"/>
                <w:kern w:val="0"/>
                <w:sz w:val="24"/>
              </w:rPr>
              <w:t>号文</w:t>
            </w:r>
            <w:r>
              <w:rPr>
                <w:rFonts w:hint="default"/>
                <w:bCs/>
                <w:color w:val="000000"/>
                <w:kern w:val="0"/>
                <w:sz w:val="24"/>
              </w:rPr>
              <w:t>的相关要求</w:t>
            </w:r>
            <w:r>
              <w:rPr>
                <w:rFonts w:hint="eastAsia"/>
                <w:bCs/>
                <w:color w:val="000000"/>
                <w:kern w:val="0"/>
                <w:sz w:val="24"/>
              </w:rPr>
              <w:t>。</w:t>
            </w: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bCs/>
                <w:color w:val="000000"/>
                <w:kern w:val="0"/>
                <w:sz w:val="24"/>
              </w:rPr>
            </w:pP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bCs/>
                <w:color w:val="000000"/>
                <w:kern w:val="0"/>
                <w:sz w:val="24"/>
              </w:rPr>
            </w:pPr>
          </w:p>
          <w:p>
            <w:pPr>
              <w:keepNext w:val="0"/>
              <w:keepLines w:val="0"/>
              <w:suppressLineNumbers w:val="0"/>
              <w:autoSpaceDE w:val="0"/>
              <w:autoSpaceDN w:val="0"/>
              <w:adjustRightInd w:val="0"/>
              <w:snapToGrid w:val="0"/>
              <w:spacing w:before="0" w:beforeAutospacing="0" w:after="0" w:afterAutospacing="0" w:line="440" w:lineRule="exact"/>
              <w:ind w:left="0" w:right="0" w:firstLine="480" w:firstLineChars="200"/>
              <w:jc w:val="left"/>
              <w:rPr>
                <w:rFonts w:hint="eastAsia"/>
                <w:bCs/>
                <w:color w:val="000000"/>
                <w:kern w:val="0"/>
                <w:sz w:val="24"/>
              </w:rPr>
            </w:pPr>
          </w:p>
          <w:p>
            <w:pPr>
              <w:keepNext w:val="0"/>
              <w:keepLines w:val="0"/>
              <w:suppressLineNumbers w:val="0"/>
              <w:autoSpaceDE w:val="0"/>
              <w:autoSpaceDN w:val="0"/>
              <w:adjustRightInd w:val="0"/>
              <w:snapToGrid w:val="0"/>
              <w:spacing w:before="0" w:beforeAutospacing="0" w:after="0" w:afterAutospacing="0" w:line="440" w:lineRule="exact"/>
              <w:ind w:left="0" w:right="0"/>
              <w:jc w:val="left"/>
              <w:rPr>
                <w:rFonts w:hint="eastAsia"/>
                <w:bCs/>
                <w:color w:val="000000"/>
                <w:kern w:val="0"/>
                <w:sz w:val="24"/>
              </w:rPr>
            </w:pPr>
          </w:p>
          <w:p>
            <w:pPr>
              <w:keepNext w:val="0"/>
              <w:keepLines w:val="0"/>
              <w:suppressLineNumbers w:val="0"/>
              <w:autoSpaceDE w:val="0"/>
              <w:autoSpaceDN w:val="0"/>
              <w:adjustRightInd w:val="0"/>
              <w:snapToGrid w:val="0"/>
              <w:spacing w:before="0" w:beforeAutospacing="0" w:after="0" w:afterAutospacing="0" w:line="440" w:lineRule="exact"/>
              <w:ind w:left="0" w:right="0"/>
              <w:jc w:val="left"/>
              <w:rPr>
                <w:rFonts w:hint="eastAsia" w:eastAsia="宋体"/>
                <w:bCs/>
                <w:color w:val="000000"/>
                <w:kern w:val="0"/>
                <w:sz w:val="24"/>
                <w:lang w:eastAsia="zh-CN"/>
              </w:rPr>
            </w:pPr>
          </w:p>
        </w:tc>
      </w:tr>
    </w:tbl>
    <w:p>
      <w:pPr>
        <w:bidi w:val="0"/>
        <w:spacing w:line="360" w:lineRule="auto"/>
        <w:jc w:val="center"/>
        <w:rPr>
          <w:rFonts w:hint="eastAsia" w:ascii="黑体" w:hAnsi="黑体" w:eastAsia="黑体" w:cs="黑体"/>
          <w:b w:val="0"/>
          <w:bCs w:val="0"/>
          <w:sz w:val="30"/>
          <w:szCs w:val="30"/>
        </w:rPr>
      </w:pPr>
      <w:r>
        <w:rPr>
          <w:rFonts w:hint="eastAsia" w:ascii="黑体" w:hAnsi="黑体" w:eastAsia="黑体" w:cs="黑体"/>
          <w:b w:val="0"/>
          <w:bCs w:val="0"/>
          <w:sz w:val="30"/>
          <w:szCs w:val="30"/>
        </w:rPr>
        <w:t>二、建设项目工程分析</w:t>
      </w:r>
    </w:p>
    <w:tbl>
      <w:tblPr>
        <w:tblStyle w:val="22"/>
        <w:tblW w:w="975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90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szCs w:val="21"/>
                <w:lang w:val="en-US" w:eastAsia="zh-CN"/>
              </w:rPr>
            </w:pPr>
            <w:r>
              <w:rPr>
                <w:rFonts w:hint="default"/>
                <w:lang w:val="en-US" w:eastAsia="zh-CN"/>
              </w:rPr>
              <w:t>建设内容</w:t>
            </w:r>
          </w:p>
        </w:tc>
        <w:tc>
          <w:tcPr>
            <w:tcW w:w="9021" w:type="dxa"/>
            <w:noWrap w:val="0"/>
            <w:vAlign w:val="top"/>
          </w:tcPr>
          <w:p>
            <w:pPr>
              <w:keepNext w:val="0"/>
              <w:keepLines w:val="0"/>
              <w:suppressLineNumbers w:val="0"/>
              <w:adjustRightInd w:val="0"/>
              <w:snapToGrid w:val="0"/>
              <w:spacing w:before="0" w:beforeAutospacing="0" w:after="0" w:afterAutospacing="0" w:line="440" w:lineRule="exact"/>
              <w:ind w:left="0" w:right="0"/>
              <w:rPr>
                <w:rFonts w:hint="eastAsia"/>
                <w:b/>
                <w:sz w:val="24"/>
              </w:rPr>
            </w:pPr>
            <w:bookmarkStart w:id="1" w:name="_Toc262219100"/>
            <w:r>
              <w:rPr>
                <w:rFonts w:hint="eastAsia"/>
                <w:b/>
                <w:sz w:val="24"/>
              </w:rPr>
              <w:t>一、项目由来</w:t>
            </w:r>
          </w:p>
          <w:bookmarkEnd w:id="1"/>
          <w:p>
            <w:pPr>
              <w:keepNext w:val="0"/>
              <w:keepLines w:val="0"/>
              <w:suppressLineNumbers w:val="0"/>
              <w:adjustRightInd w:val="0"/>
              <w:snapToGrid w:val="0"/>
              <w:spacing w:before="0" w:beforeAutospacing="0" w:after="0" w:afterAutospacing="0" w:line="440" w:lineRule="exact"/>
              <w:ind w:left="28" w:right="0" w:firstLine="480" w:firstLineChars="200"/>
              <w:rPr>
                <w:rFonts w:hint="default" w:ascii="Times New Roman" w:hAnsi="Times New Roman" w:eastAsia="宋体" w:cs="Times New Roman"/>
                <w:sz w:val="24"/>
                <w:lang w:val="en-US" w:eastAsia="zh-CN"/>
              </w:rPr>
            </w:pPr>
            <w:r>
              <w:rPr>
                <w:rFonts w:hint="eastAsia" w:ascii="宋体" w:hAnsi="宋体"/>
                <w:color w:val="000000"/>
                <w:sz w:val="24"/>
                <w:lang w:val="en-US" w:eastAsia="zh-CN"/>
              </w:rPr>
              <w:t>新乡市凯盛新材料科技有限公司</w:t>
            </w:r>
            <w:r>
              <w:rPr>
                <w:rFonts w:hint="default" w:ascii="Times New Roman" w:hAnsi="Times New Roman" w:cs="Times New Roman"/>
                <w:sz w:val="24"/>
              </w:rPr>
              <w:t>选址位于</w:t>
            </w:r>
            <w:r>
              <w:rPr>
                <w:rFonts w:hint="default" w:ascii="Times New Roman" w:hAnsi="Times New Roman" w:eastAsia="宋体" w:cs="Times New Roman"/>
                <w:sz w:val="24"/>
                <w:szCs w:val="24"/>
              </w:rPr>
              <w:t>河南省新乡市</w:t>
            </w:r>
            <w:r>
              <w:rPr>
                <w:rFonts w:hint="eastAsia" w:ascii="宋体" w:hAnsi="宋体" w:cs="宋体"/>
                <w:sz w:val="24"/>
                <w:szCs w:val="24"/>
                <w:lang w:val="en-US" w:eastAsia="zh-CN"/>
              </w:rPr>
              <w:t>新乡县七里营镇工业园区阳光路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default" w:ascii="Times New Roman" w:hAnsi="Times New Roman" w:cs="Times New Roman"/>
                <w:sz w:val="24"/>
              </w:rPr>
              <w:t>，</w:t>
            </w:r>
            <w:r>
              <w:rPr>
                <w:rFonts w:hint="eastAsia" w:cs="Times New Roman"/>
                <w:sz w:val="24"/>
                <w:lang w:val="en-US" w:eastAsia="zh-CN"/>
              </w:rPr>
              <w:t>属于新乡经济技术产业集聚区。</w:t>
            </w:r>
            <w:r>
              <w:rPr>
                <w:rFonts w:hint="default" w:ascii="Times New Roman" w:hAnsi="Times New Roman" w:cs="Times New Roman"/>
                <w:sz w:val="24"/>
              </w:rPr>
              <w:t>企业计划投资</w:t>
            </w:r>
            <w:r>
              <w:rPr>
                <w:rFonts w:hint="eastAsia" w:ascii="Times New Roman" w:hAnsi="Times New Roman" w:cs="Times New Roman"/>
                <w:sz w:val="24"/>
                <w:lang w:val="en-US" w:eastAsia="zh-CN"/>
              </w:rPr>
              <w:t>1000</w:t>
            </w:r>
            <w:r>
              <w:rPr>
                <w:rFonts w:hint="default" w:ascii="Times New Roman" w:hAnsi="Times New Roman" w:cs="Times New Roman"/>
                <w:sz w:val="24"/>
              </w:rPr>
              <w:t>万元建设</w:t>
            </w:r>
            <w:r>
              <w:rPr>
                <w:rFonts w:hint="eastAsia" w:ascii="宋体" w:hAnsi="宋体"/>
                <w:color w:val="000000"/>
                <w:sz w:val="24"/>
                <w:lang w:val="en-US" w:eastAsia="zh-CN"/>
              </w:rPr>
              <w:t>年产</w:t>
            </w:r>
            <w:r>
              <w:rPr>
                <w:rFonts w:hint="default" w:ascii="Times New Roman" w:hAnsi="Times New Roman" w:cs="Times New Roman"/>
                <w:color w:val="000000"/>
                <w:sz w:val="24"/>
                <w:lang w:val="en-US" w:eastAsia="zh-CN"/>
              </w:rPr>
              <w:t>900</w:t>
            </w:r>
            <w:r>
              <w:rPr>
                <w:rFonts w:hint="eastAsia" w:ascii="宋体" w:hAnsi="宋体"/>
                <w:color w:val="000000"/>
                <w:sz w:val="24"/>
                <w:lang w:val="en-US" w:eastAsia="zh-CN"/>
              </w:rPr>
              <w:t>吨环保型包装印刷材料项目</w:t>
            </w:r>
            <w:r>
              <w:rPr>
                <w:rFonts w:hint="default" w:ascii="Times New Roman" w:hAnsi="Times New Roman" w:cs="Times New Roman"/>
                <w:sz w:val="24"/>
              </w:rPr>
              <w:t>。</w:t>
            </w:r>
            <w:r>
              <w:rPr>
                <w:rFonts w:hint="eastAsia" w:cs="Times New Roman"/>
                <w:sz w:val="24"/>
                <w:lang w:val="en-US" w:eastAsia="zh-CN"/>
              </w:rPr>
              <w:t>本项目租赁新乡市顺美壁纸有限公司现有仓库进行建设，</w:t>
            </w:r>
            <w:r>
              <w:rPr>
                <w:rFonts w:hint="default" w:ascii="Times New Roman" w:hAnsi="Times New Roman" w:cs="Times New Roman"/>
                <w:sz w:val="24"/>
              </w:rPr>
              <w:t>经现场勘察，</w:t>
            </w:r>
            <w:r>
              <w:rPr>
                <w:rFonts w:hint="eastAsia" w:cs="Times New Roman"/>
                <w:sz w:val="24"/>
                <w:lang w:val="en-US" w:eastAsia="zh-CN"/>
              </w:rPr>
              <w:t>仓库内目前暂存顺美壁纸产品，与本项目无关。</w:t>
            </w:r>
            <w:r>
              <w:rPr>
                <w:rFonts w:hint="default" w:ascii="Times New Roman" w:hAnsi="Times New Roman" w:cs="Times New Roman"/>
                <w:sz w:val="24"/>
              </w:rPr>
              <w:t>本项目设备未到位，不具备生产能力，不属于未批先建。</w:t>
            </w:r>
            <w:r>
              <w:rPr>
                <w:rFonts w:hint="eastAsia" w:cs="Times New Roman"/>
                <w:sz w:val="24"/>
                <w:lang w:val="en-US" w:eastAsia="zh-CN"/>
              </w:rPr>
              <w:t>本项目分二期建设，一期建设规模为：年产300吨环保型书刊胶装机专用树脂颗粒；二期建设规模为：年产600吨环保型书刊胶装机专用树脂颗粒。全厂建成后规模为：年产900吨环保型书刊胶装机专用树脂颗粒。</w:t>
            </w:r>
          </w:p>
          <w:p>
            <w:pPr>
              <w:keepNext w:val="0"/>
              <w:keepLines w:val="0"/>
              <w:suppressLineNumbers w:val="0"/>
              <w:tabs>
                <w:tab w:val="center" w:pos="4709"/>
              </w:tabs>
              <w:adjustRightInd w:val="0"/>
              <w:snapToGrid w:val="0"/>
              <w:spacing w:before="0" w:beforeAutospacing="0" w:after="0" w:afterAutospacing="0" w:line="440" w:lineRule="exact"/>
              <w:ind w:left="0" w:right="0"/>
              <w:rPr>
                <w:rFonts w:hint="default"/>
                <w:b/>
                <w:sz w:val="24"/>
              </w:rPr>
            </w:pPr>
            <w:r>
              <w:rPr>
                <w:rFonts w:hint="eastAsia"/>
                <w:b/>
                <w:sz w:val="24"/>
              </w:rPr>
              <w:t>二、工程内容及规模</w:t>
            </w: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sz w:val="24"/>
              </w:rPr>
            </w:pPr>
            <w:r>
              <w:rPr>
                <w:rFonts w:hint="default" w:ascii="宋体" w:hAnsi="宋体"/>
                <w:b/>
                <w:sz w:val="24"/>
              </w:rPr>
              <w:t>1、项目概况</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sz w:val="24"/>
              </w:rPr>
            </w:pPr>
            <w:r>
              <w:rPr>
                <w:rFonts w:hint="default"/>
                <w:sz w:val="24"/>
              </w:rPr>
              <w:t>项目的基本情况见表</w:t>
            </w:r>
            <w:r>
              <w:rPr>
                <w:rFonts w:hint="eastAsia"/>
                <w:sz w:val="24"/>
                <w:lang w:val="en-US" w:eastAsia="zh-CN"/>
              </w:rPr>
              <w:t>11</w:t>
            </w:r>
            <w:r>
              <w:rPr>
                <w:rFonts w:hint="eastAsia"/>
                <w:sz w:val="24"/>
              </w:rPr>
              <w:t>。</w:t>
            </w:r>
          </w:p>
          <w:p>
            <w:pPr>
              <w:pStyle w:val="53"/>
              <w:keepNext w:val="0"/>
              <w:keepLines w:val="0"/>
              <w:suppressLineNumbers w:val="0"/>
              <w:spacing w:before="0" w:beforeAutospacing="0" w:after="0" w:afterAutospacing="0" w:line="440" w:lineRule="exact"/>
              <w:ind w:left="0" w:right="0" w:firstLine="0"/>
              <w:jc w:val="center"/>
              <w:rPr>
                <w:rFonts w:hint="default" w:hAnsi="宋体" w:cs="Times New Roman"/>
                <w:b/>
                <w:bCs/>
                <w:color w:val="000000"/>
                <w:sz w:val="24"/>
                <w:szCs w:val="24"/>
              </w:rPr>
            </w:pPr>
            <w:r>
              <w:rPr>
                <w:rFonts w:hint="eastAsia" w:hAnsi="宋体" w:cs="Times New Roman"/>
                <w:b/>
                <w:bCs/>
                <w:color w:val="000000"/>
                <w:sz w:val="24"/>
                <w:szCs w:val="24"/>
              </w:rPr>
              <w:t>表</w:t>
            </w:r>
            <w:r>
              <w:rPr>
                <w:rFonts w:hint="eastAsia" w:hAnsi="宋体" w:cs="Times New Roman"/>
                <w:b/>
                <w:bCs/>
                <w:color w:val="000000"/>
                <w:sz w:val="24"/>
                <w:szCs w:val="24"/>
                <w:lang w:val="en-US" w:eastAsia="zh-CN"/>
              </w:rPr>
              <w:t xml:space="preserve">11  </w:t>
            </w:r>
            <w:r>
              <w:rPr>
                <w:rFonts w:hint="eastAsia" w:hAnsi="宋体" w:cs="Times New Roman"/>
                <w:b/>
                <w:bCs/>
                <w:color w:val="000000"/>
                <w:sz w:val="24"/>
                <w:szCs w:val="24"/>
              </w:rPr>
              <w:t>项目基本情况</w:t>
            </w:r>
          </w:p>
          <w:tbl>
            <w:tblPr>
              <w:tblStyle w:val="22"/>
              <w:tblW w:w="5000" w:type="pct"/>
              <w:jc w:val="center"/>
              <w:tblLayout w:type="fixed"/>
              <w:tblCellMar>
                <w:top w:w="0" w:type="dxa"/>
                <w:left w:w="108" w:type="dxa"/>
                <w:bottom w:w="0" w:type="dxa"/>
                <w:right w:w="108" w:type="dxa"/>
              </w:tblCellMar>
            </w:tblPr>
            <w:tblGrid>
              <w:gridCol w:w="651"/>
              <w:gridCol w:w="1605"/>
              <w:gridCol w:w="6549"/>
            </w:tblGrid>
            <w:tr>
              <w:tblPrEx>
                <w:tblCellMar>
                  <w:top w:w="0" w:type="dxa"/>
                  <w:left w:w="108" w:type="dxa"/>
                  <w:bottom w:w="0" w:type="dxa"/>
                  <w:right w:w="108" w:type="dxa"/>
                </w:tblCellMar>
              </w:tblPrEx>
              <w:trPr>
                <w:trHeight w:val="397" w:hRule="atLeast"/>
                <w:jc w:val="center"/>
              </w:trPr>
              <w:tc>
                <w:tcPr>
                  <w:tcW w:w="651" w:type="dxa"/>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序号</w:t>
                  </w:r>
                </w:p>
              </w:tc>
              <w:tc>
                <w:tcPr>
                  <w:tcW w:w="16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项目</w:t>
                  </w:r>
                </w:p>
              </w:tc>
              <w:tc>
                <w:tcPr>
                  <w:tcW w:w="6549" w:type="dxa"/>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内容</w:t>
                  </w:r>
                </w:p>
              </w:tc>
            </w:tr>
            <w:tr>
              <w:tblPrEx>
                <w:tblCellMar>
                  <w:top w:w="0" w:type="dxa"/>
                  <w:left w:w="108" w:type="dxa"/>
                  <w:bottom w:w="0" w:type="dxa"/>
                  <w:right w:w="108" w:type="dxa"/>
                </w:tblCellMar>
              </w:tblPrEx>
              <w:trPr>
                <w:trHeight w:val="397" w:hRule="atLeast"/>
                <w:jc w:val="center"/>
              </w:trPr>
              <w:tc>
                <w:tcPr>
                  <w:tcW w:w="651" w:type="dxa"/>
                  <w:tcBorders>
                    <w:top w:val="single" w:color="auto"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1</w:t>
                  </w:r>
                </w:p>
              </w:tc>
              <w:tc>
                <w:tcPr>
                  <w:tcW w:w="1605" w:type="dxa"/>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项目名称</w:t>
                  </w:r>
                </w:p>
              </w:tc>
              <w:tc>
                <w:tcPr>
                  <w:tcW w:w="6549" w:type="dxa"/>
                  <w:tcBorders>
                    <w:top w:val="single" w:color="auto" w:sz="8"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ascii="宋体" w:hAnsi="宋体"/>
                      <w:color w:val="000000"/>
                      <w:sz w:val="21"/>
                      <w:szCs w:val="21"/>
                      <w:lang w:val="en-US" w:eastAsia="zh-CN"/>
                    </w:rPr>
                    <w:t>年产</w:t>
                  </w:r>
                  <w:r>
                    <w:rPr>
                      <w:rFonts w:hint="default" w:ascii="Times New Roman" w:hAnsi="Times New Roman" w:cs="Times New Roman"/>
                      <w:color w:val="000000"/>
                      <w:sz w:val="21"/>
                      <w:szCs w:val="21"/>
                      <w:lang w:val="en-US" w:eastAsia="zh-CN"/>
                    </w:rPr>
                    <w:t>900</w:t>
                  </w:r>
                  <w:r>
                    <w:rPr>
                      <w:rFonts w:hint="eastAsia" w:ascii="宋体" w:hAnsi="宋体"/>
                      <w:color w:val="000000"/>
                      <w:sz w:val="21"/>
                      <w:szCs w:val="21"/>
                      <w:lang w:val="en-US" w:eastAsia="zh-CN"/>
                    </w:rPr>
                    <w:t>吨环保型包装印刷材料项目</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2</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项目选址</w:t>
                  </w:r>
                </w:p>
              </w:tc>
              <w:tc>
                <w:tcPr>
                  <w:tcW w:w="65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河南省新乡市新乡县</w:t>
                  </w:r>
                  <w:r>
                    <w:rPr>
                      <w:rFonts w:hint="eastAsia" w:ascii="宋体" w:hAnsi="宋体" w:cs="宋体"/>
                      <w:sz w:val="21"/>
                      <w:szCs w:val="21"/>
                      <w:lang w:val="en-US" w:eastAsia="zh-CN"/>
                    </w:rPr>
                    <w:t>七里营镇工业园区阳光路</w:t>
                  </w:r>
                  <w:r>
                    <w:rPr>
                      <w:rFonts w:hint="default" w:ascii="Times New Roman" w:hAnsi="Times New Roman" w:cs="Times New Roman"/>
                      <w:sz w:val="21"/>
                      <w:szCs w:val="21"/>
                      <w:lang w:val="en-US" w:eastAsia="zh-CN"/>
                    </w:rPr>
                    <w:t>6</w:t>
                  </w:r>
                  <w:r>
                    <w:rPr>
                      <w:rFonts w:hint="eastAsia" w:ascii="宋体" w:hAnsi="宋体" w:cs="宋体"/>
                      <w:sz w:val="21"/>
                      <w:szCs w:val="21"/>
                      <w:lang w:val="en-US" w:eastAsia="zh-CN"/>
                    </w:rPr>
                    <w:t>号</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3</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建设单位</w:t>
                  </w:r>
                </w:p>
              </w:tc>
              <w:tc>
                <w:tcPr>
                  <w:tcW w:w="65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ascii="宋体" w:hAnsi="宋体"/>
                      <w:color w:val="000000"/>
                      <w:sz w:val="21"/>
                      <w:szCs w:val="21"/>
                      <w:lang w:val="en-US" w:eastAsia="zh-CN"/>
                    </w:rPr>
                    <w:t>新乡市凯盛新材料科技有限公司</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4</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占地面积</w:t>
                  </w:r>
                </w:p>
              </w:tc>
              <w:tc>
                <w:tcPr>
                  <w:tcW w:w="65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color w:val="auto"/>
                      <w:sz w:val="21"/>
                      <w:szCs w:val="21"/>
                    </w:rPr>
                    <w:t>本项目占地</w:t>
                  </w:r>
                  <w:r>
                    <w:rPr>
                      <w:rFonts w:hint="eastAsia"/>
                      <w:color w:val="auto"/>
                      <w:sz w:val="21"/>
                      <w:szCs w:val="21"/>
                      <w:lang w:val="en-US" w:eastAsia="zh-CN"/>
                    </w:rPr>
                    <w:t>1500</w:t>
                  </w:r>
                  <w:r>
                    <w:rPr>
                      <w:rFonts w:hint="eastAsia"/>
                      <w:color w:val="auto"/>
                      <w:sz w:val="21"/>
                      <w:szCs w:val="21"/>
                    </w:rPr>
                    <w:t>m</w:t>
                  </w:r>
                  <w:r>
                    <w:rPr>
                      <w:rFonts w:hint="default" w:ascii="Calibri" w:hAnsi="Calibri" w:cs="Calibri"/>
                      <w:color w:val="auto"/>
                      <w:sz w:val="21"/>
                      <w:szCs w:val="21"/>
                    </w:rPr>
                    <w:t>²</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5</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产品方案</w:t>
                  </w:r>
                </w:p>
              </w:tc>
              <w:tc>
                <w:tcPr>
                  <w:tcW w:w="65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年产900吨环保型书刊胶装机专用树脂颗粒</w:t>
                  </w:r>
                </w:p>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eastAsia="zh-CN"/>
                    </w:rPr>
                    <w:t>（</w:t>
                  </w:r>
                  <w:r>
                    <w:rPr>
                      <w:rFonts w:hint="eastAsia"/>
                      <w:sz w:val="21"/>
                      <w:szCs w:val="21"/>
                      <w:lang w:val="en-US" w:eastAsia="zh-CN"/>
                    </w:rPr>
                    <w:t>1期300t/a预计2023年8月完工；2期600t/a预计2024年8月开工</w:t>
                  </w:r>
                  <w:r>
                    <w:rPr>
                      <w:rFonts w:hint="eastAsia"/>
                      <w:sz w:val="21"/>
                      <w:szCs w:val="21"/>
                      <w:lang w:eastAsia="zh-CN"/>
                    </w:rPr>
                    <w:t>）</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6</w:t>
                  </w:r>
                </w:p>
              </w:tc>
              <w:tc>
                <w:tcPr>
                  <w:tcW w:w="16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sz w:val="21"/>
                      <w:szCs w:val="21"/>
                    </w:rPr>
                    <w:t>总投资</w:t>
                  </w:r>
                </w:p>
              </w:tc>
              <w:tc>
                <w:tcPr>
                  <w:tcW w:w="6549"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val="en-US" w:eastAsia="zh-CN"/>
                    </w:rPr>
                    <w:t>1000</w:t>
                  </w:r>
                  <w:r>
                    <w:rPr>
                      <w:rFonts w:hint="eastAsia"/>
                      <w:sz w:val="21"/>
                      <w:szCs w:val="21"/>
                    </w:rPr>
                    <w:t>万元</w:t>
                  </w:r>
                  <w:r>
                    <w:rPr>
                      <w:rFonts w:hint="eastAsia"/>
                      <w:sz w:val="21"/>
                      <w:szCs w:val="21"/>
                      <w:lang w:eastAsia="zh-CN"/>
                    </w:rPr>
                    <w:t>（</w:t>
                  </w:r>
                  <w:r>
                    <w:rPr>
                      <w:rFonts w:hint="eastAsia"/>
                      <w:sz w:val="21"/>
                      <w:szCs w:val="21"/>
                      <w:lang w:val="en-US" w:eastAsia="zh-CN"/>
                    </w:rPr>
                    <w:t>一期400万；二期600万</w:t>
                  </w:r>
                  <w:r>
                    <w:rPr>
                      <w:rFonts w:hint="eastAsia"/>
                      <w:sz w:val="21"/>
                      <w:szCs w:val="21"/>
                      <w:lang w:eastAsia="zh-CN"/>
                    </w:rPr>
                    <w:t>）</w:t>
                  </w:r>
                </w:p>
              </w:tc>
            </w:tr>
            <w:tr>
              <w:tblPrEx>
                <w:tblCellMar>
                  <w:top w:w="0" w:type="dxa"/>
                  <w:left w:w="108" w:type="dxa"/>
                  <w:bottom w:w="0" w:type="dxa"/>
                  <w:right w:w="108" w:type="dxa"/>
                </w:tblCellMar>
              </w:tblPrEx>
              <w:trPr>
                <w:trHeight w:val="397" w:hRule="atLeast"/>
                <w:jc w:val="center"/>
              </w:trPr>
              <w:tc>
                <w:tcPr>
                  <w:tcW w:w="651" w:type="dxa"/>
                  <w:tcBorders>
                    <w:top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7</w:t>
                  </w:r>
                </w:p>
              </w:tc>
              <w:tc>
                <w:tcPr>
                  <w:tcW w:w="1605"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rPr>
                  </w:pPr>
                  <w:r>
                    <w:rPr>
                      <w:rFonts w:hint="eastAsia"/>
                      <w:sz w:val="21"/>
                      <w:szCs w:val="21"/>
                    </w:rPr>
                    <w:t>劳动定员</w:t>
                  </w:r>
                </w:p>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与制度</w:t>
                  </w:r>
                </w:p>
              </w:tc>
              <w:tc>
                <w:tcPr>
                  <w:tcW w:w="6549" w:type="dxa"/>
                  <w:tcBorders>
                    <w:top w:val="single" w:color="auto" w:sz="4" w:space="0"/>
                    <w:left w:val="single" w:color="auto" w:sz="4"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FF0000"/>
                      <w:sz w:val="21"/>
                      <w:szCs w:val="21"/>
                      <w:lang w:val="en-US" w:eastAsia="zh-CN"/>
                    </w:rPr>
                  </w:pPr>
                  <w:r>
                    <w:rPr>
                      <w:rFonts w:hint="eastAsia"/>
                      <w:color w:val="auto"/>
                      <w:sz w:val="21"/>
                      <w:szCs w:val="21"/>
                    </w:rPr>
                    <w:t>本项目定员</w:t>
                  </w:r>
                  <w:r>
                    <w:rPr>
                      <w:rFonts w:hint="eastAsia"/>
                      <w:color w:val="auto"/>
                      <w:sz w:val="21"/>
                      <w:szCs w:val="21"/>
                      <w:lang w:val="en-US" w:eastAsia="zh-CN"/>
                    </w:rPr>
                    <w:t>共20</w:t>
                  </w:r>
                  <w:r>
                    <w:rPr>
                      <w:rFonts w:hint="eastAsia"/>
                      <w:color w:val="auto"/>
                      <w:sz w:val="21"/>
                      <w:szCs w:val="21"/>
                    </w:rPr>
                    <w:t>人</w:t>
                  </w:r>
                  <w:r>
                    <w:rPr>
                      <w:rFonts w:hint="eastAsia"/>
                      <w:color w:val="auto"/>
                      <w:sz w:val="21"/>
                      <w:szCs w:val="21"/>
                      <w:lang w:eastAsia="zh-CN"/>
                    </w:rPr>
                    <w:t>（</w:t>
                  </w:r>
                  <w:r>
                    <w:rPr>
                      <w:rFonts w:hint="eastAsia"/>
                      <w:color w:val="auto"/>
                      <w:sz w:val="21"/>
                      <w:szCs w:val="21"/>
                      <w:lang w:val="en-US" w:eastAsia="zh-CN"/>
                    </w:rPr>
                    <w:t>项目一期定员8人，项目二期增加定员12人</w:t>
                  </w:r>
                  <w:r>
                    <w:rPr>
                      <w:rFonts w:hint="eastAsia"/>
                      <w:color w:val="auto"/>
                      <w:sz w:val="21"/>
                      <w:szCs w:val="21"/>
                      <w:lang w:eastAsia="zh-CN"/>
                    </w:rPr>
                    <w:t>）</w:t>
                  </w:r>
                  <w:r>
                    <w:rPr>
                      <w:rFonts w:hint="eastAsia"/>
                      <w:color w:val="auto"/>
                      <w:sz w:val="21"/>
                      <w:szCs w:val="21"/>
                      <w:lang w:val="en-US" w:eastAsia="zh-CN"/>
                    </w:rPr>
                    <w:t>单班制生产，每班8小时，年工作日300</w:t>
                  </w:r>
                </w:p>
              </w:tc>
            </w:tr>
          </w:tbl>
          <w:p>
            <w:pPr>
              <w:keepNext w:val="0"/>
              <w:keepLines w:val="0"/>
              <w:suppressLineNumbers w:val="0"/>
              <w:spacing w:before="0" w:beforeAutospacing="0" w:after="0" w:afterAutospacing="0" w:line="440" w:lineRule="exact"/>
              <w:ind w:left="0" w:right="0" w:firstLine="482" w:firstLineChars="200"/>
              <w:rPr>
                <w:rFonts w:hint="eastAsia" w:eastAsia="宋体"/>
                <w:b/>
                <w:sz w:val="24"/>
                <w:lang w:eastAsia="zh-CN"/>
              </w:rPr>
            </w:pPr>
            <w:r>
              <w:rPr>
                <w:rFonts w:hint="default"/>
                <w:b/>
                <w:sz w:val="24"/>
              </w:rPr>
              <w:t>2</w:t>
            </w:r>
            <w:r>
              <w:rPr>
                <w:rFonts w:hint="eastAsia"/>
                <w:b/>
                <w:sz w:val="24"/>
              </w:rPr>
              <w:t>、项目建设</w:t>
            </w:r>
            <w:r>
              <w:rPr>
                <w:rFonts w:hint="eastAsia"/>
                <w:b/>
                <w:sz w:val="24"/>
                <w:lang w:val="en-US" w:eastAsia="zh-CN"/>
              </w:rPr>
              <w:t>内容</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本项目主要工程组成见表</w:t>
            </w:r>
            <w:r>
              <w:rPr>
                <w:rFonts w:hint="eastAsia"/>
                <w:sz w:val="24"/>
                <w:lang w:val="en-US" w:eastAsia="zh-CN"/>
              </w:rPr>
              <w:t>12</w:t>
            </w:r>
            <w:r>
              <w:rPr>
                <w:rFonts w:hint="eastAsia"/>
                <w:sz w:val="24"/>
              </w:rPr>
              <w:t>。</w:t>
            </w:r>
          </w:p>
          <w:p>
            <w:pPr>
              <w:pStyle w:val="53"/>
              <w:keepNext w:val="0"/>
              <w:keepLines w:val="0"/>
              <w:suppressLineNumbers w:val="0"/>
              <w:spacing w:before="0" w:beforeAutospacing="0" w:after="0" w:afterAutospacing="0" w:line="440" w:lineRule="exact"/>
              <w:ind w:left="0" w:right="0" w:firstLine="0"/>
              <w:jc w:val="center"/>
              <w:rPr>
                <w:rFonts w:hint="default" w:ascii="Times New Roman" w:hAnsi="Times New Roman" w:cs="Times New Roman"/>
                <w:sz w:val="24"/>
                <w:szCs w:val="24"/>
              </w:rPr>
            </w:pPr>
            <w:r>
              <w:rPr>
                <w:rFonts w:hint="default" w:hAnsi="宋体" w:cs="Times New Roman"/>
                <w:b/>
                <w:bCs/>
                <w:color w:val="000000"/>
                <w:sz w:val="24"/>
                <w:szCs w:val="24"/>
              </w:rPr>
              <w:t>表</w:t>
            </w:r>
            <w:r>
              <w:rPr>
                <w:rFonts w:hint="eastAsia" w:hAnsi="宋体" w:cs="Times New Roman"/>
                <w:b/>
                <w:bCs/>
                <w:color w:val="000000"/>
                <w:sz w:val="24"/>
                <w:szCs w:val="24"/>
                <w:lang w:val="en-US" w:eastAsia="zh-CN"/>
              </w:rPr>
              <w:t xml:space="preserve">12  </w:t>
            </w:r>
            <w:r>
              <w:rPr>
                <w:rFonts w:hint="default" w:hAnsi="宋体" w:cs="Times New Roman"/>
                <w:b/>
                <w:bCs/>
                <w:color w:val="000000"/>
                <w:sz w:val="24"/>
                <w:szCs w:val="24"/>
              </w:rPr>
              <w:t>本项目组成情况</w:t>
            </w:r>
          </w:p>
          <w:tbl>
            <w:tblPr>
              <w:tblStyle w:val="22"/>
              <w:tblW w:w="5000" w:type="pct"/>
              <w:jc w:val="center"/>
              <w:tblLayout w:type="fixed"/>
              <w:tblCellMar>
                <w:top w:w="0" w:type="dxa"/>
                <w:left w:w="108" w:type="dxa"/>
                <w:bottom w:w="0" w:type="dxa"/>
                <w:right w:w="108" w:type="dxa"/>
              </w:tblCellMar>
            </w:tblPr>
            <w:tblGrid>
              <w:gridCol w:w="704"/>
              <w:gridCol w:w="761"/>
              <w:gridCol w:w="1290"/>
              <w:gridCol w:w="6026"/>
              <w:gridCol w:w="24"/>
            </w:tblGrid>
            <w:tr>
              <w:tblPrEx>
                <w:tblCellMar>
                  <w:top w:w="0" w:type="dxa"/>
                  <w:left w:w="108" w:type="dxa"/>
                  <w:bottom w:w="0" w:type="dxa"/>
                  <w:right w:w="108" w:type="dxa"/>
                </w:tblCellMar>
              </w:tblPrEx>
              <w:trPr>
                <w:gridAfter w:val="1"/>
                <w:wAfter w:w="24" w:type="dxa"/>
                <w:trHeight w:val="397" w:hRule="atLeast"/>
                <w:jc w:val="center"/>
              </w:trPr>
              <w:tc>
                <w:tcPr>
                  <w:tcW w:w="704" w:type="dxa"/>
                  <w:tcBorders>
                    <w:top w:val="single" w:color="auto" w:sz="8" w:space="0"/>
                    <w:bottom w:val="single" w:color="auto" w:sz="8" w:space="0"/>
                    <w:right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序号</w:t>
                  </w:r>
                </w:p>
              </w:tc>
              <w:tc>
                <w:tcPr>
                  <w:tcW w:w="76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项目</w:t>
                  </w:r>
                </w:p>
              </w:tc>
              <w:tc>
                <w:tcPr>
                  <w:tcW w:w="129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建设内容</w:t>
                  </w:r>
                </w:p>
              </w:tc>
              <w:tc>
                <w:tcPr>
                  <w:tcW w:w="6026" w:type="dxa"/>
                  <w:tcBorders>
                    <w:top w:val="single" w:color="auto" w:sz="8" w:space="0"/>
                    <w:left w:val="single" w:color="auto" w:sz="8" w:space="0"/>
                    <w:bottom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数量、规模或要求</w:t>
                  </w:r>
                </w:p>
              </w:tc>
            </w:tr>
            <w:tr>
              <w:tblPrEx>
                <w:tblCellMar>
                  <w:top w:w="0" w:type="dxa"/>
                  <w:left w:w="108" w:type="dxa"/>
                  <w:bottom w:w="0" w:type="dxa"/>
                  <w:right w:w="108" w:type="dxa"/>
                </w:tblCellMar>
              </w:tblPrEx>
              <w:trPr>
                <w:gridAfter w:val="1"/>
                <w:wAfter w:w="24" w:type="dxa"/>
                <w:trHeight w:val="397" w:hRule="atLeast"/>
                <w:jc w:val="center"/>
              </w:trPr>
              <w:tc>
                <w:tcPr>
                  <w:tcW w:w="704" w:type="dxa"/>
                  <w:tcBorders>
                    <w:top w:val="single" w:color="auto" w:sz="8"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color w:val="auto"/>
                      <w:sz w:val="21"/>
                      <w:szCs w:val="21"/>
                    </w:rPr>
                  </w:pPr>
                  <w:r>
                    <w:rPr>
                      <w:rFonts w:hint="default"/>
                      <w:color w:val="auto"/>
                      <w:sz w:val="21"/>
                      <w:szCs w:val="21"/>
                    </w:rPr>
                    <w:t>1</w:t>
                  </w:r>
                </w:p>
              </w:tc>
              <w:tc>
                <w:tcPr>
                  <w:tcW w:w="761" w:type="dxa"/>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color w:val="auto"/>
                      <w:sz w:val="21"/>
                      <w:szCs w:val="21"/>
                    </w:rPr>
                  </w:pPr>
                  <w:r>
                    <w:rPr>
                      <w:rFonts w:hint="default"/>
                      <w:color w:val="auto"/>
                      <w:sz w:val="21"/>
                      <w:szCs w:val="21"/>
                    </w:rPr>
                    <w:t>主体工程</w:t>
                  </w:r>
                </w:p>
              </w:tc>
              <w:tc>
                <w:tcPr>
                  <w:tcW w:w="1290" w:type="dxa"/>
                  <w:tcBorders>
                    <w:top w:val="single" w:color="auto" w:sz="8"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jc w:val="center"/>
                    <w:rPr>
                      <w:rFonts w:hint="default"/>
                      <w:color w:val="auto"/>
                      <w:sz w:val="21"/>
                      <w:szCs w:val="21"/>
                    </w:rPr>
                  </w:pPr>
                  <w:r>
                    <w:rPr>
                      <w:rFonts w:hint="eastAsia"/>
                      <w:color w:val="auto"/>
                      <w:sz w:val="21"/>
                      <w:szCs w:val="21"/>
                    </w:rPr>
                    <w:t>生产车间</w:t>
                  </w:r>
                </w:p>
              </w:tc>
              <w:tc>
                <w:tcPr>
                  <w:tcW w:w="6026" w:type="dxa"/>
                  <w:tcBorders>
                    <w:top w:val="single" w:color="auto" w:sz="8" w:space="0"/>
                    <w:left w:val="single" w:color="auto" w:sz="4" w:space="0"/>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rPr>
                    <w:t>一座，</w:t>
                  </w:r>
                  <w:r>
                    <w:rPr>
                      <w:rFonts w:hint="eastAsia"/>
                      <w:color w:val="000000" w:themeColor="text1"/>
                      <w:sz w:val="21"/>
                      <w:szCs w:val="21"/>
                      <w14:textFill>
                        <w14:solidFill>
                          <w14:schemeClr w14:val="tx1"/>
                        </w14:solidFill>
                      </w14:textFill>
                    </w:rPr>
                    <w:t>建筑面积为</w:t>
                  </w:r>
                  <w:r>
                    <w:rPr>
                      <w:rFonts w:hint="eastAsia"/>
                      <w:color w:val="000000" w:themeColor="text1"/>
                      <w:sz w:val="21"/>
                      <w:szCs w:val="21"/>
                      <w:lang w:val="en-US" w:eastAsia="zh-CN"/>
                      <w14:textFill>
                        <w14:solidFill>
                          <w14:schemeClr w14:val="tx1"/>
                        </w14:solidFill>
                      </w14:textFill>
                    </w:rPr>
                    <w:t>1200</w:t>
                  </w:r>
                  <w:r>
                    <w:rPr>
                      <w:rFonts w:hint="eastAsia"/>
                      <w:color w:val="000000" w:themeColor="text1"/>
                      <w:sz w:val="21"/>
                      <w:szCs w:val="21"/>
                      <w14:textFill>
                        <w14:solidFill>
                          <w14:schemeClr w14:val="tx1"/>
                        </w14:solidFill>
                      </w14:textFill>
                    </w:rPr>
                    <w:t>m</w:t>
                  </w:r>
                  <w:r>
                    <w:rPr>
                      <w:rFonts w:hint="default" w:ascii="Calibri" w:hAnsi="Calibri" w:cs="Calibri"/>
                      <w:color w:val="000000" w:themeColor="text1"/>
                      <w:sz w:val="21"/>
                      <w:szCs w:val="21"/>
                      <w14:textFill>
                        <w14:solidFill>
                          <w14:schemeClr w14:val="tx1"/>
                        </w14:solidFill>
                      </w14:textFill>
                    </w:rPr>
                    <w:t>²</w:t>
                  </w:r>
                  <w:r>
                    <w:rPr>
                      <w:rFonts w:hint="eastAsia"/>
                      <w:color w:val="000000" w:themeColor="text1"/>
                      <w:sz w:val="21"/>
                      <w:szCs w:val="21"/>
                      <w14:textFill>
                        <w14:solidFill>
                          <w14:schemeClr w14:val="tx1"/>
                        </w14:solidFill>
                      </w14:textFill>
                    </w:rPr>
                    <w:t>。</w:t>
                  </w:r>
                  <w:r>
                    <w:rPr>
                      <w:rFonts w:hint="eastAsia"/>
                      <w:color w:val="auto"/>
                      <w:sz w:val="21"/>
                      <w:szCs w:val="21"/>
                    </w:rPr>
                    <w:t>利用现有厂</w:t>
                  </w:r>
                  <w:r>
                    <w:rPr>
                      <w:rFonts w:hint="eastAsia"/>
                      <w:color w:val="auto"/>
                      <w:sz w:val="21"/>
                      <w:szCs w:val="21"/>
                      <w:lang w:val="en-US" w:eastAsia="zh-CN"/>
                    </w:rPr>
                    <w:t>房</w:t>
                  </w:r>
                </w:p>
                <w:p>
                  <w:pPr>
                    <w:keepNext w:val="0"/>
                    <w:keepLines w:val="0"/>
                    <w:suppressLineNumbers w:val="0"/>
                    <w:snapToGri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项目一期、二期均在一座厂房内建设，不另外新增建筑</w:t>
                  </w:r>
                  <w:r>
                    <w:rPr>
                      <w:rFonts w:hint="eastAsia"/>
                      <w:color w:val="auto"/>
                      <w:sz w:val="21"/>
                      <w:szCs w:val="21"/>
                      <w:lang w:eastAsia="zh-CN"/>
                    </w:rPr>
                    <w:t>）</w:t>
                  </w:r>
                </w:p>
              </w:tc>
            </w:tr>
            <w:tr>
              <w:tblPrEx>
                <w:tblCellMar>
                  <w:top w:w="0" w:type="dxa"/>
                  <w:left w:w="108" w:type="dxa"/>
                  <w:bottom w:w="0" w:type="dxa"/>
                  <w:right w:w="108" w:type="dxa"/>
                </w:tblCellMar>
              </w:tblPrEx>
              <w:trPr>
                <w:trHeight w:val="397" w:hRule="atLeast"/>
                <w:jc w:val="center"/>
              </w:trPr>
              <w:tc>
                <w:tcPr>
                  <w:tcW w:w="704" w:type="dxa"/>
                  <w:vMerge w:val="restart"/>
                  <w:tcBorders>
                    <w:top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color w:val="FF0000"/>
                      <w:sz w:val="21"/>
                      <w:szCs w:val="21"/>
                      <w:lang w:eastAsia="zh-CN"/>
                    </w:rPr>
                  </w:pPr>
                  <w:r>
                    <w:rPr>
                      <w:rFonts w:hint="eastAsia"/>
                      <w:color w:val="auto"/>
                      <w:sz w:val="21"/>
                      <w:szCs w:val="21"/>
                      <w:lang w:val="en-US" w:eastAsia="zh-CN"/>
                    </w:rPr>
                    <w:t>2</w:t>
                  </w:r>
                </w:p>
              </w:tc>
              <w:tc>
                <w:tcPr>
                  <w:tcW w:w="761"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color w:val="auto"/>
                      <w:sz w:val="21"/>
                      <w:szCs w:val="21"/>
                    </w:rPr>
                  </w:pPr>
                  <w:r>
                    <w:rPr>
                      <w:rFonts w:hint="default"/>
                      <w:color w:val="auto"/>
                      <w:sz w:val="21"/>
                      <w:szCs w:val="21"/>
                    </w:rPr>
                    <w:t>公用工程</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jc w:val="center"/>
                    <w:rPr>
                      <w:rFonts w:hint="default"/>
                      <w:color w:val="auto"/>
                      <w:sz w:val="21"/>
                      <w:szCs w:val="21"/>
                    </w:rPr>
                  </w:pPr>
                  <w:r>
                    <w:rPr>
                      <w:rFonts w:hint="default"/>
                      <w:color w:val="auto"/>
                      <w:sz w:val="21"/>
                      <w:szCs w:val="21"/>
                    </w:rPr>
                    <w:t>给水</w:t>
                  </w:r>
                </w:p>
              </w:tc>
              <w:tc>
                <w:tcPr>
                  <w:tcW w:w="6050" w:type="dxa"/>
                  <w:gridSpan w:val="2"/>
                  <w:tcBorders>
                    <w:top w:val="single" w:color="auto" w:sz="4" w:space="0"/>
                    <w:left w:val="single" w:color="auto" w:sz="4" w:space="0"/>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color w:val="auto"/>
                      <w:sz w:val="21"/>
                      <w:szCs w:val="21"/>
                    </w:rPr>
                  </w:pPr>
                  <w:r>
                    <w:rPr>
                      <w:rFonts w:hint="eastAsia"/>
                      <w:b w:val="0"/>
                      <w:bCs/>
                      <w:color w:val="auto"/>
                      <w:sz w:val="21"/>
                      <w:szCs w:val="21"/>
                      <w:highlight w:val="none"/>
                      <w:u w:val="none"/>
                      <w:lang w:val="en-US" w:eastAsia="zh-CN"/>
                    </w:rPr>
                    <w:t>新乡县</w:t>
                  </w:r>
                  <w:r>
                    <w:rPr>
                      <w:rFonts w:hint="eastAsia"/>
                      <w:b w:val="0"/>
                      <w:bCs/>
                      <w:color w:val="auto"/>
                      <w:sz w:val="21"/>
                      <w:szCs w:val="21"/>
                      <w:highlight w:val="none"/>
                      <w:u w:val="none"/>
                      <w:lang w:eastAsia="zh-CN"/>
                    </w:rPr>
                    <w:t>自来水</w:t>
                  </w:r>
                  <w:r>
                    <w:rPr>
                      <w:rFonts w:hint="eastAsia"/>
                      <w:b w:val="0"/>
                      <w:bCs/>
                      <w:color w:val="auto"/>
                      <w:sz w:val="21"/>
                      <w:szCs w:val="21"/>
                      <w:highlight w:val="none"/>
                      <w:u w:val="none"/>
                      <w:lang w:val="en-US" w:eastAsia="zh-CN"/>
                    </w:rPr>
                    <w:t>管网</w:t>
                  </w:r>
                </w:p>
              </w:tc>
            </w:tr>
            <w:tr>
              <w:tblPrEx>
                <w:tblCellMar>
                  <w:top w:w="0" w:type="dxa"/>
                  <w:left w:w="108" w:type="dxa"/>
                  <w:bottom w:w="0" w:type="dxa"/>
                  <w:right w:w="108" w:type="dxa"/>
                </w:tblCellMar>
              </w:tblPrEx>
              <w:trPr>
                <w:trHeight w:val="397" w:hRule="atLeast"/>
                <w:jc w:val="center"/>
              </w:trPr>
              <w:tc>
                <w:tcPr>
                  <w:tcW w:w="704" w:type="dxa"/>
                  <w:vMerge w:val="continue"/>
                  <w:tcBorders>
                    <w:top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761"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auto"/>
                      <w:sz w:val="21"/>
                      <w:szCs w:val="21"/>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jc w:val="center"/>
                    <w:rPr>
                      <w:rFonts w:hint="default"/>
                      <w:color w:val="auto"/>
                      <w:sz w:val="21"/>
                      <w:szCs w:val="21"/>
                    </w:rPr>
                  </w:pPr>
                  <w:r>
                    <w:rPr>
                      <w:rFonts w:hint="default"/>
                      <w:color w:val="auto"/>
                      <w:sz w:val="21"/>
                      <w:szCs w:val="21"/>
                    </w:rPr>
                    <w:t>供电</w:t>
                  </w:r>
                </w:p>
              </w:tc>
              <w:tc>
                <w:tcPr>
                  <w:tcW w:w="6050" w:type="dxa"/>
                  <w:gridSpan w:val="2"/>
                  <w:tcBorders>
                    <w:top w:val="single" w:color="auto" w:sz="4" w:space="0"/>
                    <w:left w:val="single" w:color="auto" w:sz="4" w:space="0"/>
                    <w:bottom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color w:val="auto"/>
                      <w:sz w:val="21"/>
                      <w:szCs w:val="21"/>
                    </w:rPr>
                  </w:pPr>
                  <w:r>
                    <w:rPr>
                      <w:rFonts w:hint="eastAsia"/>
                      <w:b w:val="0"/>
                      <w:bCs/>
                      <w:color w:val="auto"/>
                      <w:sz w:val="21"/>
                      <w:szCs w:val="21"/>
                      <w:highlight w:val="none"/>
                      <w:u w:val="none"/>
                      <w:lang w:val="en-US" w:eastAsia="zh-CN"/>
                    </w:rPr>
                    <w:t>新乡县</w:t>
                  </w:r>
                  <w:r>
                    <w:rPr>
                      <w:rFonts w:hint="eastAsia"/>
                      <w:b w:val="0"/>
                      <w:bCs/>
                      <w:color w:val="auto"/>
                      <w:sz w:val="21"/>
                      <w:szCs w:val="21"/>
                      <w:highlight w:val="none"/>
                      <w:u w:val="none"/>
                      <w:lang w:eastAsia="zh-CN"/>
                    </w:rPr>
                    <w:t>统一供</w:t>
                  </w:r>
                  <w:r>
                    <w:rPr>
                      <w:rFonts w:hint="eastAsia"/>
                      <w:b w:val="0"/>
                      <w:bCs/>
                      <w:color w:val="auto"/>
                      <w:sz w:val="21"/>
                      <w:szCs w:val="21"/>
                      <w:highlight w:val="none"/>
                      <w:u w:val="none"/>
                      <w:lang w:val="en-US" w:eastAsia="zh-CN"/>
                    </w:rPr>
                    <w:t>电</w:t>
                  </w:r>
                </w:p>
              </w:tc>
            </w:tr>
            <w:tr>
              <w:tblPrEx>
                <w:tblCellMar>
                  <w:top w:w="0" w:type="dxa"/>
                  <w:left w:w="108" w:type="dxa"/>
                  <w:bottom w:w="0" w:type="dxa"/>
                  <w:right w:w="108" w:type="dxa"/>
                </w:tblCellMar>
              </w:tblPrEx>
              <w:trPr>
                <w:trHeight w:val="397" w:hRule="atLeast"/>
                <w:jc w:val="center"/>
              </w:trPr>
              <w:tc>
                <w:tcPr>
                  <w:tcW w:w="704" w:type="dxa"/>
                  <w:vMerge w:val="restart"/>
                  <w:tcBorders>
                    <w:top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eastAsia" w:eastAsia="宋体"/>
                      <w:color w:val="FF0000"/>
                      <w:sz w:val="21"/>
                      <w:szCs w:val="21"/>
                      <w:lang w:val="en-US" w:eastAsia="zh-CN"/>
                    </w:rPr>
                  </w:pPr>
                  <w:r>
                    <w:rPr>
                      <w:rFonts w:hint="eastAsia"/>
                      <w:color w:val="auto"/>
                      <w:sz w:val="21"/>
                      <w:szCs w:val="21"/>
                      <w:lang w:val="en-US" w:eastAsia="zh-CN"/>
                    </w:rPr>
                    <w:t>3</w:t>
                  </w:r>
                </w:p>
              </w:tc>
              <w:tc>
                <w:tcPr>
                  <w:tcW w:w="761"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eastAsia="宋体"/>
                      <w:color w:val="auto"/>
                      <w:sz w:val="21"/>
                      <w:szCs w:val="21"/>
                      <w:lang w:val="en-US" w:eastAsia="zh-CN"/>
                    </w:rPr>
                  </w:pPr>
                  <w:r>
                    <w:rPr>
                      <w:rFonts w:hint="eastAsia"/>
                      <w:color w:val="auto"/>
                      <w:sz w:val="21"/>
                      <w:szCs w:val="21"/>
                      <w:lang w:val="en-US" w:eastAsia="zh-CN"/>
                    </w:rPr>
                    <w:t>环保工程</w:t>
                  </w: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jc w:val="center"/>
                    <w:rPr>
                      <w:rFonts w:hint="default"/>
                      <w:color w:val="auto"/>
                      <w:sz w:val="21"/>
                      <w:szCs w:val="21"/>
                    </w:rPr>
                  </w:pPr>
                  <w:r>
                    <w:rPr>
                      <w:rFonts w:hint="eastAsia"/>
                      <w:color w:val="auto"/>
                      <w:sz w:val="21"/>
                      <w:szCs w:val="21"/>
                      <w:lang w:val="en-US" w:eastAsia="zh-CN"/>
                    </w:rPr>
                    <w:t>废气治理</w:t>
                  </w:r>
                </w:p>
              </w:tc>
              <w:tc>
                <w:tcPr>
                  <w:tcW w:w="6050" w:type="dxa"/>
                  <w:gridSpan w:val="2"/>
                  <w:tcBorders>
                    <w:top w:val="single" w:color="auto" w:sz="4" w:space="0"/>
                    <w:left w:val="single" w:color="auto" w:sz="4" w:space="0"/>
                    <w:bottom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废气</w:t>
                  </w:r>
                  <w:r>
                    <w:rPr>
                      <w:rFonts w:hint="default" w:ascii="Times New Roman" w:hAnsi="Times New Roman" w:cs="Times New Roman"/>
                      <w:color w:val="auto"/>
                      <w:sz w:val="21"/>
                      <w:szCs w:val="21"/>
                    </w:rPr>
                    <w:t>通过密闭负压管道收集</w:t>
                  </w:r>
                  <w:r>
                    <w:rPr>
                      <w:rFonts w:hint="eastAsia" w:cs="Times New Roman"/>
                      <w:color w:val="auto"/>
                      <w:sz w:val="21"/>
                      <w:szCs w:val="21"/>
                      <w:lang w:val="en-US" w:eastAsia="zh-CN"/>
                    </w:rPr>
                    <w:t>经一套废气处理措施（</w:t>
                  </w:r>
                  <w:r>
                    <w:rPr>
                      <w:rFonts w:hint="eastAsia" w:ascii="Times New Roman" w:hAnsi="Times New Roman" w:eastAsia="宋体" w:cs="Times New Roman"/>
                      <w:b w:val="0"/>
                      <w:bCs w:val="0"/>
                      <w:color w:val="auto"/>
                      <w:kern w:val="2"/>
                      <w:sz w:val="21"/>
                      <w:szCs w:val="21"/>
                      <w:lang w:val="en-US" w:eastAsia="zh-CN" w:bidi="ar-SA"/>
                    </w:rPr>
                    <w:t>活性炭吸附脱附</w:t>
                  </w:r>
                  <w:r>
                    <w:rPr>
                      <w:rFonts w:hint="eastAsia"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催化燃烧装置</w:t>
                  </w:r>
                  <w:r>
                    <w:rPr>
                      <w:rFonts w:hint="eastAsia" w:cs="Times New Roman"/>
                      <w:b w:val="0"/>
                      <w:bCs w:val="0"/>
                      <w:color w:val="auto"/>
                      <w:kern w:val="2"/>
                      <w:sz w:val="21"/>
                      <w:szCs w:val="21"/>
                      <w:lang w:val="en-US" w:eastAsia="zh-CN" w:bidi="ar-SA"/>
                    </w:rPr>
                    <w:t>）处理</w:t>
                  </w:r>
                  <w:r>
                    <w:rPr>
                      <w:rFonts w:hint="eastAsia" w:cs="Times New Roman"/>
                      <w:color w:val="auto"/>
                      <w:sz w:val="21"/>
                      <w:szCs w:val="21"/>
                      <w:lang w:val="en-US" w:eastAsia="zh-CN"/>
                    </w:rPr>
                    <w:t>+</w:t>
                  </w:r>
                  <w:r>
                    <w:rPr>
                      <w:rFonts w:hint="default" w:ascii="Times New Roman" w:hAnsi="Times New Roman" w:cs="Times New Roman"/>
                      <w:color w:val="auto"/>
                      <w:sz w:val="21"/>
                      <w:szCs w:val="21"/>
                    </w:rPr>
                    <w:t>15m高排气筒</w:t>
                  </w:r>
                  <w:r>
                    <w:rPr>
                      <w:rFonts w:hint="eastAsia" w:cs="Times New Roman"/>
                      <w:color w:val="auto"/>
                      <w:sz w:val="21"/>
                      <w:szCs w:val="21"/>
                      <w:lang w:eastAsia="zh-CN"/>
                    </w:rPr>
                    <w:t>（</w:t>
                  </w:r>
                  <w:r>
                    <w:rPr>
                      <w:rFonts w:hint="eastAsia" w:cs="Times New Roman"/>
                      <w:color w:val="auto"/>
                      <w:sz w:val="21"/>
                      <w:szCs w:val="21"/>
                      <w:lang w:val="en-US" w:eastAsia="zh-CN"/>
                    </w:rPr>
                    <w:t>DA001</w:t>
                  </w:r>
                  <w:r>
                    <w:rPr>
                      <w:rFonts w:hint="eastAsia" w:cs="Times New Roman"/>
                      <w:color w:val="auto"/>
                      <w:sz w:val="21"/>
                      <w:szCs w:val="21"/>
                      <w:lang w:eastAsia="zh-CN"/>
                    </w:rPr>
                    <w:t>）</w:t>
                  </w:r>
                  <w:r>
                    <w:rPr>
                      <w:rFonts w:hint="default" w:ascii="Times New Roman" w:hAnsi="Times New Roman" w:cs="Times New Roman"/>
                      <w:color w:val="auto"/>
                      <w:sz w:val="21"/>
                      <w:szCs w:val="21"/>
                    </w:rPr>
                    <w:t>排放</w:t>
                  </w:r>
                </w:p>
              </w:tc>
            </w:tr>
            <w:tr>
              <w:tblPrEx>
                <w:tblCellMar>
                  <w:top w:w="0" w:type="dxa"/>
                  <w:left w:w="108" w:type="dxa"/>
                  <w:bottom w:w="0" w:type="dxa"/>
                  <w:right w:w="108" w:type="dxa"/>
                </w:tblCellMar>
              </w:tblPrEx>
              <w:trPr>
                <w:trHeight w:val="397" w:hRule="atLeast"/>
                <w:jc w:val="center"/>
              </w:trPr>
              <w:tc>
                <w:tcPr>
                  <w:tcW w:w="704" w:type="dxa"/>
                  <w:vMerge w:val="continue"/>
                  <w:tcBorders>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761" w:type="dxa"/>
                  <w:vMerge w:val="continue"/>
                  <w:tcBorders>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废水治理</w:t>
                  </w:r>
                </w:p>
              </w:tc>
              <w:tc>
                <w:tcPr>
                  <w:tcW w:w="6050" w:type="dxa"/>
                  <w:gridSpan w:val="2"/>
                  <w:tcBorders>
                    <w:top w:val="single" w:color="auto" w:sz="4" w:space="0"/>
                    <w:left w:val="single" w:color="auto" w:sz="4" w:space="0"/>
                    <w:bottom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rPr>
                    <w:t>生活污水经</w:t>
                  </w:r>
                  <w:r>
                    <w:rPr>
                      <w:rFonts w:hint="default"/>
                      <w:color w:val="auto"/>
                      <w:sz w:val="21"/>
                      <w:szCs w:val="21"/>
                      <w:lang w:val="pt-BR"/>
                    </w:rPr>
                    <w:t>化粪池处理后</w:t>
                  </w:r>
                  <w:r>
                    <w:rPr>
                      <w:rFonts w:hint="eastAsia"/>
                      <w:color w:val="auto"/>
                      <w:sz w:val="21"/>
                      <w:szCs w:val="21"/>
                    </w:rPr>
                    <w:t>，</w:t>
                  </w:r>
                  <w:r>
                    <w:rPr>
                      <w:rFonts w:hint="default"/>
                      <w:color w:val="auto"/>
                      <w:sz w:val="21"/>
                      <w:szCs w:val="21"/>
                    </w:rPr>
                    <w:t>通过污水管网排入</w:t>
                  </w:r>
                  <w:r>
                    <w:rPr>
                      <w:rFonts w:hint="eastAsia"/>
                      <w:color w:val="auto"/>
                      <w:sz w:val="21"/>
                      <w:szCs w:val="21"/>
                      <w:lang w:val="en-US" w:eastAsia="zh-CN"/>
                    </w:rPr>
                    <w:t>新乡新综合污水处理厂</w:t>
                  </w:r>
                  <w:r>
                    <w:rPr>
                      <w:rFonts w:hint="default"/>
                      <w:color w:val="auto"/>
                      <w:sz w:val="21"/>
                      <w:szCs w:val="21"/>
                    </w:rPr>
                    <w:t>进一步处理</w:t>
                  </w:r>
                </w:p>
              </w:tc>
            </w:tr>
            <w:tr>
              <w:tblPrEx>
                <w:tblCellMar>
                  <w:top w:w="0" w:type="dxa"/>
                  <w:left w:w="108" w:type="dxa"/>
                  <w:bottom w:w="0" w:type="dxa"/>
                  <w:right w:w="108" w:type="dxa"/>
                </w:tblCellMar>
              </w:tblPrEx>
              <w:trPr>
                <w:trHeight w:val="397" w:hRule="atLeast"/>
                <w:jc w:val="center"/>
              </w:trPr>
              <w:tc>
                <w:tcPr>
                  <w:tcW w:w="704" w:type="dxa"/>
                  <w:vMerge w:val="continue"/>
                  <w:tcBorders>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761" w:type="dxa"/>
                  <w:vMerge w:val="continue"/>
                  <w:tcBorders>
                    <w:left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噪声治理</w:t>
                  </w:r>
                </w:p>
              </w:tc>
              <w:tc>
                <w:tcPr>
                  <w:tcW w:w="6050" w:type="dxa"/>
                  <w:gridSpan w:val="2"/>
                  <w:tcBorders>
                    <w:top w:val="single" w:color="auto" w:sz="4" w:space="0"/>
                    <w:left w:val="single" w:color="auto" w:sz="4" w:space="0"/>
                    <w:bottom w:val="single" w:color="auto" w:sz="4" w:space="0"/>
                  </w:tcBorders>
                  <w:noWrap w:val="0"/>
                  <w:vAlign w:val="center"/>
                </w:tcPr>
                <w:p>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距离衰减、厂房隔声等</w:t>
                  </w:r>
                </w:p>
              </w:tc>
            </w:tr>
            <w:tr>
              <w:tblPrEx>
                <w:tblCellMar>
                  <w:top w:w="0" w:type="dxa"/>
                  <w:left w:w="108" w:type="dxa"/>
                  <w:bottom w:w="0" w:type="dxa"/>
                  <w:right w:w="108" w:type="dxa"/>
                </w:tblCellMar>
              </w:tblPrEx>
              <w:trPr>
                <w:trHeight w:val="397" w:hRule="atLeast"/>
                <w:jc w:val="center"/>
              </w:trPr>
              <w:tc>
                <w:tcPr>
                  <w:tcW w:w="704" w:type="dxa"/>
                  <w:vMerge w:val="continue"/>
                  <w:tcBorders>
                    <w:bottom w:val="single" w:color="auto" w:sz="8"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761" w:type="dxa"/>
                  <w:vMerge w:val="continue"/>
                  <w:tcBorders>
                    <w:left w:val="single" w:color="auto" w:sz="4" w:space="0"/>
                    <w:bottom w:val="single" w:color="auto" w:sz="8"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default"/>
                      <w:color w:val="FF0000"/>
                      <w:sz w:val="21"/>
                      <w:szCs w:val="21"/>
                    </w:rPr>
                  </w:pPr>
                </w:p>
              </w:tc>
              <w:tc>
                <w:tcPr>
                  <w:tcW w:w="129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snapToGrid w:val="0"/>
                    <w:spacing w:before="0" w:beforeAutospacing="0" w:after="0" w:afterAutospacing="0"/>
                    <w:ind w:left="0" w:right="0" w:firstLine="132"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固废治理</w:t>
                  </w:r>
                </w:p>
              </w:tc>
              <w:tc>
                <w:tcPr>
                  <w:tcW w:w="6050" w:type="dxa"/>
                  <w:gridSpan w:val="2"/>
                  <w:tcBorders>
                    <w:top w:val="single" w:color="auto" w:sz="4" w:space="0"/>
                    <w:left w:val="single" w:color="auto" w:sz="4" w:space="0"/>
                    <w:bottom w:val="single" w:color="auto" w:sz="8" w:space="0"/>
                  </w:tcBorders>
                  <w:noWrap w:val="0"/>
                  <w:vAlign w:val="center"/>
                </w:tcPr>
                <w:p>
                  <w:pPr>
                    <w:keepNext w:val="0"/>
                    <w:keepLines w:val="0"/>
                    <w:widowControl/>
                    <w:suppressLineNumbers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w:t>
                  </w:r>
                  <w:r>
                    <w:rPr>
                      <w:rFonts w:hint="default"/>
                      <w:color w:val="auto"/>
                      <w:sz w:val="21"/>
                      <w:szCs w:val="21"/>
                    </w:rPr>
                    <w:t>m</w:t>
                  </w:r>
                  <w:r>
                    <w:rPr>
                      <w:rFonts w:hint="default"/>
                      <w:color w:val="auto"/>
                      <w:sz w:val="21"/>
                      <w:szCs w:val="21"/>
                      <w:vertAlign w:val="superscript"/>
                    </w:rPr>
                    <w:t>2</w:t>
                  </w:r>
                  <w:r>
                    <w:rPr>
                      <w:rFonts w:hint="default"/>
                      <w:color w:val="auto"/>
                      <w:sz w:val="21"/>
                      <w:szCs w:val="21"/>
                    </w:rPr>
                    <w:t>的一般固废暂存间</w:t>
                  </w:r>
                  <w:r>
                    <w:rPr>
                      <w:rFonts w:hint="eastAsia"/>
                      <w:color w:val="auto"/>
                      <w:sz w:val="21"/>
                      <w:szCs w:val="21"/>
                      <w:lang w:val="en-US" w:eastAsia="zh-CN"/>
                    </w:rPr>
                    <w:t>一座</w:t>
                  </w:r>
                  <w:r>
                    <w:rPr>
                      <w:rFonts w:hint="eastAsia"/>
                      <w:color w:val="auto"/>
                      <w:sz w:val="21"/>
                      <w:szCs w:val="21"/>
                    </w:rPr>
                    <w:t>，</w:t>
                  </w:r>
                  <w:r>
                    <w:rPr>
                      <w:rFonts w:hint="eastAsia"/>
                      <w:color w:val="auto"/>
                      <w:sz w:val="21"/>
                      <w:szCs w:val="21"/>
                      <w:lang w:val="en-US" w:eastAsia="zh-CN"/>
                    </w:rPr>
                    <w:t>10</w:t>
                  </w:r>
                  <w:r>
                    <w:rPr>
                      <w:rFonts w:hint="default"/>
                      <w:color w:val="auto"/>
                      <w:sz w:val="21"/>
                      <w:szCs w:val="21"/>
                    </w:rPr>
                    <w:t>m</w:t>
                  </w:r>
                  <w:r>
                    <w:rPr>
                      <w:rFonts w:hint="default"/>
                      <w:color w:val="auto"/>
                      <w:sz w:val="21"/>
                      <w:szCs w:val="21"/>
                      <w:vertAlign w:val="superscript"/>
                    </w:rPr>
                    <w:t>2</w:t>
                  </w:r>
                  <w:r>
                    <w:rPr>
                      <w:rFonts w:hint="default"/>
                      <w:color w:val="auto"/>
                      <w:sz w:val="21"/>
                      <w:szCs w:val="21"/>
                    </w:rPr>
                    <w:t>的危废暂存间</w:t>
                  </w:r>
                  <w:r>
                    <w:rPr>
                      <w:rFonts w:hint="eastAsia"/>
                      <w:color w:val="auto"/>
                      <w:sz w:val="21"/>
                      <w:szCs w:val="21"/>
                      <w:lang w:val="en-US" w:eastAsia="zh-CN"/>
                    </w:rPr>
                    <w:t>一座</w:t>
                  </w:r>
                </w:p>
              </w:tc>
            </w:tr>
          </w:tbl>
          <w:p>
            <w:pPr>
              <w:keepNext w:val="0"/>
              <w:keepLines w:val="0"/>
              <w:suppressLineNumbers w:val="0"/>
              <w:spacing w:before="0" w:beforeAutospacing="0" w:after="0" w:afterAutospacing="0" w:line="440" w:lineRule="exact"/>
              <w:ind w:left="0" w:right="0" w:firstLine="482" w:firstLineChars="200"/>
              <w:rPr>
                <w:rFonts w:hint="default"/>
                <w:b/>
                <w:sz w:val="24"/>
              </w:rPr>
            </w:pPr>
            <w:r>
              <w:rPr>
                <w:rFonts w:hint="eastAsia"/>
                <w:b/>
                <w:sz w:val="24"/>
              </w:rPr>
              <w:t>3、本项目产品方案</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本项目产品方案如下表：</w:t>
            </w:r>
          </w:p>
          <w:p>
            <w:pPr>
              <w:pStyle w:val="53"/>
              <w:keepNext w:val="0"/>
              <w:keepLines w:val="0"/>
              <w:suppressLineNumbers w:val="0"/>
              <w:spacing w:before="0" w:beforeAutospacing="0" w:after="0" w:afterAutospacing="0" w:line="440" w:lineRule="exact"/>
              <w:ind w:left="0" w:right="0" w:firstLine="0"/>
              <w:jc w:val="center"/>
              <w:rPr>
                <w:rFonts w:hint="default"/>
                <w:sz w:val="24"/>
              </w:rPr>
            </w:pPr>
            <w:r>
              <w:rPr>
                <w:rFonts w:hint="default" w:hAnsi="宋体" w:cs="Times New Roman"/>
                <w:b/>
                <w:bCs/>
                <w:color w:val="000000"/>
                <w:sz w:val="24"/>
                <w:szCs w:val="24"/>
              </w:rPr>
              <w:t>表</w:t>
            </w:r>
            <w:r>
              <w:rPr>
                <w:rFonts w:hint="eastAsia" w:hAnsi="宋体" w:cs="Times New Roman"/>
                <w:b/>
                <w:bCs/>
                <w:color w:val="000000"/>
                <w:sz w:val="24"/>
                <w:szCs w:val="24"/>
                <w:lang w:val="en-US" w:eastAsia="zh-CN"/>
              </w:rPr>
              <w:t xml:space="preserve">13  </w:t>
            </w:r>
            <w:r>
              <w:rPr>
                <w:rFonts w:hint="default" w:hAnsi="宋体" w:cs="Times New Roman"/>
                <w:b/>
                <w:bCs/>
                <w:color w:val="000000"/>
                <w:sz w:val="24"/>
                <w:szCs w:val="24"/>
              </w:rPr>
              <w:t>本项目产品方案</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50"/>
              <w:gridCol w:w="3283"/>
              <w:gridCol w:w="2610"/>
              <w:gridCol w:w="1963"/>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序号</w:t>
                  </w:r>
                </w:p>
              </w:tc>
              <w:tc>
                <w:tcPr>
                  <w:tcW w:w="328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产品名称</w:t>
                  </w:r>
                </w:p>
              </w:tc>
              <w:tc>
                <w:tcPr>
                  <w:tcW w:w="261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年生产量</w:t>
                  </w:r>
                </w:p>
              </w:tc>
              <w:tc>
                <w:tcPr>
                  <w:tcW w:w="1963"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备注</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0" w:type="dxa"/>
                  <w:tcBorders>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1</w:t>
                  </w:r>
                </w:p>
              </w:tc>
              <w:tc>
                <w:tcPr>
                  <w:tcW w:w="3283" w:type="dxa"/>
                  <w:tcBorders>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eastAsia="zh-CN"/>
                    </w:rPr>
                  </w:pPr>
                  <w:r>
                    <w:rPr>
                      <w:rFonts w:hint="eastAsia"/>
                      <w:color w:val="auto"/>
                      <w:sz w:val="21"/>
                      <w:szCs w:val="21"/>
                      <w:lang w:val="en-US" w:eastAsia="zh-CN"/>
                    </w:rPr>
                    <w:t>环保型书刊胶装机专用树脂颗粒</w:t>
                  </w:r>
                </w:p>
              </w:tc>
              <w:tc>
                <w:tcPr>
                  <w:tcW w:w="2610" w:type="dxa"/>
                  <w:tcBorders>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一期300</w:t>
                  </w:r>
                  <w:r>
                    <w:rPr>
                      <w:rFonts w:hint="eastAsia"/>
                      <w:color w:val="auto"/>
                      <w:sz w:val="21"/>
                      <w:szCs w:val="21"/>
                    </w:rPr>
                    <w:t>t</w:t>
                  </w:r>
                  <w:r>
                    <w:rPr>
                      <w:rFonts w:hint="eastAsia"/>
                      <w:color w:val="auto"/>
                      <w:sz w:val="21"/>
                      <w:szCs w:val="21"/>
                      <w:lang w:val="en-US" w:eastAsia="zh-CN"/>
                    </w:rPr>
                    <w:t>/a</w:t>
                  </w:r>
                </w:p>
              </w:tc>
              <w:tc>
                <w:tcPr>
                  <w:tcW w:w="1963" w:type="dxa"/>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25kg/</w:t>
                  </w:r>
                  <w:r>
                    <w:rPr>
                      <w:rFonts w:hint="default"/>
                      <w:color w:val="auto"/>
                      <w:sz w:val="21"/>
                      <w:szCs w:val="21"/>
                    </w:rPr>
                    <w:t>袋</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0"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2</w:t>
                  </w:r>
                </w:p>
              </w:tc>
              <w:tc>
                <w:tcPr>
                  <w:tcW w:w="32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环保型书刊胶装机专用树脂颗粒</w:t>
                  </w:r>
                </w:p>
              </w:tc>
              <w:tc>
                <w:tcPr>
                  <w:tcW w:w="26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二期600</w:t>
                  </w:r>
                  <w:r>
                    <w:rPr>
                      <w:rFonts w:hint="eastAsia"/>
                      <w:color w:val="auto"/>
                      <w:sz w:val="21"/>
                      <w:szCs w:val="21"/>
                    </w:rPr>
                    <w:t>t</w:t>
                  </w:r>
                  <w:r>
                    <w:rPr>
                      <w:rFonts w:hint="eastAsia"/>
                      <w:color w:val="auto"/>
                      <w:sz w:val="21"/>
                      <w:szCs w:val="21"/>
                      <w:lang w:val="en-US" w:eastAsia="zh-CN"/>
                    </w:rPr>
                    <w:t>/a</w:t>
                  </w:r>
                </w:p>
              </w:tc>
              <w:tc>
                <w:tcPr>
                  <w:tcW w:w="1963"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25kg/</w:t>
                  </w:r>
                  <w:r>
                    <w:rPr>
                      <w:rFonts w:hint="default"/>
                      <w:color w:val="auto"/>
                      <w:sz w:val="21"/>
                      <w:szCs w:val="21"/>
                    </w:rPr>
                    <w:t>袋</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0" w:type="dxa"/>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w:t>
                  </w:r>
                </w:p>
              </w:tc>
              <w:tc>
                <w:tcPr>
                  <w:tcW w:w="3283"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合计</w:t>
                  </w:r>
                </w:p>
              </w:tc>
              <w:tc>
                <w:tcPr>
                  <w:tcW w:w="2610"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900</w:t>
                  </w:r>
                  <w:r>
                    <w:rPr>
                      <w:rFonts w:hint="eastAsia"/>
                      <w:color w:val="auto"/>
                      <w:sz w:val="21"/>
                      <w:szCs w:val="21"/>
                    </w:rPr>
                    <w:t>t</w:t>
                  </w:r>
                  <w:r>
                    <w:rPr>
                      <w:rFonts w:hint="eastAsia"/>
                      <w:color w:val="auto"/>
                      <w:sz w:val="21"/>
                      <w:szCs w:val="21"/>
                      <w:lang w:val="en-US" w:eastAsia="zh-CN"/>
                    </w:rPr>
                    <w:t>/a</w:t>
                  </w:r>
                </w:p>
              </w:tc>
              <w:tc>
                <w:tcPr>
                  <w:tcW w:w="1963"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25kg/</w:t>
                  </w:r>
                  <w:r>
                    <w:rPr>
                      <w:rFonts w:hint="default"/>
                      <w:color w:val="auto"/>
                      <w:sz w:val="21"/>
                      <w:szCs w:val="21"/>
                    </w:rPr>
                    <w:t>袋</w:t>
                  </w:r>
                </w:p>
              </w:tc>
            </w:tr>
          </w:tbl>
          <w:p>
            <w:pPr>
              <w:keepNext w:val="0"/>
              <w:keepLines w:val="0"/>
              <w:suppressLineNumbers w:val="0"/>
              <w:snapToGrid w:val="0"/>
              <w:spacing w:before="0" w:beforeAutospacing="0" w:after="0" w:afterAutospacing="0" w:line="440" w:lineRule="exact"/>
              <w:ind w:left="0" w:right="0" w:firstLine="482" w:firstLineChars="200"/>
              <w:rPr>
                <w:rFonts w:hint="default"/>
                <w:b/>
                <w:sz w:val="24"/>
              </w:rPr>
            </w:pPr>
            <w:r>
              <w:rPr>
                <w:rFonts w:hint="eastAsia"/>
                <w:b/>
                <w:sz w:val="24"/>
              </w:rPr>
              <w:t>4、项目主要生产设备</w:t>
            </w:r>
          </w:p>
          <w:p>
            <w:pPr>
              <w:keepNext w:val="0"/>
              <w:keepLines w:val="0"/>
              <w:suppressLineNumbers w:val="0"/>
              <w:snapToGrid w:val="0"/>
              <w:spacing w:before="0" w:beforeAutospacing="0" w:after="0" w:afterAutospacing="0" w:line="440" w:lineRule="exact"/>
              <w:ind w:left="0" w:right="0" w:firstLine="480" w:firstLineChars="200"/>
              <w:rPr>
                <w:rFonts w:hint="default"/>
                <w:sz w:val="24"/>
              </w:rPr>
            </w:pPr>
            <w:r>
              <w:rPr>
                <w:rFonts w:hint="eastAsia"/>
                <w:sz w:val="24"/>
              </w:rPr>
              <w:t>本</w:t>
            </w:r>
            <w:r>
              <w:rPr>
                <w:rFonts w:hint="default"/>
                <w:sz w:val="24"/>
              </w:rPr>
              <w:t>项目</w:t>
            </w:r>
            <w:r>
              <w:rPr>
                <w:rFonts w:hint="eastAsia"/>
                <w:sz w:val="24"/>
              </w:rPr>
              <w:t>主要生产设备</w:t>
            </w:r>
            <w:r>
              <w:rPr>
                <w:rFonts w:hint="default"/>
                <w:sz w:val="24"/>
              </w:rPr>
              <w:t>见</w:t>
            </w:r>
            <w:r>
              <w:rPr>
                <w:rFonts w:hint="eastAsia"/>
                <w:sz w:val="24"/>
              </w:rPr>
              <w:t>下表。</w:t>
            </w:r>
          </w:p>
          <w:p>
            <w:pPr>
              <w:pStyle w:val="53"/>
              <w:keepNext w:val="0"/>
              <w:keepLines w:val="0"/>
              <w:suppressLineNumbers w:val="0"/>
              <w:spacing w:before="0" w:beforeAutospacing="0" w:after="0" w:afterAutospacing="0" w:line="440" w:lineRule="exact"/>
              <w:ind w:left="0" w:right="0" w:firstLine="0"/>
              <w:jc w:val="center"/>
              <w:rPr>
                <w:rFonts w:hint="default" w:hAnsi="宋体" w:cs="Times New Roman"/>
                <w:b/>
                <w:bCs/>
                <w:color w:val="auto"/>
                <w:sz w:val="24"/>
                <w:szCs w:val="24"/>
              </w:rPr>
            </w:pPr>
            <w:r>
              <w:rPr>
                <w:rFonts w:hint="eastAsia" w:hAnsi="宋体" w:cs="Times New Roman"/>
                <w:b/>
                <w:bCs/>
                <w:color w:val="auto"/>
                <w:sz w:val="24"/>
                <w:szCs w:val="24"/>
              </w:rPr>
              <w:t>表</w:t>
            </w:r>
            <w:r>
              <w:rPr>
                <w:rFonts w:hint="eastAsia" w:hAnsi="宋体" w:cs="Times New Roman"/>
                <w:b/>
                <w:bCs/>
                <w:color w:val="auto"/>
                <w:sz w:val="24"/>
                <w:szCs w:val="24"/>
                <w:lang w:val="en-US" w:eastAsia="zh-CN"/>
              </w:rPr>
              <w:t xml:space="preserve">14  </w:t>
            </w:r>
            <w:r>
              <w:rPr>
                <w:rFonts w:hint="eastAsia" w:hAnsi="宋体" w:cs="Times New Roman"/>
                <w:b/>
                <w:bCs/>
                <w:color w:val="auto"/>
                <w:sz w:val="24"/>
                <w:szCs w:val="24"/>
              </w:rPr>
              <w:t>本项目主要生产</w:t>
            </w:r>
            <w:r>
              <w:rPr>
                <w:rFonts w:hint="default" w:hAnsi="宋体" w:cs="Times New Roman"/>
                <w:b/>
                <w:bCs/>
                <w:color w:val="auto"/>
                <w:sz w:val="24"/>
                <w:szCs w:val="24"/>
              </w:rPr>
              <w:t>设备一览表</w:t>
            </w:r>
          </w:p>
          <w:tbl>
            <w:tblPr>
              <w:tblStyle w:val="22"/>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6"/>
              <w:gridCol w:w="1530"/>
              <w:gridCol w:w="2430"/>
              <w:gridCol w:w="1470"/>
              <w:gridCol w:w="1545"/>
              <w:gridCol w:w="116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top w:val="single" w:color="000000" w:sz="8" w:space="0"/>
                    <w:bottom w:val="single" w:color="000000" w:sz="8" w:space="0"/>
                    <w:right w:val="single" w:color="auto"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宋体" w:hAnsi="宋体"/>
                      <w:b/>
                      <w:color w:val="auto"/>
                      <w:sz w:val="21"/>
                      <w:szCs w:val="21"/>
                    </w:rPr>
                  </w:pPr>
                  <w:r>
                    <w:rPr>
                      <w:rFonts w:hint="eastAsia" w:ascii="宋体" w:hAnsi="宋体"/>
                      <w:b/>
                      <w:color w:val="auto"/>
                      <w:sz w:val="21"/>
                      <w:szCs w:val="21"/>
                    </w:rPr>
                    <w:t>序号</w:t>
                  </w:r>
                </w:p>
              </w:tc>
              <w:tc>
                <w:tcPr>
                  <w:tcW w:w="1530" w:type="dxa"/>
                  <w:tcBorders>
                    <w:top w:val="single" w:color="000000" w:sz="8" w:space="0"/>
                    <w:left w:val="single" w:color="auto" w:sz="8" w:space="0"/>
                    <w:bottom w:val="single" w:color="000000" w:sz="8" w:space="0"/>
                    <w:right w:val="single" w:color="auto"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宋体" w:hAnsi="宋体"/>
                      <w:b/>
                      <w:color w:val="auto"/>
                      <w:sz w:val="21"/>
                      <w:szCs w:val="21"/>
                    </w:rPr>
                  </w:pPr>
                  <w:r>
                    <w:rPr>
                      <w:rFonts w:hint="eastAsia" w:ascii="宋体" w:hAnsi="宋体"/>
                      <w:b/>
                      <w:color w:val="auto"/>
                      <w:sz w:val="21"/>
                      <w:szCs w:val="21"/>
                    </w:rPr>
                    <w:t>设备名称</w:t>
                  </w:r>
                </w:p>
              </w:tc>
              <w:tc>
                <w:tcPr>
                  <w:tcW w:w="2430" w:type="dxa"/>
                  <w:tcBorders>
                    <w:top w:val="single" w:color="000000" w:sz="8" w:space="0"/>
                    <w:left w:val="single" w:color="auto" w:sz="8" w:space="0"/>
                    <w:bottom w:val="single" w:color="000000" w:sz="8" w:space="0"/>
                    <w:right w:val="single" w:color="auto"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宋体" w:hAnsi="宋体" w:eastAsia="宋体"/>
                      <w:b/>
                      <w:color w:val="auto"/>
                      <w:sz w:val="21"/>
                      <w:szCs w:val="21"/>
                      <w:lang w:val="en-US" w:eastAsia="zh-CN"/>
                    </w:rPr>
                  </w:pPr>
                  <w:r>
                    <w:rPr>
                      <w:rFonts w:hint="eastAsia" w:ascii="宋体" w:hAnsi="宋体"/>
                      <w:b/>
                      <w:color w:val="auto"/>
                      <w:sz w:val="21"/>
                      <w:szCs w:val="21"/>
                      <w:lang w:val="en-US" w:eastAsia="zh-CN"/>
                    </w:rPr>
                    <w:t>用途</w:t>
                  </w:r>
                </w:p>
              </w:tc>
              <w:tc>
                <w:tcPr>
                  <w:tcW w:w="1470" w:type="dxa"/>
                  <w:tcBorders>
                    <w:top w:val="single" w:color="000000" w:sz="8" w:space="0"/>
                    <w:left w:val="single" w:color="auto" w:sz="8" w:space="0"/>
                    <w:bottom w:val="single" w:color="000000" w:sz="8" w:space="0"/>
                    <w:right w:val="single" w:color="auto"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eastAsia" w:ascii="宋体" w:hAnsi="宋体"/>
                      <w:b/>
                      <w:color w:val="auto"/>
                      <w:sz w:val="21"/>
                      <w:szCs w:val="21"/>
                      <w:lang w:val="en-US" w:eastAsia="zh-CN"/>
                    </w:rPr>
                  </w:pPr>
                  <w:r>
                    <w:rPr>
                      <w:rFonts w:hint="eastAsia" w:ascii="宋体" w:hAnsi="宋体"/>
                      <w:b/>
                      <w:color w:val="auto"/>
                      <w:sz w:val="21"/>
                      <w:szCs w:val="21"/>
                      <w:lang w:val="en-US" w:eastAsia="zh-CN"/>
                    </w:rPr>
                    <w:t>1期设备数量</w:t>
                  </w:r>
                </w:p>
              </w:tc>
              <w:tc>
                <w:tcPr>
                  <w:tcW w:w="1545" w:type="dxa"/>
                  <w:tcBorders>
                    <w:top w:val="single" w:color="000000" w:sz="8" w:space="0"/>
                    <w:left w:val="single" w:color="auto" w:sz="8" w:space="0"/>
                    <w:bottom w:val="single" w:color="000000" w:sz="8" w:space="0"/>
                    <w:right w:val="single" w:color="auto"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ascii="宋体" w:hAnsi="宋体" w:eastAsia="宋体" w:cs="Times New Roman"/>
                      <w:b/>
                      <w:color w:val="auto"/>
                      <w:kern w:val="2"/>
                      <w:sz w:val="21"/>
                      <w:szCs w:val="21"/>
                      <w:lang w:val="en-US" w:eastAsia="zh-CN" w:bidi="ar-SA"/>
                    </w:rPr>
                  </w:pPr>
                  <w:r>
                    <w:rPr>
                      <w:rFonts w:hint="eastAsia" w:ascii="宋体" w:hAnsi="宋体"/>
                      <w:b/>
                      <w:color w:val="auto"/>
                      <w:sz w:val="21"/>
                      <w:szCs w:val="21"/>
                      <w:lang w:val="en-US" w:eastAsia="zh-CN"/>
                    </w:rPr>
                    <w:t>2期设备数量</w:t>
                  </w:r>
                </w:p>
              </w:tc>
              <w:tc>
                <w:tcPr>
                  <w:tcW w:w="1164" w:type="dxa"/>
                  <w:tcBorders>
                    <w:top w:val="single" w:color="000000" w:sz="8" w:space="0"/>
                    <w:left w:val="single" w:color="auto" w:sz="8" w:space="0"/>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合计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电</w:t>
                  </w:r>
                  <w:r>
                    <w:rPr>
                      <w:rFonts w:hint="default" w:ascii="Times New Roman" w:hAnsi="Times New Roman" w:cs="Times New Roman"/>
                      <w:color w:val="auto"/>
                      <w:sz w:val="21"/>
                      <w:szCs w:val="21"/>
                      <w:lang w:val="en-US" w:eastAsia="zh-CN"/>
                    </w:rPr>
                    <w:t>加热搅拌罐</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投料后加热搅拌</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储料罐</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暂时储存</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挤出机</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挤出成形</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拉条</w:t>
                  </w:r>
                  <w:r>
                    <w:rPr>
                      <w:rFonts w:hint="eastAsia" w:ascii="Times New Roman" w:hAnsi="Times New Roman" w:cs="Times New Roman"/>
                      <w:color w:val="auto"/>
                      <w:sz w:val="21"/>
                      <w:szCs w:val="21"/>
                      <w:lang w:val="en-US" w:eastAsia="zh-CN"/>
                    </w:rPr>
                    <w:t>机</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拉条成形</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套</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val="en-US" w:eastAsia="zh-CN"/>
                    </w:rPr>
                    <w:t>套</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en-US" w:eastAsia="zh-CN"/>
                    </w:rPr>
                    <w:t>套</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冷水机</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冷却</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切粒机</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切粒</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脱水机</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脱水干燥</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振动筛</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筛下小颗粒不合格产品</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w:t>
                  </w:r>
                </w:p>
              </w:tc>
              <w:tc>
                <w:tcPr>
                  <w:tcW w:w="15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送料桶</w:t>
                  </w:r>
                </w:p>
              </w:tc>
              <w:tc>
                <w:tcPr>
                  <w:tcW w:w="2430"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储存送料</w:t>
                  </w:r>
                </w:p>
              </w:tc>
              <w:tc>
                <w:tcPr>
                  <w:tcW w:w="1470" w:type="dxa"/>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6"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w:t>
                  </w:r>
                </w:p>
              </w:tc>
              <w:tc>
                <w:tcPr>
                  <w:tcW w:w="1530"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包装机</w:t>
                  </w:r>
                </w:p>
              </w:tc>
              <w:tc>
                <w:tcPr>
                  <w:tcW w:w="2430"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包装成品</w:t>
                  </w:r>
                </w:p>
              </w:tc>
              <w:tc>
                <w:tcPr>
                  <w:tcW w:w="1470"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cs="Times New Roman"/>
                      <w:color w:val="auto"/>
                      <w:sz w:val="21"/>
                      <w:szCs w:val="21"/>
                      <w:lang w:val="en-US" w:eastAsia="zh-CN"/>
                    </w:rPr>
                    <w:t>台</w:t>
                  </w:r>
                </w:p>
              </w:tc>
              <w:tc>
                <w:tcPr>
                  <w:tcW w:w="1545"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eastAsia" w:cs="Times New Roman"/>
                      <w:color w:val="auto"/>
                      <w:sz w:val="21"/>
                      <w:szCs w:val="21"/>
                      <w:lang w:val="en-US" w:eastAsia="zh-CN"/>
                    </w:rPr>
                    <w:t>台</w:t>
                  </w:r>
                </w:p>
              </w:tc>
              <w:tc>
                <w:tcPr>
                  <w:tcW w:w="1164" w:type="dxa"/>
                  <w:tcBorders>
                    <w:bottom w:val="single" w:color="000000" w:sz="8" w:space="0"/>
                  </w:tcBorders>
                  <w:noWrap w:val="0"/>
                  <w:vAlign w:val="center"/>
                </w:tcPr>
                <w:p>
                  <w:pPr>
                    <w:pStyle w:val="54"/>
                    <w:keepNext w:val="0"/>
                    <w:keepLines w:val="0"/>
                    <w:suppressLineNumbers w:val="0"/>
                    <w:adjustRightInd w:val="0"/>
                    <w:snapToGrid w:val="0"/>
                    <w:spacing w:before="0" w:beforeAutospacing="0" w:after="0" w:afterAutospacing="0" w:line="240" w:lineRule="auto"/>
                    <w:ind w:left="0" w:righ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r>
                    <w:rPr>
                      <w:rFonts w:hint="eastAsia" w:cs="Times New Roman"/>
                      <w:color w:val="auto"/>
                      <w:sz w:val="21"/>
                      <w:szCs w:val="21"/>
                      <w:lang w:val="en-US" w:eastAsia="zh-CN"/>
                    </w:rPr>
                    <w:t>台</w:t>
                  </w:r>
                </w:p>
              </w:tc>
            </w:tr>
          </w:tbl>
          <w:p>
            <w:pPr>
              <w:keepNext w:val="0"/>
              <w:keepLines w:val="0"/>
              <w:suppressLineNumbers w:val="0"/>
              <w:adjustRightInd w:val="0"/>
              <w:snapToGrid w:val="0"/>
              <w:spacing w:before="0" w:beforeAutospacing="0" w:after="0" w:afterAutospacing="0" w:line="440" w:lineRule="exact"/>
              <w:ind w:left="0" w:right="0" w:firstLine="511" w:firstLineChars="212"/>
              <w:textAlignment w:val="baseline"/>
              <w:rPr>
                <w:rFonts w:hint="default" w:ascii="宋体" w:hAnsi="宋体"/>
                <w:b/>
                <w:sz w:val="24"/>
              </w:rPr>
            </w:pPr>
            <w:r>
              <w:rPr>
                <w:rFonts w:hint="eastAsia" w:ascii="宋体" w:hAnsi="宋体"/>
                <w:b/>
                <w:sz w:val="24"/>
                <w:lang w:val="en-US" w:eastAsia="zh-CN"/>
              </w:rPr>
              <w:t>5</w:t>
            </w:r>
            <w:r>
              <w:rPr>
                <w:rFonts w:hint="default" w:ascii="宋体" w:hAnsi="宋体"/>
                <w:b/>
                <w:sz w:val="24"/>
              </w:rPr>
              <w:t>、</w:t>
            </w:r>
            <w:r>
              <w:rPr>
                <w:rFonts w:hint="eastAsia" w:ascii="宋体" w:hAnsi="宋体"/>
                <w:b/>
                <w:sz w:val="24"/>
              </w:rPr>
              <w:t>本项目主要原辅材料消耗量</w:t>
            </w:r>
          </w:p>
          <w:p>
            <w:pPr>
              <w:pStyle w:val="54"/>
              <w:keepNext w:val="0"/>
              <w:keepLines w:val="0"/>
              <w:suppressLineNumbers w:val="0"/>
              <w:spacing w:before="0" w:beforeAutospacing="0" w:after="0" w:afterAutospacing="0" w:line="440" w:lineRule="exact"/>
              <w:ind w:left="0" w:right="0" w:firstLine="508" w:firstLineChars="212"/>
              <w:rPr>
                <w:rFonts w:hint="eastAsia"/>
                <w:color w:val="auto"/>
                <w:sz w:val="24"/>
                <w:szCs w:val="24"/>
              </w:rPr>
            </w:pPr>
            <w:r>
              <w:rPr>
                <w:rFonts w:hint="eastAsia"/>
                <w:color w:val="auto"/>
                <w:sz w:val="24"/>
                <w:szCs w:val="24"/>
                <w:lang w:val="en-US" w:eastAsia="zh-CN"/>
              </w:rPr>
              <w:t>1、</w:t>
            </w:r>
            <w:r>
              <w:rPr>
                <w:rFonts w:hint="eastAsia"/>
                <w:color w:val="auto"/>
                <w:sz w:val="24"/>
                <w:szCs w:val="24"/>
              </w:rPr>
              <w:t>主要原材料及消耗量见下表。</w:t>
            </w:r>
          </w:p>
          <w:p>
            <w:pPr>
              <w:pStyle w:val="54"/>
              <w:keepNext w:val="0"/>
              <w:keepLines w:val="0"/>
              <w:suppressLineNumbers w:val="0"/>
              <w:spacing w:before="0" w:beforeAutospacing="0" w:after="0" w:afterAutospacing="0" w:line="440" w:lineRule="exact"/>
              <w:ind w:left="0" w:leftChars="0" w:right="0" w:firstLine="0" w:firstLineChars="0"/>
              <w:jc w:val="center"/>
              <w:rPr>
                <w:rFonts w:hint="eastAsia"/>
                <w:color w:val="auto"/>
                <w:sz w:val="24"/>
                <w:szCs w:val="24"/>
              </w:rPr>
            </w:pPr>
            <w:r>
              <w:rPr>
                <w:rFonts w:hint="eastAsia" w:ascii="宋体" w:hAnsi="宋体"/>
                <w:b/>
                <w:bCs/>
                <w:color w:val="auto"/>
                <w:sz w:val="24"/>
              </w:rPr>
              <w:t>表</w:t>
            </w:r>
            <w:r>
              <w:rPr>
                <w:rFonts w:hint="eastAsia" w:ascii="宋体" w:hAnsi="宋体"/>
                <w:b/>
                <w:bCs/>
                <w:color w:val="auto"/>
                <w:sz w:val="24"/>
                <w:lang w:val="en-US" w:eastAsia="zh-CN"/>
              </w:rPr>
              <w:t xml:space="preserve">15  </w:t>
            </w:r>
            <w:r>
              <w:rPr>
                <w:rFonts w:hint="eastAsia" w:ascii="宋体" w:hAnsi="宋体"/>
                <w:b/>
                <w:bCs/>
                <w:color w:val="auto"/>
                <w:sz w:val="24"/>
              </w:rPr>
              <w:t>主要原辅料消耗一览表</w:t>
            </w:r>
          </w:p>
          <w:tbl>
            <w:tblPr>
              <w:tblStyle w:val="22"/>
              <w:tblW w:w="5000"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41"/>
              <w:gridCol w:w="1902"/>
              <w:gridCol w:w="1275"/>
              <w:gridCol w:w="1275"/>
              <w:gridCol w:w="1275"/>
              <w:gridCol w:w="2637"/>
            </w:tblGrid>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tcBorders>
                    <w:bottom w:val="single" w:color="000000" w:sz="8" w:space="0"/>
                    <w:right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both"/>
                    <w:rPr>
                      <w:rFonts w:hint="default" w:eastAsia="宋体"/>
                      <w:color w:val="auto"/>
                      <w:sz w:val="21"/>
                      <w:szCs w:val="21"/>
                      <w:lang w:val="en-US" w:eastAsia="zh-CN"/>
                    </w:rPr>
                  </w:pPr>
                </w:p>
              </w:tc>
              <w:tc>
                <w:tcPr>
                  <w:tcW w:w="1902" w:type="dxa"/>
                  <w:tcBorders>
                    <w:left w:val="single" w:color="000000" w:sz="8" w:space="0"/>
                    <w:bottom w:val="single" w:color="000000" w:sz="8" w:space="0"/>
                    <w:right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sz w:val="21"/>
                      <w:szCs w:val="21"/>
                    </w:rPr>
                  </w:pPr>
                  <w:r>
                    <w:rPr>
                      <w:rFonts w:hint="eastAsia"/>
                      <w:b/>
                      <w:bCs/>
                      <w:color w:val="auto"/>
                      <w:sz w:val="21"/>
                      <w:szCs w:val="21"/>
                    </w:rPr>
                    <w:t>名称</w:t>
                  </w:r>
                </w:p>
              </w:tc>
              <w:tc>
                <w:tcPr>
                  <w:tcW w:w="1275" w:type="dxa"/>
                  <w:tcBorders>
                    <w:left w:val="single" w:color="000000" w:sz="8" w:space="0"/>
                    <w:bottom w:val="single" w:color="000000" w:sz="8" w:space="0"/>
                    <w:right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sz w:val="21"/>
                      <w:szCs w:val="21"/>
                      <w:lang w:eastAsia="zh-CN"/>
                    </w:rPr>
                  </w:pPr>
                  <w:r>
                    <w:rPr>
                      <w:rFonts w:hint="eastAsia"/>
                      <w:b/>
                      <w:bCs/>
                      <w:color w:val="auto"/>
                      <w:sz w:val="21"/>
                      <w:szCs w:val="21"/>
                      <w:lang w:val="en-US" w:eastAsia="zh-CN"/>
                    </w:rPr>
                    <w:t>一期</w:t>
                  </w:r>
                  <w:r>
                    <w:rPr>
                      <w:rFonts w:hint="eastAsia"/>
                      <w:b/>
                      <w:bCs/>
                      <w:color w:val="auto"/>
                      <w:sz w:val="21"/>
                      <w:szCs w:val="21"/>
                    </w:rPr>
                    <w:t>年用量</w:t>
                  </w:r>
                  <w:r>
                    <w:rPr>
                      <w:rFonts w:hint="eastAsia"/>
                      <w:b/>
                      <w:bCs/>
                      <w:color w:val="auto"/>
                      <w:sz w:val="21"/>
                      <w:szCs w:val="21"/>
                      <w:lang w:eastAsia="zh-CN"/>
                    </w:rPr>
                    <w:t>（</w:t>
                  </w:r>
                  <w:r>
                    <w:rPr>
                      <w:rFonts w:hint="eastAsia"/>
                      <w:b/>
                      <w:bCs/>
                      <w:color w:val="auto"/>
                      <w:sz w:val="21"/>
                      <w:szCs w:val="21"/>
                      <w:lang w:val="en-US" w:eastAsia="zh-CN"/>
                    </w:rPr>
                    <w:t>t/a</w:t>
                  </w:r>
                  <w:r>
                    <w:rPr>
                      <w:rFonts w:hint="eastAsia"/>
                      <w:b/>
                      <w:bCs/>
                      <w:color w:val="auto"/>
                      <w:sz w:val="21"/>
                      <w:szCs w:val="21"/>
                      <w:lang w:eastAsia="zh-CN"/>
                    </w:rPr>
                    <w:t>）</w:t>
                  </w:r>
                </w:p>
              </w:tc>
              <w:tc>
                <w:tcPr>
                  <w:tcW w:w="1275" w:type="dxa"/>
                  <w:tcBorders>
                    <w:left w:val="single" w:color="000000" w:sz="8" w:space="0"/>
                    <w:bottom w:val="single" w:color="000000" w:sz="8" w:space="0"/>
                    <w:right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sz w:val="21"/>
                      <w:szCs w:val="21"/>
                      <w:lang w:val="en-US" w:eastAsia="zh-CN"/>
                    </w:rPr>
                  </w:pPr>
                  <w:r>
                    <w:rPr>
                      <w:rFonts w:hint="eastAsia"/>
                      <w:b/>
                      <w:bCs/>
                      <w:color w:val="auto"/>
                      <w:sz w:val="21"/>
                      <w:szCs w:val="21"/>
                      <w:lang w:val="en-US" w:eastAsia="zh-CN"/>
                    </w:rPr>
                    <w:t>二期</w:t>
                  </w:r>
                  <w:r>
                    <w:rPr>
                      <w:rFonts w:hint="eastAsia"/>
                      <w:b/>
                      <w:bCs/>
                      <w:color w:val="auto"/>
                      <w:sz w:val="21"/>
                      <w:szCs w:val="21"/>
                    </w:rPr>
                    <w:t>年用量</w:t>
                  </w:r>
                  <w:r>
                    <w:rPr>
                      <w:rFonts w:hint="eastAsia"/>
                      <w:b/>
                      <w:bCs/>
                      <w:color w:val="auto"/>
                      <w:sz w:val="21"/>
                      <w:szCs w:val="21"/>
                      <w:lang w:eastAsia="zh-CN"/>
                    </w:rPr>
                    <w:t>（</w:t>
                  </w:r>
                  <w:r>
                    <w:rPr>
                      <w:rFonts w:hint="eastAsia"/>
                      <w:b/>
                      <w:bCs/>
                      <w:color w:val="auto"/>
                      <w:sz w:val="21"/>
                      <w:szCs w:val="21"/>
                      <w:lang w:val="en-US" w:eastAsia="zh-CN"/>
                    </w:rPr>
                    <w:t>t/a</w:t>
                  </w:r>
                  <w:r>
                    <w:rPr>
                      <w:rFonts w:hint="eastAsia"/>
                      <w:b/>
                      <w:bCs/>
                      <w:color w:val="auto"/>
                      <w:sz w:val="21"/>
                      <w:szCs w:val="21"/>
                      <w:lang w:eastAsia="zh-CN"/>
                    </w:rPr>
                    <w:t>）</w:t>
                  </w:r>
                </w:p>
              </w:tc>
              <w:tc>
                <w:tcPr>
                  <w:tcW w:w="1275" w:type="dxa"/>
                  <w:tcBorders>
                    <w:left w:val="single" w:color="000000" w:sz="8" w:space="0"/>
                    <w:bottom w:val="single" w:color="000000" w:sz="8" w:space="0"/>
                    <w:right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b/>
                      <w:bCs/>
                      <w:color w:val="auto"/>
                      <w:sz w:val="21"/>
                      <w:szCs w:val="21"/>
                      <w:lang w:val="en-US" w:eastAsia="zh-CN"/>
                    </w:rPr>
                  </w:pPr>
                  <w:r>
                    <w:rPr>
                      <w:rFonts w:hint="eastAsia"/>
                      <w:b/>
                      <w:bCs/>
                      <w:color w:val="auto"/>
                      <w:sz w:val="21"/>
                      <w:szCs w:val="21"/>
                      <w:lang w:val="en-US" w:eastAsia="zh-CN"/>
                    </w:rPr>
                    <w:t>合计</w:t>
                  </w:r>
                  <w:r>
                    <w:rPr>
                      <w:rFonts w:hint="eastAsia"/>
                      <w:b/>
                      <w:bCs/>
                      <w:color w:val="auto"/>
                      <w:sz w:val="21"/>
                      <w:szCs w:val="21"/>
                      <w:lang w:eastAsia="zh-CN"/>
                    </w:rPr>
                    <w:t>（</w:t>
                  </w:r>
                  <w:r>
                    <w:rPr>
                      <w:rFonts w:hint="eastAsia"/>
                      <w:b/>
                      <w:bCs/>
                      <w:color w:val="auto"/>
                      <w:sz w:val="21"/>
                      <w:szCs w:val="21"/>
                      <w:lang w:val="en-US" w:eastAsia="zh-CN"/>
                    </w:rPr>
                    <w:t>t/a</w:t>
                  </w:r>
                  <w:r>
                    <w:rPr>
                      <w:rFonts w:hint="eastAsia"/>
                      <w:b/>
                      <w:bCs/>
                      <w:color w:val="auto"/>
                      <w:sz w:val="21"/>
                      <w:szCs w:val="21"/>
                      <w:lang w:eastAsia="zh-CN"/>
                    </w:rPr>
                    <w:t>）</w:t>
                  </w:r>
                </w:p>
              </w:tc>
              <w:tc>
                <w:tcPr>
                  <w:tcW w:w="2637" w:type="dxa"/>
                  <w:tcBorders>
                    <w:left w:val="single" w:color="000000" w:sz="8" w:space="0"/>
                    <w:bottom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auto"/>
                      <w:sz w:val="21"/>
                      <w:szCs w:val="21"/>
                    </w:rPr>
                  </w:pPr>
                  <w:r>
                    <w:rPr>
                      <w:rFonts w:hint="eastAsia"/>
                      <w:b/>
                      <w:bCs/>
                      <w:color w:val="auto"/>
                      <w:sz w:val="21"/>
                      <w:szCs w:val="21"/>
                    </w:rPr>
                    <w:t>备注</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restart"/>
                  <w:tcBorders>
                    <w:top w:val="single" w:color="000000" w:sz="8"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sz w:val="21"/>
                      <w:szCs w:val="21"/>
                      <w:lang w:eastAsia="zh-CN"/>
                    </w:rPr>
                  </w:pPr>
                  <w:r>
                    <w:rPr>
                      <w:rFonts w:hint="eastAsia"/>
                      <w:b/>
                      <w:bCs/>
                      <w:color w:val="auto"/>
                      <w:sz w:val="21"/>
                      <w:szCs w:val="21"/>
                      <w:lang w:val="en-US" w:eastAsia="zh-CN"/>
                    </w:rPr>
                    <w:t>主要原辅材料</w:t>
                  </w:r>
                </w:p>
              </w:tc>
              <w:tc>
                <w:tcPr>
                  <w:tcW w:w="1902" w:type="dxa"/>
                  <w:tcBorders>
                    <w:top w:val="single" w:color="000000" w:sz="8"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EVA树脂</w:t>
                  </w:r>
                </w:p>
              </w:tc>
              <w:tc>
                <w:tcPr>
                  <w:tcW w:w="1275" w:type="dxa"/>
                  <w:tcBorders>
                    <w:top w:val="single" w:color="000000" w:sz="8"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110</w:t>
                  </w:r>
                </w:p>
              </w:tc>
              <w:tc>
                <w:tcPr>
                  <w:tcW w:w="1275" w:type="dxa"/>
                  <w:tcBorders>
                    <w:top w:val="single" w:color="000000" w:sz="8"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220</w:t>
                  </w:r>
                </w:p>
              </w:tc>
              <w:tc>
                <w:tcPr>
                  <w:tcW w:w="1275" w:type="dxa"/>
                  <w:tcBorders>
                    <w:top w:val="single" w:color="000000" w:sz="8"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330</w:t>
                  </w:r>
                </w:p>
              </w:tc>
              <w:tc>
                <w:tcPr>
                  <w:tcW w:w="2637" w:type="dxa"/>
                  <w:tcBorders>
                    <w:top w:val="single" w:color="000000" w:sz="8"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固态颗粒、袋装（25kg/袋）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auto"/>
                      <w:sz w:val="21"/>
                      <w:szCs w:val="21"/>
                      <w:lang w:val="en-US" w:eastAsia="zh-CN"/>
                    </w:rPr>
                  </w:pPr>
                </w:p>
              </w:tc>
              <w:tc>
                <w:tcPr>
                  <w:tcW w:w="1902"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auto"/>
                      <w:sz w:val="21"/>
                      <w:szCs w:val="21"/>
                      <w:lang w:val="en-US" w:eastAsia="zh-CN"/>
                    </w:rPr>
                  </w:pPr>
                  <w:r>
                    <w:rPr>
                      <w:rFonts w:hint="default" w:ascii="Times New Roman" w:hAnsi="Times New Roman" w:cs="Times New Roman"/>
                      <w:color w:val="auto"/>
                      <w:kern w:val="2"/>
                      <w:sz w:val="21"/>
                      <w:szCs w:val="21"/>
                      <w:lang w:val="en-US" w:eastAsia="zh-CN"/>
                    </w:rPr>
                    <w:t>138#松香甘油树脂</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110</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220</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330</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rPr>
                  </w:pPr>
                  <w:r>
                    <w:rPr>
                      <w:rFonts w:hint="eastAsia"/>
                      <w:color w:val="auto"/>
                      <w:sz w:val="21"/>
                      <w:szCs w:val="21"/>
                      <w:lang w:val="en-US" w:eastAsia="zh-CN"/>
                    </w:rPr>
                    <w:t>固态颗粒、袋装（25kg/袋）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p>
              </w:tc>
              <w:tc>
                <w:tcPr>
                  <w:tcW w:w="1902"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auto"/>
                      <w:sz w:val="21"/>
                      <w:szCs w:val="21"/>
                      <w:lang w:val="en-US" w:eastAsia="zh-CN"/>
                    </w:rPr>
                  </w:pPr>
                  <w:r>
                    <w:rPr>
                      <w:rFonts w:hint="default" w:ascii="Times New Roman" w:hAnsi="Times New Roman" w:cs="Times New Roman"/>
                      <w:color w:val="auto"/>
                      <w:kern w:val="2"/>
                      <w:sz w:val="21"/>
                      <w:szCs w:val="21"/>
                      <w:lang w:val="en-US" w:eastAsia="zh-CN"/>
                    </w:rPr>
                    <w:t>加氢石油树脂</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auto"/>
                      <w:sz w:val="21"/>
                      <w:szCs w:val="21"/>
                      <w:lang w:val="en-US" w:eastAsia="zh-CN"/>
                    </w:rPr>
                  </w:pPr>
                  <w:r>
                    <w:rPr>
                      <w:rFonts w:hint="eastAsia"/>
                      <w:color w:val="auto"/>
                      <w:sz w:val="21"/>
                      <w:szCs w:val="21"/>
                      <w:lang w:val="en-US" w:eastAsia="zh-CN"/>
                    </w:rPr>
                    <w:t>3</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6</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9</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r>
                    <w:rPr>
                      <w:rFonts w:hint="eastAsia"/>
                      <w:color w:val="auto"/>
                      <w:sz w:val="21"/>
                      <w:szCs w:val="21"/>
                      <w:lang w:val="en-US" w:eastAsia="zh-CN"/>
                    </w:rPr>
                    <w:t>固态颗粒、袋装（25kg/袋）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p>
              </w:tc>
              <w:tc>
                <w:tcPr>
                  <w:tcW w:w="1902"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PE</w:t>
                  </w:r>
                  <w:r>
                    <w:rPr>
                      <w:rFonts w:hint="eastAsia" w:ascii="宋体" w:hAnsi="宋体" w:eastAsia="宋体" w:cs="宋体"/>
                      <w:color w:val="auto"/>
                      <w:kern w:val="2"/>
                      <w:sz w:val="21"/>
                      <w:szCs w:val="21"/>
                      <w:lang w:val="en-US" w:eastAsia="zh-CN" w:bidi="ar"/>
                    </w:rPr>
                    <w:t>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3</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6</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9</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固态颗粒、袋装（25kg/袋）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p>
              </w:tc>
              <w:tc>
                <w:tcPr>
                  <w:tcW w:w="1902"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石蜡</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74</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148</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222</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固态颗粒、袋装（25kg/袋）</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p>
              </w:tc>
              <w:tc>
                <w:tcPr>
                  <w:tcW w:w="1902" w:type="dxa"/>
                  <w:tcBorders>
                    <w:top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eastAsia="宋体" w:cs="宋体"/>
                      <w:color w:val="auto"/>
                      <w:kern w:val="2"/>
                      <w:sz w:val="21"/>
                      <w:szCs w:val="21"/>
                      <w:lang w:val="en-US" w:eastAsia="zh-CN" w:bidi="ar"/>
                    </w:rPr>
                    <w:t>导热油</w:t>
                  </w:r>
                  <w:r>
                    <w:rPr>
                      <w:rFonts w:hint="eastAsia" w:ascii="宋体" w:hAnsi="宋体" w:cs="宋体"/>
                      <w:color w:val="auto"/>
                      <w:kern w:val="2"/>
                      <w:sz w:val="21"/>
                      <w:szCs w:val="21"/>
                      <w:lang w:val="en-US" w:eastAsia="zh-CN" w:bidi="ar"/>
                    </w:rPr>
                    <w:t>（电加热搅拌罐夹套内使用）</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0.1</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0.2</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0.3</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液态、桶装（170kg/桶）</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rPr>
                  </w:pPr>
                  <w:r>
                    <w:rPr>
                      <w:rFonts w:hint="eastAsia"/>
                      <w:b/>
                      <w:bCs/>
                      <w:color w:val="auto"/>
                      <w:sz w:val="21"/>
                      <w:szCs w:val="21"/>
                      <w:lang w:val="en-US" w:eastAsia="zh-CN"/>
                    </w:rPr>
                    <w:t>能耗</w:t>
                  </w:r>
                </w:p>
              </w:tc>
              <w:tc>
                <w:tcPr>
                  <w:tcW w:w="1902" w:type="dxa"/>
                  <w:tcBorders>
                    <w:top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水</w:t>
                  </w:r>
                </w:p>
              </w:tc>
              <w:tc>
                <w:tcPr>
                  <w:tcW w:w="12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84t/a</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132t/a</w:t>
                  </w:r>
                </w:p>
              </w:tc>
              <w:tc>
                <w:tcPr>
                  <w:tcW w:w="1275"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color w:val="auto"/>
                      <w:sz w:val="21"/>
                      <w:szCs w:val="21"/>
                      <w:lang w:val="en-US" w:eastAsia="zh-CN"/>
                    </w:rPr>
                  </w:pPr>
                  <w:r>
                    <w:rPr>
                      <w:rFonts w:hint="eastAsia"/>
                      <w:color w:val="auto"/>
                      <w:sz w:val="21"/>
                      <w:szCs w:val="21"/>
                      <w:lang w:val="en-US" w:eastAsia="zh-CN"/>
                    </w:rPr>
                    <w:t>216t/a</w:t>
                  </w:r>
                </w:p>
              </w:tc>
              <w:tc>
                <w:tcPr>
                  <w:tcW w:w="2637" w:type="dxa"/>
                  <w:tcBorders>
                    <w:top w:val="single" w:color="auto" w:sz="4" w:space="0"/>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u w:val="none"/>
                      <w:lang w:val="en-US" w:eastAsia="zh-CN"/>
                    </w:rPr>
                    <w:t>新乡县</w:t>
                  </w:r>
                  <w:r>
                    <w:rPr>
                      <w:rFonts w:hint="eastAsia"/>
                      <w:b w:val="0"/>
                      <w:bCs/>
                      <w:color w:val="auto"/>
                      <w:sz w:val="21"/>
                      <w:szCs w:val="21"/>
                      <w:highlight w:val="none"/>
                      <w:u w:val="none"/>
                      <w:lang w:eastAsia="zh-CN"/>
                    </w:rPr>
                    <w:t>自来水</w:t>
                  </w:r>
                  <w:r>
                    <w:rPr>
                      <w:rFonts w:hint="eastAsia"/>
                      <w:b w:val="0"/>
                      <w:bCs/>
                      <w:color w:val="auto"/>
                      <w:sz w:val="21"/>
                      <w:szCs w:val="21"/>
                      <w:highlight w:val="none"/>
                      <w:u w:val="none"/>
                      <w:lang w:val="en-US" w:eastAsia="zh-CN"/>
                    </w:rPr>
                    <w:t>管网</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41" w:type="dxa"/>
                  <w:vMerge w:val="continue"/>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FF0000"/>
                      <w:sz w:val="21"/>
                      <w:szCs w:val="21"/>
                    </w:rPr>
                  </w:pPr>
                </w:p>
              </w:tc>
              <w:tc>
                <w:tcPr>
                  <w:tcW w:w="1902" w:type="dxa"/>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电</w:t>
                  </w:r>
                </w:p>
              </w:tc>
              <w:tc>
                <w:tcPr>
                  <w:tcW w:w="1275"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5万</w:t>
                  </w:r>
                </w:p>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kW</w:t>
                  </w:r>
                  <w:r>
                    <w:rPr>
                      <w:rFonts w:hint="default" w:ascii="Times New Roman" w:hAnsi="Times New Roman" w:eastAsia="宋体" w:cs="Times New Roman"/>
                      <w:color w:val="auto"/>
                      <w:sz w:val="21"/>
                      <w:szCs w:val="21"/>
                      <w:highlight w:val="none"/>
                    </w:rPr>
                    <w:t>·h/a</w:t>
                  </w:r>
                </w:p>
              </w:tc>
              <w:tc>
                <w:tcPr>
                  <w:tcW w:w="1275"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10万kW</w:t>
                  </w:r>
                  <w:r>
                    <w:rPr>
                      <w:rFonts w:hint="default" w:ascii="Times New Roman" w:hAnsi="Times New Roman" w:eastAsia="宋体" w:cs="Times New Roman"/>
                      <w:color w:val="auto"/>
                      <w:sz w:val="21"/>
                      <w:szCs w:val="21"/>
                      <w:highlight w:val="none"/>
                    </w:rPr>
                    <w:t>·h/a</w:t>
                  </w:r>
                </w:p>
              </w:tc>
              <w:tc>
                <w:tcPr>
                  <w:tcW w:w="1275"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sz w:val="21"/>
                      <w:szCs w:val="21"/>
                      <w:lang w:val="en-US" w:eastAsia="zh-CN"/>
                    </w:rPr>
                  </w:pPr>
                  <w:r>
                    <w:rPr>
                      <w:rFonts w:hint="eastAsia"/>
                      <w:color w:val="auto"/>
                      <w:sz w:val="21"/>
                      <w:szCs w:val="21"/>
                      <w:lang w:val="en-US" w:eastAsia="zh-CN"/>
                    </w:rPr>
                    <w:t>15万kW</w:t>
                  </w:r>
                  <w:r>
                    <w:rPr>
                      <w:rFonts w:hint="default" w:ascii="Times New Roman" w:hAnsi="Times New Roman" w:eastAsia="宋体" w:cs="Times New Roman"/>
                      <w:color w:val="auto"/>
                      <w:sz w:val="21"/>
                      <w:szCs w:val="21"/>
                      <w:highlight w:val="none"/>
                    </w:rPr>
                    <w:t>·h/a</w:t>
                  </w:r>
                </w:p>
              </w:tc>
              <w:tc>
                <w:tcPr>
                  <w:tcW w:w="2637"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b w:val="0"/>
                      <w:bCs/>
                      <w:color w:val="auto"/>
                      <w:sz w:val="21"/>
                      <w:szCs w:val="21"/>
                      <w:highlight w:val="none"/>
                      <w:u w:val="none"/>
                      <w:lang w:val="en-US" w:eastAsia="zh-CN"/>
                    </w:rPr>
                    <w:t>新乡县</w:t>
                  </w:r>
                  <w:r>
                    <w:rPr>
                      <w:rFonts w:hint="eastAsia"/>
                      <w:b w:val="0"/>
                      <w:bCs/>
                      <w:color w:val="auto"/>
                      <w:sz w:val="21"/>
                      <w:szCs w:val="21"/>
                      <w:highlight w:val="none"/>
                      <w:u w:val="none"/>
                      <w:lang w:eastAsia="zh-CN"/>
                    </w:rPr>
                    <w:t>统一供</w:t>
                  </w:r>
                  <w:r>
                    <w:rPr>
                      <w:rFonts w:hint="eastAsia"/>
                      <w:b w:val="0"/>
                      <w:bCs/>
                      <w:color w:val="auto"/>
                      <w:sz w:val="21"/>
                      <w:szCs w:val="21"/>
                      <w:highlight w:val="none"/>
                      <w:u w:val="none"/>
                      <w:lang w:val="en-US" w:eastAsia="zh-CN"/>
                    </w:rPr>
                    <w:t>电</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宋体" w:hAnsi="宋体"/>
                <w:color w:val="auto"/>
                <w:sz w:val="24"/>
                <w:szCs w:val="24"/>
                <w:lang w:val="en-US" w:eastAsia="zh-CN"/>
              </w:rPr>
            </w:pPr>
            <w:r>
              <w:rPr>
                <w:rFonts w:hint="default" w:ascii="Times New Roman" w:hAnsi="Times New Roman" w:cs="Times New Roman"/>
                <w:color w:val="auto"/>
                <w:sz w:val="24"/>
                <w:szCs w:val="24"/>
                <w:lang w:val="en-US" w:eastAsia="zh-CN"/>
              </w:rPr>
              <w:t>2、</w:t>
            </w:r>
            <w:r>
              <w:rPr>
                <w:rFonts w:hint="eastAsia" w:ascii="宋体" w:hAnsi="宋体"/>
                <w:color w:val="auto"/>
                <w:sz w:val="24"/>
                <w:szCs w:val="24"/>
                <w:lang w:val="en-US" w:eastAsia="zh-CN"/>
              </w:rPr>
              <w:t>主要原辅材料理化性质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EVA树脂：乙烯-醋酸乙烯共聚物。分子式：（C</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vertAlign w:val="subscript"/>
                <w:lang w:val="en-US" w:eastAsia="zh-CN"/>
              </w:rPr>
              <w:t>x</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cs="Times New Roman"/>
                <w:color w:val="auto"/>
                <w:sz w:val="24"/>
                <w:szCs w:val="24"/>
                <w:lang w:val="en-US" w:eastAsia="zh-CN"/>
              </w:rPr>
              <w:t>（C</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6</w:t>
            </w:r>
            <w:r>
              <w:rPr>
                <w:rFonts w:hint="default" w:ascii="Times New Roman" w:hAnsi="Times New Roman" w:cs="Times New Roman"/>
                <w:color w:val="auto"/>
                <w:sz w:val="24"/>
                <w:szCs w:val="24"/>
                <w:lang w:val="en-US" w:eastAsia="zh-CN"/>
              </w:rPr>
              <w:t>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vertAlign w:val="subscript"/>
                <w:lang w:val="en-US" w:eastAsia="zh-CN"/>
              </w:rPr>
              <w:t>y</w:t>
            </w:r>
            <w:r>
              <w:rPr>
                <w:rFonts w:hint="default" w:ascii="Times New Roman" w:hAnsi="Times New Roman" w:cs="Times New Roman"/>
                <w:color w:val="auto"/>
                <w:sz w:val="24"/>
                <w:szCs w:val="24"/>
                <w:lang w:val="en-US" w:eastAsia="zh-CN"/>
              </w:rPr>
              <w:t>，CAS号：24937-78-8，白色颗粒物，密度约0.94g/cm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熔点为78～96℃，热分解温度为230～250℃。具有良好的化学稳定性、耐老性、耐臭氧性、耐水性、耐腐蚀性。以EVA树脂为主要成分的热熔胶，由于不含溶剂，对环境污染较小且安全性较高，被广泛应用于书籍无线装订、家具封边、汽车和家用电器的装配、制鞋、地毯涂层和金属的防腐涂层上。</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138#松香甘油树脂：分子式：C</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8</w:t>
            </w:r>
            <w:r>
              <w:rPr>
                <w:rFonts w:hint="default" w:ascii="Times New Roman" w:hAnsi="Times New Roman" w:cs="Times New Roman"/>
                <w:color w:val="auto"/>
                <w:sz w:val="24"/>
                <w:szCs w:val="24"/>
                <w:lang w:val="en-US" w:eastAsia="zh-CN"/>
              </w:rPr>
              <w:t>O</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CAS号：8050-31-5，由松香和甘油酯化而成，通过真空处理后制成不规则透明固体，具有软化高、色泽浅、粘度高、耐老化及耐热性好等特点，熔点为90～95℃，溶解于石油烃类、芳香类、脂类、酮类、汽油、苯、醋酸酯、丙酮和松节油等溶剂，不溶于醇类溶剂，对提高EVA热熔胶的初粘性及改善粘着强度效果显著，同时对胶的耐性的提高有其独特作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加氢石油树脂：由于C</w:t>
            </w:r>
            <w:r>
              <w:rPr>
                <w:rFonts w:hint="default" w:ascii="Times New Roman" w:hAnsi="Times New Roman" w:cs="Times New Roman"/>
                <w:color w:val="auto"/>
                <w:sz w:val="24"/>
                <w:szCs w:val="24"/>
                <w:vertAlign w:val="subscript"/>
                <w:lang w:val="en-US" w:eastAsia="zh-CN"/>
              </w:rPr>
              <w:t>5</w:t>
            </w:r>
            <w:r>
              <w:rPr>
                <w:rFonts w:hint="default" w:ascii="Times New Roman" w:hAnsi="Times New Roman" w:cs="Times New Roman"/>
                <w:color w:val="auto"/>
                <w:sz w:val="24"/>
                <w:szCs w:val="24"/>
                <w:lang w:val="en-US" w:eastAsia="zh-CN"/>
              </w:rPr>
              <w:t>和C</w:t>
            </w:r>
            <w:r>
              <w:rPr>
                <w:rFonts w:hint="default" w:ascii="Times New Roman" w:hAnsi="Times New Roman" w:cs="Times New Roman"/>
                <w:color w:val="auto"/>
                <w:sz w:val="24"/>
                <w:szCs w:val="24"/>
                <w:vertAlign w:val="subscript"/>
                <w:lang w:val="en-US" w:eastAsia="zh-CN"/>
              </w:rPr>
              <w:t>9</w:t>
            </w:r>
            <w:r>
              <w:rPr>
                <w:rFonts w:hint="default" w:ascii="Times New Roman" w:hAnsi="Times New Roman" w:cs="Times New Roman"/>
                <w:color w:val="auto"/>
                <w:sz w:val="24"/>
                <w:szCs w:val="24"/>
                <w:lang w:val="en-US" w:eastAsia="zh-CN"/>
              </w:rPr>
              <w:t>馏份中含有双烯烃、芳基烯烃等组份，使所制得的石油树脂含有双键和苯环，因而使树脂带有颜色，而且树脂的光、热稳定性也较差，影响其应用范围，因此采用加氢方法，对石油树脂进行改性，脱除饱和树脂中的双键和苯环及树脂在聚合过程中残留的卤化物，以改善其色相和提高光、热稳定性。加氢石油树脂熔点为92～95℃，用作溶剂型胶黏剂、热熔胶及热熔压敏胶等的增黏树脂</w:t>
            </w:r>
            <w:r>
              <w:rPr>
                <w:rFonts w:hint="eastAsia" w:cs="Times New Roman"/>
                <w:color w:val="auto"/>
                <w:sz w:val="24"/>
                <w:szCs w:val="24"/>
                <w:lang w:val="en-US" w:eastAsia="zh-CN"/>
              </w:rPr>
              <w:t>，外观为颗粒固态，呈白色或浅黄色</w:t>
            </w:r>
            <w:r>
              <w:rPr>
                <w:rFonts w:hint="default"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石蜡：又称晶型蜡，主要组分为直链烷烃成分，分子式：C</w:t>
            </w:r>
            <w:r>
              <w:rPr>
                <w:rFonts w:hint="default" w:ascii="Times New Roman" w:hAnsi="Times New Roman" w:cs="Times New Roman"/>
                <w:color w:val="auto"/>
                <w:sz w:val="24"/>
                <w:szCs w:val="24"/>
                <w:vertAlign w:val="subscript"/>
                <w:lang w:val="en-US" w:eastAsia="zh-CN"/>
              </w:rPr>
              <w:t>n</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bscript"/>
                <w:lang w:val="en-US" w:eastAsia="zh-CN"/>
              </w:rPr>
              <w:t>2n+2</w:t>
            </w:r>
            <w:r>
              <w:rPr>
                <w:rFonts w:hint="default" w:ascii="Times New Roman" w:hAnsi="Times New Roman" w:cs="Times New Roman"/>
                <w:color w:val="auto"/>
                <w:sz w:val="24"/>
                <w:szCs w:val="24"/>
                <w:lang w:val="en-US" w:eastAsia="zh-CN"/>
              </w:rPr>
              <w:t>，其中n=17～35。CAS号：8002-074-2，无臭无味白色或淡黄色的半透明固体，在47～64℃熔化，相对密度约0.9g/cm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沸点371℃，溶于汽油、二硫化碳、二甲苯、乙醚、苯、氯仿、四氯化碳、石脑油等非极性溶剂，不溶于水和甲醇等极性溶剂。具有良好的热安定性，主要用作食品、口服药品及某些商品（如蜡纸、蜡笔、蜡烛、复写纸）的组分及包装材料，烘烤容器的涂敷料，用于水果保鲜，电器元件绝缘，提高橡胶抗老化性和增加柔韧性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PE蜡：聚乙烯蜡，具有粘度低，软化点高，硬度好等性能，无毒，热稳定性好，高温挥发性低，在常温下抗湿性能好，耐化学药品能力强，电性能优良，可改善成品的外观。熔点：90～100℃，相对密度约0.93～0.98g/c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导热油：《石油产品名词术语》（GB/T 4016-1986）中</w:t>
            </w:r>
            <w:r>
              <w:rPr>
                <w:rFonts w:hint="eastAsia" w:asciiTheme="minorEastAsia" w:hAnsiTheme="minorEastAsia" w:eastAsiaTheme="minorEastAsia" w:cstheme="minorEastAsia"/>
                <w:color w:val="auto"/>
                <w:sz w:val="24"/>
                <w:szCs w:val="24"/>
                <w:lang w:val="en-US" w:eastAsia="zh-CN"/>
              </w:rPr>
              <w:t>“</w:t>
            </w:r>
            <w:r>
              <w:rPr>
                <w:rFonts w:hint="default" w:ascii="Times New Roman" w:hAnsi="Times New Roman" w:cs="Times New Roman"/>
                <w:color w:val="auto"/>
                <w:sz w:val="24"/>
                <w:szCs w:val="24"/>
                <w:lang w:val="en-US" w:eastAsia="zh-CN"/>
              </w:rPr>
              <w:t>热载体油</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lang w:val="en-US" w:eastAsia="zh-CN"/>
              </w:rPr>
              <w:t>的曾用名，用于间接传递热量的一类热稳定性较好的专用油品。由于其具有加热均匀，调温控制准确，能在低蒸气压下产生高温，传热效果好，节能，输送和操作方便等特点，近年来被广泛用于各种场合</w:t>
            </w:r>
            <w:r>
              <w:rPr>
                <w:rFonts w:hint="eastAsia" w:cs="Times New Roman"/>
                <w:color w:val="auto"/>
                <w:sz w:val="24"/>
                <w:szCs w:val="24"/>
                <w:lang w:val="en-US" w:eastAsia="zh-CN"/>
              </w:rPr>
              <w:t>，本项目在电加热搅拌罐夹套内使用。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根据建设单位提供资料，本项目所用原辅材料经检验合格后进厂，运营过程中无不合格原辅材料产生。</w:t>
            </w:r>
          </w:p>
          <w:p>
            <w:pPr>
              <w:keepNext w:val="0"/>
              <w:keepLines w:val="0"/>
              <w:suppressLineNumbers w:val="0"/>
              <w:spacing w:before="0" w:beforeAutospacing="0" w:after="0" w:afterAutospacing="0" w:line="440" w:lineRule="exact"/>
              <w:ind w:left="0" w:right="0" w:firstLine="482" w:firstLineChars="200"/>
              <w:rPr>
                <w:rFonts w:hint="default"/>
                <w:b/>
                <w:color w:val="auto"/>
                <w:sz w:val="24"/>
              </w:rPr>
            </w:pPr>
            <w:r>
              <w:rPr>
                <w:rFonts w:hint="eastAsia"/>
                <w:b/>
                <w:color w:val="auto"/>
                <w:sz w:val="24"/>
              </w:rPr>
              <w:t>6</w:t>
            </w:r>
            <w:r>
              <w:rPr>
                <w:rFonts w:hint="default"/>
                <w:b/>
                <w:color w:val="auto"/>
                <w:sz w:val="24"/>
              </w:rPr>
              <w:t>、</w:t>
            </w:r>
            <w:r>
              <w:rPr>
                <w:rFonts w:hint="default"/>
                <w:b/>
                <w:color w:val="auto"/>
                <w:sz w:val="24"/>
                <w:lang w:val="pt-BR"/>
              </w:rPr>
              <w:t>劳动定员与制度</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ascii="宋体" w:hAnsi="宋体"/>
                <w:b/>
                <w:color w:val="auto"/>
                <w:sz w:val="24"/>
                <w:lang w:val="en-US" w:eastAsia="zh-CN"/>
              </w:rPr>
            </w:pPr>
            <w:r>
              <w:rPr>
                <w:rFonts w:hint="eastAsia"/>
                <w:bCs/>
                <w:color w:val="auto"/>
                <w:sz w:val="24"/>
              </w:rPr>
              <w:t>本项目</w:t>
            </w:r>
            <w:r>
              <w:rPr>
                <w:rFonts w:hint="eastAsia"/>
                <w:color w:val="auto"/>
                <w:sz w:val="24"/>
              </w:rPr>
              <w:t>职工人数为</w:t>
            </w:r>
            <w:r>
              <w:rPr>
                <w:rFonts w:hint="eastAsia"/>
                <w:color w:val="auto"/>
                <w:sz w:val="24"/>
                <w:lang w:val="en-US" w:eastAsia="zh-CN"/>
              </w:rPr>
              <w:t>20</w:t>
            </w:r>
            <w:r>
              <w:rPr>
                <w:rFonts w:hint="eastAsia"/>
                <w:color w:val="auto"/>
                <w:sz w:val="24"/>
              </w:rPr>
              <w:t>人</w:t>
            </w:r>
            <w:r>
              <w:rPr>
                <w:rFonts w:hint="eastAsia"/>
                <w:color w:val="auto"/>
                <w:sz w:val="24"/>
                <w:lang w:val="en-US" w:eastAsia="zh-CN"/>
              </w:rPr>
              <w:t>，一期劳务定员8人，二期增加12人。单班</w:t>
            </w:r>
            <w:r>
              <w:rPr>
                <w:rFonts w:hint="default"/>
                <w:color w:val="auto"/>
                <w:sz w:val="24"/>
              </w:rPr>
              <w:t>工作8小时，年工作300天</w:t>
            </w:r>
            <w:r>
              <w:rPr>
                <w:rFonts w:hint="eastAsia"/>
                <w:color w:val="auto"/>
                <w:sz w:val="24"/>
              </w:rPr>
              <w:t>，</w:t>
            </w:r>
            <w:r>
              <w:rPr>
                <w:rFonts w:hint="default"/>
                <w:color w:val="auto"/>
                <w:sz w:val="24"/>
              </w:rPr>
              <w:t>员工均不在厂区食宿。</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511" w:firstLineChars="212"/>
              <w:textAlignment w:val="baseline"/>
              <w:rPr>
                <w:rFonts w:hint="default" w:ascii="宋体" w:hAnsi="宋体" w:eastAsia="宋体"/>
                <w:b/>
                <w:sz w:val="24"/>
                <w:lang w:val="en-US" w:eastAsia="zh-CN"/>
              </w:rPr>
            </w:pPr>
            <w:r>
              <w:rPr>
                <w:rFonts w:hint="eastAsia" w:ascii="宋体" w:hAnsi="宋体"/>
                <w:b/>
                <w:sz w:val="24"/>
                <w:lang w:val="en-US" w:eastAsia="zh-CN"/>
              </w:rPr>
              <w:t>7</w:t>
            </w:r>
            <w:r>
              <w:rPr>
                <w:rFonts w:hint="eastAsia" w:ascii="宋体" w:hAnsi="宋体"/>
                <w:b/>
                <w:sz w:val="24"/>
              </w:rPr>
              <w:t>、</w:t>
            </w:r>
            <w:r>
              <w:rPr>
                <w:rFonts w:hint="eastAsia" w:ascii="宋体" w:hAnsi="宋体"/>
                <w:b/>
                <w:sz w:val="24"/>
                <w:lang w:val="en-US" w:eastAsia="zh-CN"/>
              </w:rPr>
              <w:t>项目周边环境</w:t>
            </w:r>
          </w:p>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440" w:lineRule="exact"/>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本项目位于</w:t>
            </w:r>
            <w:r>
              <w:rPr>
                <w:rFonts w:hint="eastAsia" w:ascii="Times New Roman" w:hAnsi="Times New Roman" w:eastAsia="宋体" w:cs="Times New Roman"/>
                <w:color w:val="auto"/>
                <w:sz w:val="24"/>
                <w:highlight w:val="none"/>
                <w:lang w:eastAsia="zh-CN"/>
              </w:rPr>
              <w:t>河南省新乡市新乡县</w:t>
            </w:r>
            <w:r>
              <w:rPr>
                <w:rFonts w:hint="eastAsia" w:ascii="宋体" w:hAnsi="宋体" w:cs="宋体"/>
                <w:color w:val="auto"/>
                <w:sz w:val="24"/>
                <w:szCs w:val="24"/>
                <w:lang w:val="en-US" w:eastAsia="zh-CN"/>
              </w:rPr>
              <w:t>七里营镇工业园区阳光路</w:t>
            </w:r>
            <w:r>
              <w:rPr>
                <w:rFonts w:hint="default" w:ascii="Times New Roman" w:hAnsi="Times New Roman" w:cs="Times New Roman"/>
                <w:color w:val="auto"/>
                <w:sz w:val="24"/>
                <w:szCs w:val="24"/>
                <w:lang w:val="en-US" w:eastAsia="zh-CN"/>
              </w:rPr>
              <w:t>6</w:t>
            </w:r>
            <w:r>
              <w:rPr>
                <w:rFonts w:hint="eastAsia" w:ascii="宋体" w:hAnsi="宋体" w:cs="宋体"/>
                <w:color w:val="auto"/>
                <w:sz w:val="24"/>
                <w:szCs w:val="24"/>
                <w:lang w:val="en-US" w:eastAsia="zh-CN"/>
              </w:rPr>
              <w:t>号</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所在地四周环境为：</w:t>
            </w:r>
            <w:r>
              <w:rPr>
                <w:rFonts w:hint="default" w:ascii="Times New Roman" w:hAnsi="Times New Roman" w:eastAsia="宋体" w:cs="Times New Roman"/>
                <w:color w:val="auto"/>
                <w:sz w:val="24"/>
                <w:highlight w:val="none"/>
                <w:lang w:eastAsia="zh-CN"/>
              </w:rPr>
              <w:t>东侧为</w:t>
            </w:r>
            <w:r>
              <w:rPr>
                <w:rFonts w:hint="eastAsia" w:cs="Times New Roman"/>
                <w:color w:val="auto"/>
                <w:sz w:val="24"/>
                <w:highlight w:val="none"/>
                <w:lang w:val="en-US" w:eastAsia="zh-CN"/>
              </w:rPr>
              <w:t>租赁方新乡市顺美壁纸与限公司生产车间</w:t>
            </w:r>
            <w:r>
              <w:rPr>
                <w:rFonts w:hint="default" w:ascii="Times New Roman" w:hAnsi="Times New Roman" w:eastAsia="宋体" w:cs="Times New Roman"/>
                <w:color w:val="auto"/>
                <w:sz w:val="24"/>
                <w:highlight w:val="none"/>
                <w:lang w:eastAsia="zh-CN"/>
              </w:rPr>
              <w:t>；西侧为</w:t>
            </w:r>
            <w:r>
              <w:rPr>
                <w:rFonts w:hint="eastAsia" w:cs="Times New Roman"/>
                <w:color w:val="auto"/>
                <w:sz w:val="24"/>
                <w:highlight w:val="none"/>
                <w:lang w:val="en-US" w:eastAsia="zh-CN"/>
              </w:rPr>
              <w:t>空地</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南侧为新乡市众和保温材料有限公司厂房；</w:t>
            </w:r>
            <w:r>
              <w:rPr>
                <w:rFonts w:hint="default" w:ascii="Times New Roman" w:hAnsi="Times New Roman" w:eastAsia="宋体" w:cs="Times New Roman"/>
                <w:color w:val="auto"/>
                <w:sz w:val="24"/>
                <w:highlight w:val="none"/>
                <w:lang w:eastAsia="zh-CN"/>
              </w:rPr>
              <w:t>北侧</w:t>
            </w:r>
            <w:r>
              <w:rPr>
                <w:rFonts w:hint="eastAsia" w:cs="Times New Roman"/>
                <w:color w:val="auto"/>
                <w:sz w:val="24"/>
                <w:highlight w:val="none"/>
                <w:lang w:val="en-US" w:eastAsia="zh-CN"/>
              </w:rPr>
              <w:t>为租赁方新乡市顺美壁纸与限公司目前闲置厂房</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项目周围</w:t>
            </w:r>
            <w:r>
              <w:rPr>
                <w:rFonts w:hint="eastAsia" w:cs="Times New Roman"/>
                <w:color w:val="auto"/>
                <w:sz w:val="24"/>
                <w:highlight w:val="none"/>
                <w:lang w:val="en-US" w:eastAsia="zh-CN"/>
              </w:rPr>
              <w:t>500米无</w:t>
            </w:r>
            <w:r>
              <w:rPr>
                <w:rFonts w:hint="default" w:ascii="Times New Roman" w:hAnsi="Times New Roman" w:eastAsia="宋体" w:cs="Times New Roman"/>
                <w:color w:val="auto"/>
                <w:sz w:val="24"/>
                <w:highlight w:val="none"/>
              </w:rPr>
              <w:t>环境敏感点</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szCs w:val="24"/>
                <w:highlight w:val="none"/>
              </w:rPr>
              <w:t>项目周围环境概况</w:t>
            </w:r>
            <w:r>
              <w:rPr>
                <w:rFonts w:hint="eastAsia" w:cs="Times New Roman"/>
                <w:color w:val="auto"/>
                <w:sz w:val="24"/>
                <w:szCs w:val="24"/>
                <w:highlight w:val="none"/>
                <w:lang w:val="en-US" w:eastAsia="zh-CN"/>
              </w:rPr>
              <w:t>附图3</w:t>
            </w:r>
            <w:r>
              <w:rPr>
                <w:rFonts w:hint="default" w:ascii="Times New Roman" w:hAnsi="Times New Roman" w:eastAsia="宋体" w:cs="Times New Roman"/>
                <w:color w:val="auto"/>
                <w:sz w:val="24"/>
                <w:szCs w:val="24"/>
                <w:highlight w:val="none"/>
              </w:rPr>
              <w:t>。</w:t>
            </w:r>
          </w:p>
          <w:p>
            <w:pPr>
              <w:pStyle w:val="29"/>
              <w:keepNext w:val="0"/>
              <w:keepLines w:val="0"/>
              <w:pageBreakBefore w:val="0"/>
              <w:widowControl w:val="0"/>
              <w:suppressLineNumbers w:val="0"/>
              <w:kinsoku/>
              <w:wordWrap/>
              <w:overflowPunct/>
              <w:topLinePunct w:val="0"/>
              <w:bidi w:val="0"/>
              <w:spacing w:before="0" w:beforeAutospacing="0" w:after="0" w:afterAutospacing="0" w:line="440" w:lineRule="exact"/>
              <w:ind w:left="0" w:right="0"/>
              <w:rPr>
                <w:rFonts w:hint="default" w:eastAsia="宋体"/>
                <w:lang w:val="en-US" w:eastAsia="zh-CN"/>
              </w:rPr>
            </w:pPr>
            <w:r>
              <w:rPr>
                <w:rFonts w:hint="eastAsia" w:ascii="Times New Roman" w:hAnsi="Times New Roman" w:cs="Times New Roman"/>
                <w:color w:val="000000"/>
                <w:sz w:val="24"/>
                <w:szCs w:val="24"/>
                <w:highlight w:val="none"/>
                <w:lang w:val="en-US" w:eastAsia="zh-CN"/>
              </w:rPr>
              <w:t xml:space="preserve">    8、厂区布置简述</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jc w:val="left"/>
              <w:rPr>
                <w:rFonts w:hint="default" w:eastAsia="宋体"/>
                <w:color w:val="FF0000"/>
                <w:sz w:val="24"/>
                <w:lang w:val="en-US" w:eastAsia="zh-CN"/>
              </w:rPr>
            </w:pPr>
            <w:r>
              <w:rPr>
                <w:rFonts w:hint="eastAsia" w:ascii="Times New Roman" w:hAnsi="Times New Roman" w:eastAsia="宋体" w:cs="Times New Roman"/>
                <w:b w:val="0"/>
                <w:bCs w:val="0"/>
                <w:color w:val="auto"/>
                <w:sz w:val="24"/>
                <w:szCs w:val="24"/>
                <w:highlight w:val="none"/>
                <w:u w:val="none"/>
                <w:lang w:val="en-US" w:eastAsia="zh-CN"/>
              </w:rPr>
              <w:t>本项目</w:t>
            </w:r>
            <w:r>
              <w:rPr>
                <w:rFonts w:hint="eastAsia" w:cs="Times New Roman"/>
                <w:b w:val="0"/>
                <w:bCs w:val="0"/>
                <w:color w:val="auto"/>
                <w:sz w:val="24"/>
                <w:szCs w:val="24"/>
                <w:highlight w:val="none"/>
                <w:u w:val="none"/>
                <w:lang w:val="en-US" w:eastAsia="zh-CN"/>
              </w:rPr>
              <w:t>仅租赁一座厂房进行运营生产，危废间和一般固废间均位于厂房内西南角，原料区位于车间内部东北侧，成品区位于车间内部东南侧，</w:t>
            </w:r>
            <w:r>
              <w:rPr>
                <w:rFonts w:hint="eastAsia" w:ascii="Times New Roman" w:hAnsi="Times New Roman" w:eastAsia="宋体" w:cs="Times New Roman"/>
                <w:b w:val="0"/>
                <w:bCs w:val="0"/>
                <w:color w:val="auto"/>
                <w:sz w:val="24"/>
                <w:szCs w:val="24"/>
                <w:highlight w:val="none"/>
                <w:u w:val="none"/>
                <w:lang w:val="en-US" w:eastAsia="zh-CN"/>
              </w:rPr>
              <w:t>整个布置工艺流程顺畅、物流通畅、方便生产及管理，同时充分考虑到项目自身与周围环境的协调关系。项目平面布置合理，厂区平面布置图详见附图</w:t>
            </w:r>
            <w:r>
              <w:rPr>
                <w:rFonts w:hint="eastAsia"/>
                <w:color w:val="auto"/>
                <w:sz w:val="24"/>
                <w:lang w:val="en-US" w:eastAsia="zh-CN"/>
              </w:rPr>
              <w:t>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1" w:hRule="atLeast"/>
          <w:jc w:val="center"/>
        </w:trPr>
        <w:tc>
          <w:tcPr>
            <w:tcW w:w="731" w:type="dxa"/>
            <w:noWrap w:val="0"/>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sz w:val="21"/>
                <w:szCs w:val="21"/>
                <w:lang w:val="en-US" w:eastAsia="zh-CN"/>
              </w:rPr>
            </w:pPr>
            <w:r>
              <w:rPr>
                <w:rFonts w:hint="default" w:ascii="Times New Roman"/>
                <w:sz w:val="24"/>
                <w:szCs w:val="24"/>
                <w:lang w:val="en-US" w:eastAsia="zh-CN"/>
              </w:rPr>
              <w:t>工艺流程和产排污环节</w:t>
            </w:r>
          </w:p>
        </w:tc>
        <w:tc>
          <w:tcPr>
            <w:tcW w:w="9021" w:type="dxa"/>
            <w:noWrap w:val="0"/>
            <w:vAlign w:val="top"/>
          </w:tcPr>
          <w:p>
            <w:pPr>
              <w:keepNext w:val="0"/>
              <w:keepLines w:val="0"/>
              <w:suppressLineNumbers w:val="0"/>
              <w:spacing w:before="0" w:beforeAutospacing="0" w:after="0" w:afterAutospacing="0" w:line="440" w:lineRule="exact"/>
              <w:ind w:left="0" w:right="0"/>
              <w:jc w:val="left"/>
              <w:rPr>
                <w:rFonts w:hint="eastAsia" w:ascii="宋体" w:hAnsi="宋体"/>
                <w:b/>
                <w:bCs/>
                <w:sz w:val="24"/>
              </w:rPr>
            </w:pPr>
            <w:r>
              <w:rPr>
                <w:rFonts w:hint="eastAsia" w:ascii="宋体" w:hAnsi="宋体"/>
                <w:b/>
                <w:bCs/>
                <w:sz w:val="24"/>
              </w:rPr>
              <w:t>工艺流程简述（图示）：</w:t>
            </w:r>
          </w:p>
          <w:p>
            <w:pPr>
              <w:keepNext w:val="0"/>
              <w:keepLines w:val="0"/>
              <w:suppressLineNumbers w:val="0"/>
              <w:spacing w:before="0" w:beforeAutospacing="0" w:after="0" w:afterAutospacing="0" w:line="440" w:lineRule="exact"/>
              <w:ind w:left="0" w:right="0" w:firstLine="480" w:firstLineChars="200"/>
              <w:jc w:val="left"/>
              <w:rPr>
                <w:rFonts w:hint="default" w:ascii="宋体" w:hAnsi="宋体" w:eastAsia="宋体"/>
                <w:bCs/>
                <w:color w:val="auto"/>
                <w:sz w:val="24"/>
                <w:lang w:val="en-US" w:eastAsia="zh-CN"/>
              </w:rPr>
            </w:pPr>
            <w:r>
              <w:rPr>
                <w:rFonts w:hint="eastAsia" w:ascii="宋体" w:hAnsi="宋体"/>
                <w:bCs/>
                <w:color w:val="auto"/>
                <w:sz w:val="24"/>
              </w:rPr>
              <w:t>本项目</w:t>
            </w:r>
            <w:r>
              <w:rPr>
                <w:rFonts w:hint="eastAsia" w:ascii="宋体" w:hAnsi="宋体"/>
                <w:bCs/>
                <w:color w:val="auto"/>
                <w:sz w:val="24"/>
                <w:lang w:val="en-US" w:eastAsia="zh-CN"/>
              </w:rPr>
              <w:t>一期建设一条生产线，二期建设两条生产线，三条生产线原料、工艺、产品均相同。</w:t>
            </w:r>
          </w:p>
          <w:p>
            <w:pPr>
              <w:pStyle w:val="53"/>
              <w:keepNext w:val="0"/>
              <w:keepLines w:val="0"/>
              <w:suppressLineNumbers w:val="0"/>
              <w:spacing w:before="0" w:beforeAutospacing="0" w:after="0" w:afterAutospacing="0" w:line="440" w:lineRule="exact"/>
              <w:ind w:left="0" w:right="0" w:firstLine="466" w:firstLineChars="200"/>
              <w:rPr>
                <w:rFonts w:hint="eastAsia" w:hAnsi="宋体" w:cs="Times New Roman"/>
                <w:b/>
                <w:color w:val="auto"/>
                <w:sz w:val="24"/>
                <w:szCs w:val="24"/>
              </w:rPr>
            </w:pPr>
            <w:r>
              <w:rPr>
                <w:rFonts w:hint="eastAsia" w:hAnsi="宋体"/>
                <w:b/>
                <w:color w:val="auto"/>
                <w:spacing w:val="-4"/>
                <w:sz w:val="24"/>
                <w:szCs w:val="24"/>
              </w:rPr>
              <w:t>本项目生产工艺如下</w:t>
            </w:r>
            <w:r>
              <w:rPr>
                <w:rFonts w:hint="eastAsia" w:hAnsi="宋体" w:cs="Times New Roman"/>
                <w:b/>
                <w:color w:val="auto"/>
                <w:sz w:val="24"/>
                <w:szCs w:val="24"/>
              </w:rPr>
              <w:t>：</w:t>
            </w:r>
          </w:p>
          <w:p>
            <w:pPr>
              <w:pStyle w:val="53"/>
              <w:keepNext w:val="0"/>
              <w:keepLines w:val="0"/>
              <w:suppressLineNumbers w:val="0"/>
              <w:spacing w:before="0" w:beforeAutospacing="0" w:after="0" w:afterAutospacing="0" w:line="440" w:lineRule="exact"/>
              <w:ind w:left="0" w:right="0" w:firstLine="482" w:firstLineChars="200"/>
              <w:rPr>
                <w:rFonts w:hint="eastAsia" w:hAnsi="宋体" w:cs="Times New Roman"/>
                <w:b/>
                <w:color w:val="auto"/>
                <w:sz w:val="24"/>
                <w:szCs w:val="24"/>
              </w:rPr>
            </w:pPr>
          </w:p>
          <w:p>
            <w:pPr>
              <w:pStyle w:val="53"/>
              <w:keepNext w:val="0"/>
              <w:keepLines w:val="0"/>
              <w:suppressLineNumbers w:val="0"/>
              <w:spacing w:before="0" w:beforeAutospacing="0" w:after="0" w:afterAutospacing="0" w:line="440" w:lineRule="exact"/>
              <w:ind w:left="0" w:right="0" w:firstLine="482" w:firstLineChars="200"/>
              <w:rPr>
                <w:rFonts w:hint="eastAsia" w:hAnsi="宋体" w:cs="Times New Roman"/>
                <w:b/>
                <w:color w:val="auto"/>
                <w:sz w:val="24"/>
                <w:szCs w:val="24"/>
              </w:rPr>
            </w:pPr>
          </w:p>
          <w:p>
            <w:pPr>
              <w:pStyle w:val="53"/>
              <w:keepNext w:val="0"/>
              <w:keepLines w:val="0"/>
              <w:suppressLineNumbers w:val="0"/>
              <w:spacing w:before="0" w:beforeAutospacing="0" w:after="0" w:afterAutospacing="0" w:line="440" w:lineRule="exact"/>
              <w:ind w:left="0" w:right="0" w:firstLine="482" w:firstLineChars="200"/>
              <w:rPr>
                <w:rFonts w:hint="eastAsia" w:hAnsi="宋体" w:cs="Times New Roman"/>
                <w:b/>
                <w:color w:val="auto"/>
                <w:sz w:val="24"/>
                <w:szCs w:val="24"/>
              </w:rPr>
            </w:pPr>
          </w:p>
          <w:p>
            <w:pPr>
              <w:pStyle w:val="53"/>
              <w:keepNext w:val="0"/>
              <w:keepLines w:val="0"/>
              <w:suppressLineNumbers w:val="0"/>
              <w:spacing w:before="0" w:beforeAutospacing="0" w:after="0" w:afterAutospacing="0" w:line="440" w:lineRule="exact"/>
              <w:ind w:left="0" w:right="0" w:firstLine="482" w:firstLineChars="200"/>
              <w:rPr>
                <w:rFonts w:hint="eastAsia" w:hAnsi="宋体" w:cs="Times New Roman"/>
                <w:b/>
                <w:color w:val="auto"/>
                <w:sz w:val="24"/>
                <w:szCs w:val="24"/>
              </w:rPr>
            </w:pPr>
          </w:p>
          <w:p>
            <w:pPr>
              <w:pStyle w:val="53"/>
              <w:keepNext w:val="0"/>
              <w:keepLines w:val="0"/>
              <w:suppressLineNumbers w:val="0"/>
              <w:spacing w:before="0" w:beforeAutospacing="0" w:after="0" w:afterAutospacing="0" w:line="440" w:lineRule="exact"/>
              <w:ind w:left="0" w:leftChars="0" w:right="0" w:firstLine="0" w:firstLineChars="0"/>
              <w:rPr>
                <w:rFonts w:hint="eastAsia" w:hAnsi="宋体" w:eastAsia="宋体"/>
                <w:b/>
                <w:color w:val="auto"/>
                <w:spacing w:val="-4"/>
                <w:sz w:val="24"/>
                <w:szCs w:val="24"/>
                <w:lang w:eastAsia="zh-CN"/>
              </w:rPr>
            </w:pPr>
          </w:p>
          <w:p>
            <w:pPr>
              <w:pStyle w:val="53"/>
              <w:keepNext w:val="0"/>
              <w:keepLines w:val="0"/>
              <w:suppressLineNumbers w:val="0"/>
              <w:spacing w:before="0" w:beforeAutospacing="0" w:after="0" w:afterAutospacing="0" w:line="440" w:lineRule="exact"/>
              <w:ind w:left="0" w:right="0" w:firstLine="466" w:firstLineChars="200"/>
              <w:rPr>
                <w:rFonts w:hint="eastAsia" w:hAnsi="宋体"/>
                <w:b/>
                <w:color w:val="FF0000"/>
                <w:spacing w:val="-4"/>
                <w:sz w:val="24"/>
                <w:szCs w:val="24"/>
              </w:rPr>
            </w:pPr>
          </w:p>
          <w:p>
            <w:pPr>
              <w:pStyle w:val="53"/>
              <w:keepNext w:val="0"/>
              <w:keepLines w:val="0"/>
              <w:suppressLineNumbers w:val="0"/>
              <w:spacing w:before="0" w:beforeAutospacing="0" w:after="0" w:afterAutospacing="0" w:line="440" w:lineRule="exact"/>
              <w:ind w:left="0" w:leftChars="0" w:right="0" w:firstLine="0" w:firstLineChars="0"/>
              <w:rPr>
                <w:rFonts w:hint="eastAsia" w:hAnsi="宋体" w:eastAsia="宋体"/>
                <w:b/>
                <w:color w:val="FF0000"/>
                <w:spacing w:val="-4"/>
                <w:sz w:val="24"/>
                <w:szCs w:val="24"/>
                <w:lang w:eastAsia="zh-CN"/>
              </w:rPr>
            </w:pPr>
          </w:p>
          <w:p>
            <w:pPr>
              <w:keepNext w:val="0"/>
              <w:keepLines w:val="0"/>
              <w:suppressLineNumbers w:val="0"/>
              <w:spacing w:before="0" w:beforeAutospacing="0" w:after="0" w:afterAutospacing="0"/>
              <w:ind w:left="0" w:right="0"/>
              <w:jc w:val="center"/>
              <w:rPr>
                <w:rFonts w:hint="eastAsia" w:hAnsi="黑体" w:eastAsia="黑体"/>
                <w:sz w:val="24"/>
              </w:rPr>
            </w:pPr>
            <w:r>
              <w:rPr>
                <w:rFonts w:hint="eastAsia" w:hAnsi="宋体"/>
                <w:szCs w:val="21"/>
              </w:rPr>
              <w:drawing>
                <wp:inline distT="0" distB="0" distL="114300" distR="114300">
                  <wp:extent cx="5086350" cy="6496050"/>
                  <wp:effectExtent l="0" t="0" r="0" b="0"/>
                  <wp:docPr id="6" name="图片 6" descr="167636579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6365798093"/>
                          <pic:cNvPicPr>
                            <a:picLocks noChangeAspect="1"/>
                          </pic:cNvPicPr>
                        </pic:nvPicPr>
                        <pic:blipFill>
                          <a:blip r:embed="rId15"/>
                          <a:stretch>
                            <a:fillRect/>
                          </a:stretch>
                        </pic:blipFill>
                        <pic:spPr>
                          <a:xfrm>
                            <a:off x="0" y="0"/>
                            <a:ext cx="5086350" cy="6496050"/>
                          </a:xfrm>
                          <a:prstGeom prst="rect">
                            <a:avLst/>
                          </a:prstGeom>
                        </pic:spPr>
                      </pic:pic>
                    </a:graphicData>
                  </a:graphic>
                </wp:inline>
              </w:drawing>
            </w:r>
            <w:r>
              <w:rPr>
                <w:rFonts w:hint="eastAsia" w:hAnsi="宋体"/>
                <w:szCs w:val="21"/>
              </w:rPr>
              <w:t xml:space="preserve"> </w:t>
            </w:r>
          </w:p>
          <w:p>
            <w:pPr>
              <w:keepNext w:val="0"/>
              <w:keepLines w:val="0"/>
              <w:suppressLineNumbers w:val="0"/>
              <w:spacing w:before="0" w:beforeAutospacing="0" w:after="0" w:afterAutospacing="0"/>
              <w:ind w:left="0" w:right="0"/>
              <w:jc w:val="center"/>
              <w:rPr>
                <w:rFonts w:hint="eastAsia" w:hAnsi="黑体" w:eastAsia="黑体"/>
                <w:sz w:val="24"/>
              </w:rPr>
            </w:pPr>
            <w:r>
              <w:rPr>
                <w:rFonts w:hint="default" w:ascii="宋体" w:hAnsi="宋体"/>
                <w:b/>
                <w:szCs w:val="21"/>
              </w:rPr>
              <w:t>图</w:t>
            </w:r>
            <w:r>
              <w:rPr>
                <w:rFonts w:hint="eastAsia" w:ascii="宋体" w:hAnsi="宋体"/>
                <w:b/>
                <w:szCs w:val="21"/>
                <w:lang w:val="en-US" w:eastAsia="zh-CN"/>
              </w:rPr>
              <w:t>2</w:t>
            </w:r>
            <w:r>
              <w:rPr>
                <w:rFonts w:hint="default" w:ascii="宋体" w:hAnsi="宋体"/>
                <w:b/>
                <w:szCs w:val="21"/>
              </w:rPr>
              <w:t xml:space="preserve">  </w:t>
            </w:r>
            <w:r>
              <w:rPr>
                <w:rFonts w:hint="eastAsia" w:ascii="宋体" w:hAnsi="宋体"/>
                <w:b/>
                <w:color w:val="000000"/>
                <w:spacing w:val="-4"/>
                <w:szCs w:val="21"/>
              </w:rPr>
              <w:t>本项目</w:t>
            </w:r>
            <w:r>
              <w:rPr>
                <w:rFonts w:hint="default" w:ascii="宋体" w:hAnsi="宋体"/>
                <w:b/>
                <w:szCs w:val="21"/>
              </w:rPr>
              <w:t>生产工艺流程及产污环节图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left"/>
              <w:textAlignment w:val="auto"/>
              <w:rPr>
                <w:rFonts w:hint="default"/>
                <w:b/>
                <w:sz w:val="24"/>
              </w:rPr>
            </w:pPr>
            <w:r>
              <w:rPr>
                <w:rFonts w:hint="default" w:hAnsi="宋体"/>
                <w:b/>
                <w:sz w:val="24"/>
              </w:rPr>
              <w:t>工艺流程说明：</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atLeast"/>
              <w:ind w:left="0" w:right="0" w:rightChars="0" w:firstLine="480" w:firstLineChars="200"/>
              <w:jc w:val="both"/>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1、投料：</w:t>
            </w:r>
            <w:r>
              <w:rPr>
                <w:rFonts w:hint="eastAsia"/>
                <w:b w:val="0"/>
                <w:bCs/>
                <w:color w:val="auto"/>
                <w:sz w:val="24"/>
                <w:szCs w:val="24"/>
                <w:u w:val="none"/>
                <w:lang w:eastAsia="zh-CN"/>
              </w:rPr>
              <w:t>外购的</w:t>
            </w:r>
            <w:r>
              <w:rPr>
                <w:rFonts w:hint="eastAsia"/>
                <w:b w:val="0"/>
                <w:bCs/>
                <w:color w:val="auto"/>
                <w:sz w:val="24"/>
                <w:szCs w:val="24"/>
                <w:u w:val="none"/>
              </w:rPr>
              <w:t>原料</w:t>
            </w:r>
            <w:r>
              <w:rPr>
                <w:rFonts w:hint="eastAsia"/>
                <w:b w:val="0"/>
                <w:bCs/>
                <w:color w:val="auto"/>
                <w:sz w:val="24"/>
                <w:szCs w:val="24"/>
                <w:u w:val="none"/>
                <w:lang w:eastAsia="zh-CN"/>
              </w:rPr>
              <w:t>堆放在原料储存区，在原料储存区域内按</w:t>
            </w:r>
            <w:r>
              <w:rPr>
                <w:rFonts w:hint="eastAsia"/>
                <w:b w:val="0"/>
                <w:bCs/>
                <w:color w:val="auto"/>
                <w:sz w:val="24"/>
                <w:szCs w:val="24"/>
                <w:u w:val="none"/>
              </w:rPr>
              <w:t>工艺配比要求</w:t>
            </w:r>
            <w:r>
              <w:rPr>
                <w:rFonts w:hint="eastAsia"/>
                <w:b w:val="0"/>
                <w:bCs/>
                <w:color w:val="auto"/>
                <w:sz w:val="24"/>
                <w:szCs w:val="24"/>
                <w:u w:val="none"/>
                <w:lang w:eastAsia="zh-CN"/>
              </w:rPr>
              <w:t>通过人工</w:t>
            </w:r>
            <w:r>
              <w:rPr>
                <w:rFonts w:hint="eastAsia"/>
                <w:b w:val="0"/>
                <w:bCs/>
                <w:color w:val="auto"/>
                <w:sz w:val="24"/>
                <w:szCs w:val="24"/>
                <w:u w:val="none"/>
              </w:rPr>
              <w:t>对原料进行称量，将称量好的</w:t>
            </w:r>
            <w:r>
              <w:rPr>
                <w:rFonts w:hint="eastAsia"/>
                <w:b w:val="0"/>
                <w:bCs/>
                <w:color w:val="auto"/>
                <w:sz w:val="24"/>
                <w:szCs w:val="24"/>
                <w:u w:val="none"/>
                <w:lang w:eastAsia="zh-CN"/>
              </w:rPr>
              <w:t>石蜡、</w:t>
            </w:r>
            <w:r>
              <w:rPr>
                <w:rFonts w:hint="eastAsia"/>
                <w:b w:val="0"/>
                <w:bCs/>
                <w:color w:val="auto"/>
                <w:sz w:val="24"/>
                <w:szCs w:val="24"/>
                <w:u w:val="none"/>
                <w:lang w:val="en-US" w:eastAsia="zh-CN"/>
              </w:rPr>
              <w:t>PE蜡</w:t>
            </w:r>
            <w:r>
              <w:rPr>
                <w:rFonts w:hint="eastAsia"/>
                <w:b w:val="0"/>
                <w:bCs/>
                <w:color w:val="auto"/>
                <w:sz w:val="24"/>
                <w:szCs w:val="24"/>
                <w:u w:val="none"/>
              </w:rPr>
              <w:t>通过</w:t>
            </w:r>
            <w:r>
              <w:rPr>
                <w:rFonts w:hint="eastAsia"/>
                <w:b w:val="0"/>
                <w:bCs/>
                <w:color w:val="auto"/>
                <w:sz w:val="24"/>
                <w:szCs w:val="24"/>
                <w:u w:val="none"/>
                <w:lang w:eastAsia="zh-CN"/>
              </w:rPr>
              <w:t>升降货梯输送至工作平台，</w:t>
            </w:r>
            <w:r>
              <w:rPr>
                <w:rFonts w:hint="eastAsia"/>
                <w:b w:val="0"/>
                <w:bCs/>
                <w:color w:val="auto"/>
                <w:sz w:val="24"/>
                <w:szCs w:val="24"/>
                <w:u w:val="none"/>
                <w:lang w:val="en-US" w:eastAsia="zh-CN"/>
              </w:rPr>
              <w:t>人工将配置好物料投入电加热搅拌罐内。该工序主要产生原料废包装物。</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atLeast"/>
              <w:ind w:left="0" w:right="0" w:rightChars="0" w:firstLine="480" w:firstLineChars="200"/>
              <w:jc w:val="both"/>
              <w:textAlignment w:val="auto"/>
              <w:outlineLvl w:val="9"/>
              <w:rPr>
                <w:rFonts w:hint="eastAsia"/>
                <w:b w:val="0"/>
                <w:bCs/>
                <w:color w:val="auto"/>
                <w:sz w:val="24"/>
                <w:szCs w:val="24"/>
                <w:u w:val="none"/>
                <w:lang w:val="en-US" w:eastAsia="zh-CN"/>
              </w:rPr>
            </w:pPr>
            <w:r>
              <w:rPr>
                <w:rFonts w:hint="eastAsia"/>
                <w:b w:val="0"/>
                <w:bCs/>
                <w:color w:val="auto"/>
                <w:sz w:val="24"/>
                <w:szCs w:val="24"/>
                <w:u w:val="none"/>
                <w:lang w:val="en-US" w:eastAsia="zh-CN"/>
              </w:rPr>
              <w:t>2、</w:t>
            </w:r>
            <w:r>
              <w:rPr>
                <w:rFonts w:hint="eastAsia"/>
                <w:b w:val="0"/>
                <w:bCs/>
                <w:color w:val="auto"/>
                <w:sz w:val="24"/>
                <w:szCs w:val="24"/>
                <w:u w:val="none"/>
                <w:lang w:eastAsia="zh-CN"/>
              </w:rPr>
              <w:t>加热</w:t>
            </w:r>
            <w:r>
              <w:rPr>
                <w:rFonts w:hint="eastAsia"/>
                <w:b w:val="0"/>
                <w:bCs/>
                <w:color w:val="auto"/>
                <w:sz w:val="24"/>
                <w:szCs w:val="24"/>
                <w:u w:val="none"/>
              </w:rPr>
              <w:t>搅拌</w:t>
            </w:r>
            <w:r>
              <w:rPr>
                <w:rFonts w:hint="eastAsia"/>
                <w:b w:val="0"/>
                <w:bCs/>
                <w:color w:val="auto"/>
                <w:sz w:val="24"/>
                <w:szCs w:val="24"/>
                <w:u w:val="none"/>
                <w:lang w:eastAsia="zh-CN"/>
              </w:rPr>
              <w:t>：</w:t>
            </w:r>
            <w:r>
              <w:rPr>
                <w:rFonts w:hint="eastAsia"/>
                <w:b w:val="0"/>
                <w:bCs/>
                <w:color w:val="auto"/>
                <w:sz w:val="24"/>
                <w:szCs w:val="24"/>
                <w:u w:val="none"/>
                <w:lang w:val="en-US" w:eastAsia="zh-CN"/>
              </w:rPr>
              <w:t>通过电加热搅拌罐搅拌，使得</w:t>
            </w:r>
            <w:r>
              <w:rPr>
                <w:rFonts w:hint="eastAsia"/>
                <w:b w:val="0"/>
                <w:bCs/>
                <w:color w:val="auto"/>
                <w:sz w:val="24"/>
                <w:szCs w:val="24"/>
                <w:u w:val="none"/>
                <w:lang w:eastAsia="zh-CN"/>
              </w:rPr>
              <w:t>石蜡和</w:t>
            </w:r>
            <w:r>
              <w:rPr>
                <w:rFonts w:hint="eastAsia"/>
                <w:b w:val="0"/>
                <w:bCs/>
                <w:color w:val="auto"/>
                <w:sz w:val="24"/>
                <w:szCs w:val="24"/>
                <w:u w:val="none"/>
                <w:lang w:val="en-US" w:eastAsia="zh-CN"/>
              </w:rPr>
              <w:t>PE蜡完全熔化，之后通过人工依次加入配比好的EVA树脂、</w:t>
            </w:r>
            <w:r>
              <w:rPr>
                <w:rFonts w:hint="eastAsia" w:ascii="Times New Roman" w:hAnsi="Times New Roman" w:cs="Times New Roman"/>
                <w:b w:val="0"/>
                <w:bCs/>
                <w:color w:val="auto"/>
                <w:kern w:val="2"/>
                <w:sz w:val="24"/>
                <w:szCs w:val="24"/>
                <w:u w:val="none"/>
                <w:lang w:val="en-US" w:eastAsia="zh-CN"/>
              </w:rPr>
              <w:t>138#松香甘油树脂</w:t>
            </w:r>
            <w:r>
              <w:rPr>
                <w:rFonts w:hint="eastAsia"/>
                <w:b w:val="0"/>
                <w:bCs/>
                <w:color w:val="auto"/>
                <w:sz w:val="24"/>
                <w:szCs w:val="24"/>
                <w:u w:val="none"/>
                <w:lang w:val="en-US" w:eastAsia="zh-CN"/>
              </w:rPr>
              <w:t>、</w:t>
            </w:r>
            <w:r>
              <w:rPr>
                <w:rFonts w:hint="eastAsia" w:ascii="Times New Roman" w:hAnsi="Times New Roman" w:cs="Times New Roman"/>
                <w:b w:val="0"/>
                <w:bCs/>
                <w:color w:val="auto"/>
                <w:kern w:val="2"/>
                <w:sz w:val="24"/>
                <w:szCs w:val="24"/>
                <w:u w:val="none"/>
                <w:lang w:val="en-US" w:eastAsia="zh-CN"/>
              </w:rPr>
              <w:t>加氢石油树脂</w:t>
            </w:r>
            <w:r>
              <w:rPr>
                <w:rFonts w:hint="eastAsia"/>
                <w:b w:val="0"/>
                <w:bCs/>
                <w:color w:val="auto"/>
                <w:sz w:val="24"/>
                <w:szCs w:val="24"/>
                <w:u w:val="none"/>
                <w:lang w:val="en-US" w:eastAsia="zh-CN"/>
              </w:rPr>
              <w:t>，继续进行加热搅拌，电加热搅拌罐温度在180</w:t>
            </w:r>
            <w:r>
              <w:rPr>
                <w:rFonts w:hint="default" w:ascii="Times New Roman" w:hAnsi="Times New Roman" w:cs="Times New Roman"/>
                <w:b w:val="0"/>
                <w:bCs/>
                <w:color w:val="auto"/>
                <w:sz w:val="24"/>
                <w:szCs w:val="24"/>
                <w:u w:val="none"/>
                <w:lang w:val="en-US" w:eastAsia="zh-CN"/>
              </w:rPr>
              <w:t>℃</w:t>
            </w:r>
            <w:r>
              <w:rPr>
                <w:rFonts w:hint="eastAsia"/>
                <w:b w:val="0"/>
                <w:bCs/>
                <w:color w:val="auto"/>
                <w:sz w:val="24"/>
                <w:szCs w:val="24"/>
                <w:u w:val="none"/>
                <w:lang w:val="en-US" w:eastAsia="zh-CN"/>
              </w:rPr>
              <w:t>左右，搅拌4个小时，使得所有原料完全熔融混合，得到EVA热熔胶液体，之后通过电加热搅拌罐下方的密闭放料管自流储料罐内。该生产工序主要产生有机废气和噪声。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3、加热搅拌后物料通过两条工序进行分别生产，其中一部分物料进入挤出机，另外一部分物料进入到拉条机。</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2" w:firstLineChars="200"/>
              <w:jc w:val="left"/>
              <w:textAlignment w:val="auto"/>
              <w:outlineLvl w:val="9"/>
              <w:rPr>
                <w:rFonts w:hint="default"/>
                <w:b/>
                <w:bCs w:val="0"/>
                <w:color w:val="auto"/>
                <w:sz w:val="24"/>
                <w:szCs w:val="24"/>
                <w:u w:val="none"/>
                <w:lang w:val="en-US" w:eastAsia="zh-CN"/>
              </w:rPr>
            </w:pPr>
            <w:r>
              <w:rPr>
                <w:rFonts w:hint="eastAsia"/>
                <w:b/>
                <w:bCs w:val="0"/>
                <w:color w:val="auto"/>
                <w:sz w:val="24"/>
                <w:szCs w:val="24"/>
                <w:u w:val="none"/>
                <w:lang w:val="en-US" w:eastAsia="zh-CN"/>
              </w:rPr>
              <w:t>进入挤出机后物料生产工艺：</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left"/>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（1）挤出成形：挤出机利用压缩空气将物料缓慢的经储料罐出口处分条挤出，成为条状、具有一定粘性的液体。该生产工序主要产生有机废气和噪声。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left"/>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（2）冷却：挤出后具有一定粘性的液态物料通过冷水机进行冷却。在输送过程通过喷淋水使其快速冷却为固体，喷淋水经循环水池收集后循环使用，不外排，只需补充自然损耗。</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left"/>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（3）切粒：经冷却后形成固态条状物料，通过切粒机切割为0.5cm的粒状物料。该生产工序主要产生噪声。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left"/>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（4）脱水：采用脱水机对物料附着的水分进行脱水干燥处理。该生产工序主要产生噪声。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2" w:firstLineChars="200"/>
              <w:jc w:val="left"/>
              <w:textAlignment w:val="auto"/>
              <w:outlineLvl w:val="9"/>
              <w:rPr>
                <w:rFonts w:hint="default"/>
                <w:b/>
                <w:bCs w:val="0"/>
                <w:color w:val="auto"/>
                <w:sz w:val="24"/>
                <w:szCs w:val="24"/>
                <w:u w:val="none"/>
                <w:lang w:val="en-US" w:eastAsia="zh-CN"/>
              </w:rPr>
            </w:pPr>
            <w:r>
              <w:rPr>
                <w:rFonts w:hint="eastAsia"/>
                <w:b/>
                <w:bCs w:val="0"/>
                <w:color w:val="auto"/>
                <w:sz w:val="24"/>
                <w:szCs w:val="24"/>
                <w:u w:val="none"/>
                <w:lang w:val="en-US" w:eastAsia="zh-CN"/>
              </w:rPr>
              <w:t>进入拉条机生产工艺：</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（1）拉条成形：储料罐内的EVA热熔胶液体经密闭管道输送至设备进行拉条成形，拉条机自带冷却干燥装置，产出物料为固态条状物料。该生产工序主要产生有机废气和噪声。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left"/>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（2）切粒：经冷却后形成固态条状物料，通过切粒机切割为1.5cm粒状物料。该生产工序主要产生噪声。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3、筛分：以上工序所产生的物料为半成品，通过振动筛进行筛分，筛上物大颗粒物料为合格产品，输送至送料桶等待包装，筛下物小颗粒不合格产品收集后作为原料进行回用处理。该生产工序主要产生噪声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rightChars="0" w:firstLine="480" w:firstLineChars="200"/>
              <w:jc w:val="both"/>
              <w:textAlignment w:val="auto"/>
              <w:outlineLvl w:val="9"/>
              <w:rPr>
                <w:rFonts w:hint="default"/>
                <w:b w:val="0"/>
                <w:bCs/>
                <w:color w:val="auto"/>
                <w:sz w:val="24"/>
                <w:szCs w:val="24"/>
                <w:u w:val="none"/>
                <w:lang w:val="en-US" w:eastAsia="zh-CN"/>
              </w:rPr>
            </w:pPr>
            <w:r>
              <w:rPr>
                <w:rFonts w:hint="eastAsia"/>
                <w:b w:val="0"/>
                <w:bCs/>
                <w:color w:val="auto"/>
                <w:sz w:val="24"/>
                <w:szCs w:val="24"/>
                <w:u w:val="none"/>
                <w:lang w:val="en-US" w:eastAsia="zh-CN"/>
              </w:rPr>
              <w:t>4、包装：送料桶内产品通过包装机进行包装，放置成品区等待出售。</w:t>
            </w:r>
          </w:p>
          <w:p>
            <w:pPr>
              <w:keepNext w:val="0"/>
              <w:keepLines w:val="0"/>
              <w:suppressLineNumbers w:val="0"/>
              <w:spacing w:before="0" w:beforeAutospacing="0" w:after="0" w:afterAutospacing="0" w:line="440" w:lineRule="exact"/>
              <w:ind w:left="0" w:right="0" w:firstLine="482" w:firstLineChars="200"/>
              <w:rPr>
                <w:rFonts w:hint="default" w:ascii="宋体" w:hAnsi="宋体"/>
                <w:b/>
                <w:bCs/>
                <w:color w:val="000000"/>
                <w:sz w:val="24"/>
              </w:rPr>
            </w:pPr>
            <w:r>
              <w:rPr>
                <w:rFonts w:hint="eastAsia" w:ascii="宋体" w:hAnsi="宋体"/>
                <w:b/>
                <w:bCs/>
                <w:color w:val="000000"/>
                <w:sz w:val="24"/>
              </w:rPr>
              <w:t>主要污染工序：</w:t>
            </w:r>
          </w:p>
          <w:p>
            <w:pPr>
              <w:keepNext w:val="0"/>
              <w:keepLines w:val="0"/>
              <w:suppressLineNumbers w:val="0"/>
              <w:spacing w:before="0" w:beforeAutospacing="0" w:after="0" w:afterAutospacing="0" w:line="440" w:lineRule="exact"/>
              <w:ind w:left="0" w:right="0" w:firstLine="480" w:firstLineChars="200"/>
              <w:rPr>
                <w:rFonts w:hint="default" w:ascii="宋体" w:hAnsi="宋体"/>
                <w:color w:val="000000"/>
                <w:sz w:val="24"/>
              </w:rPr>
            </w:pPr>
            <w:r>
              <w:rPr>
                <w:rFonts w:hint="eastAsia"/>
                <w:color w:val="000000"/>
                <w:sz w:val="24"/>
              </w:rPr>
              <w:t>通过工艺流程分析，该项目</w:t>
            </w:r>
            <w:r>
              <w:rPr>
                <w:rFonts w:hint="default"/>
                <w:color w:val="000000"/>
                <w:sz w:val="24"/>
              </w:rPr>
              <w:t>营运期主要产污环节见</w:t>
            </w:r>
            <w:r>
              <w:rPr>
                <w:rFonts w:hint="eastAsia"/>
                <w:color w:val="000000"/>
                <w:sz w:val="24"/>
              </w:rPr>
              <w:t>下表</w:t>
            </w:r>
            <w:r>
              <w:rPr>
                <w:rFonts w:hint="eastAsia" w:ascii="宋体" w:hAnsi="宋体"/>
                <w:color w:val="000000"/>
                <w:sz w:val="24"/>
              </w:rPr>
              <w:t>。</w:t>
            </w:r>
          </w:p>
          <w:p>
            <w:pPr>
              <w:keepNext w:val="0"/>
              <w:keepLines w:val="0"/>
              <w:suppressLineNumbers w:val="0"/>
              <w:spacing w:before="0" w:beforeAutospacing="0" w:after="0" w:afterAutospacing="0" w:line="440" w:lineRule="exact"/>
              <w:ind w:left="0" w:right="0"/>
              <w:jc w:val="center"/>
              <w:rPr>
                <w:rFonts w:hint="default" w:ascii="宋体" w:hAnsi="宋体"/>
                <w:b/>
                <w:color w:val="000000"/>
                <w:sz w:val="24"/>
              </w:rPr>
            </w:pPr>
            <w:r>
              <w:rPr>
                <w:rFonts w:hint="eastAsia" w:ascii="宋体" w:hAnsi="宋体"/>
                <w:b/>
                <w:color w:val="000000"/>
                <w:sz w:val="24"/>
              </w:rPr>
              <w:t>表</w:t>
            </w:r>
            <w:r>
              <w:rPr>
                <w:rFonts w:hint="eastAsia" w:ascii="宋体" w:hAnsi="宋体"/>
                <w:b/>
                <w:color w:val="000000"/>
                <w:sz w:val="24"/>
                <w:lang w:val="en-US" w:eastAsia="zh-CN"/>
              </w:rPr>
              <w:t xml:space="preserve">16  </w:t>
            </w:r>
            <w:r>
              <w:rPr>
                <w:rFonts w:hint="eastAsia" w:ascii="宋体" w:hAnsi="宋体"/>
                <w:b/>
                <w:color w:val="000000"/>
                <w:sz w:val="24"/>
              </w:rPr>
              <w:t>项目产污环节一览表</w:t>
            </w:r>
          </w:p>
          <w:tbl>
            <w:tblPr>
              <w:tblStyle w:val="22"/>
              <w:tblW w:w="5000" w:type="pct"/>
              <w:jc w:val="center"/>
              <w:tblLayout w:type="fixed"/>
              <w:tblCellMar>
                <w:top w:w="0" w:type="dxa"/>
                <w:left w:w="108" w:type="dxa"/>
                <w:bottom w:w="0" w:type="dxa"/>
                <w:right w:w="108" w:type="dxa"/>
              </w:tblCellMar>
            </w:tblPr>
            <w:tblGrid>
              <w:gridCol w:w="752"/>
              <w:gridCol w:w="1650"/>
              <w:gridCol w:w="1740"/>
              <w:gridCol w:w="4663"/>
            </w:tblGrid>
            <w:tr>
              <w:tblPrEx>
                <w:tblCellMar>
                  <w:top w:w="0" w:type="dxa"/>
                  <w:left w:w="108" w:type="dxa"/>
                  <w:bottom w:w="0" w:type="dxa"/>
                  <w:right w:w="108" w:type="dxa"/>
                </w:tblCellMar>
              </w:tblPrEx>
              <w:trPr>
                <w:trHeight w:val="397" w:hRule="atLeast"/>
                <w:jc w:val="center"/>
              </w:trPr>
              <w:tc>
                <w:tcPr>
                  <w:tcW w:w="752" w:type="dxa"/>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污染因素</w:t>
                  </w:r>
                </w:p>
              </w:tc>
              <w:tc>
                <w:tcPr>
                  <w:tcW w:w="16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产污环节</w:t>
                  </w:r>
                </w:p>
              </w:tc>
              <w:tc>
                <w:tcPr>
                  <w:tcW w:w="174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污染物</w:t>
                  </w:r>
                </w:p>
              </w:tc>
              <w:tc>
                <w:tcPr>
                  <w:tcW w:w="4663" w:type="dxa"/>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污染防治措施</w:t>
                  </w:r>
                </w:p>
              </w:tc>
            </w:tr>
            <w:tr>
              <w:tblPrEx>
                <w:tblCellMar>
                  <w:top w:w="0" w:type="dxa"/>
                  <w:left w:w="108" w:type="dxa"/>
                  <w:bottom w:w="0" w:type="dxa"/>
                  <w:right w:w="108" w:type="dxa"/>
                </w:tblCellMar>
              </w:tblPrEx>
              <w:trPr>
                <w:trHeight w:val="397" w:hRule="atLeast"/>
                <w:jc w:val="center"/>
              </w:trPr>
              <w:tc>
                <w:tcPr>
                  <w:tcW w:w="752" w:type="dxa"/>
                  <w:tcBorders>
                    <w:top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1"/>
                      <w:szCs w:val="21"/>
                    </w:rPr>
                  </w:pPr>
                  <w:r>
                    <w:rPr>
                      <w:rFonts w:hint="eastAsia" w:ascii="宋体" w:hAnsi="宋体"/>
                      <w:color w:val="auto"/>
                      <w:sz w:val="21"/>
                      <w:szCs w:val="21"/>
                    </w:rPr>
                    <w:t>废气</w:t>
                  </w:r>
                </w:p>
              </w:tc>
              <w:tc>
                <w:tcPr>
                  <w:tcW w:w="1650" w:type="dxa"/>
                  <w:tcBorders>
                    <w:top w:val="single" w:color="auto" w:sz="8"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left"/>
                    <w:textAlignment w:val="auto"/>
                    <w:outlineLvl w:val="9"/>
                    <w:rPr>
                      <w:rFonts w:hint="default" w:ascii="宋体" w:hAnsi="宋体" w:eastAsia="宋体"/>
                      <w:color w:val="auto"/>
                      <w:sz w:val="21"/>
                      <w:szCs w:val="21"/>
                      <w:lang w:val="en-US" w:eastAsia="zh-CN"/>
                    </w:rPr>
                  </w:pPr>
                  <w:r>
                    <w:rPr>
                      <w:rFonts w:hint="default" w:ascii="Times New Roman" w:hAnsi="Times New Roman" w:cs="Times New Roman" w:eastAsiaTheme="majorEastAsia"/>
                      <w:b w:val="0"/>
                      <w:bCs w:val="0"/>
                      <w:color w:val="auto"/>
                      <w:sz w:val="21"/>
                      <w:szCs w:val="21"/>
                      <w:u w:val="none"/>
                      <w:lang w:eastAsia="zh-CN"/>
                    </w:rPr>
                    <w:t>加热搅拌</w:t>
                  </w:r>
                  <w:r>
                    <w:rPr>
                      <w:rFonts w:hint="eastAsia" w:cs="Times New Roman" w:eastAsiaTheme="majorEastAsia"/>
                      <w:b w:val="0"/>
                      <w:bCs w:val="0"/>
                      <w:color w:val="auto"/>
                      <w:sz w:val="21"/>
                      <w:szCs w:val="21"/>
                      <w:u w:val="none"/>
                      <w:lang w:eastAsia="zh-CN"/>
                    </w:rPr>
                    <w:t>、</w:t>
                  </w:r>
                  <w:r>
                    <w:rPr>
                      <w:rFonts w:hint="default" w:ascii="Times New Roman" w:hAnsi="Times New Roman" w:cs="Times New Roman" w:eastAsiaTheme="majorEastAsia"/>
                      <w:b w:val="0"/>
                      <w:bCs w:val="0"/>
                      <w:color w:val="auto"/>
                      <w:sz w:val="21"/>
                      <w:szCs w:val="21"/>
                      <w:u w:val="none"/>
                      <w:lang w:eastAsia="zh-CN"/>
                    </w:rPr>
                    <w:t>挤出</w:t>
                  </w:r>
                  <w:r>
                    <w:rPr>
                      <w:rFonts w:hint="eastAsia" w:cs="Times New Roman" w:eastAsiaTheme="majorEastAsia"/>
                      <w:b w:val="0"/>
                      <w:bCs w:val="0"/>
                      <w:color w:val="auto"/>
                      <w:sz w:val="21"/>
                      <w:szCs w:val="21"/>
                      <w:u w:val="none"/>
                      <w:lang w:val="en-US" w:eastAsia="zh-CN"/>
                    </w:rPr>
                    <w:t>成形</w:t>
                  </w:r>
                  <w:r>
                    <w:rPr>
                      <w:rFonts w:hint="eastAsia" w:cs="Times New Roman" w:eastAsiaTheme="majorEastAsia"/>
                      <w:b w:val="0"/>
                      <w:bCs w:val="0"/>
                      <w:color w:val="auto"/>
                      <w:sz w:val="21"/>
                      <w:szCs w:val="21"/>
                      <w:u w:val="none"/>
                      <w:lang w:eastAsia="zh-CN"/>
                    </w:rPr>
                    <w:t>、</w:t>
                  </w:r>
                  <w:r>
                    <w:rPr>
                      <w:rFonts w:hint="eastAsia" w:cs="Times New Roman" w:eastAsiaTheme="majorEastAsia"/>
                      <w:b w:val="0"/>
                      <w:bCs w:val="0"/>
                      <w:color w:val="auto"/>
                      <w:sz w:val="21"/>
                      <w:szCs w:val="21"/>
                      <w:u w:val="none"/>
                      <w:lang w:val="en-US" w:eastAsia="zh-CN"/>
                    </w:rPr>
                    <w:t>拉条成形</w:t>
                  </w:r>
                </w:p>
              </w:tc>
              <w:tc>
                <w:tcPr>
                  <w:tcW w:w="1740" w:type="dxa"/>
                  <w:tcBorders>
                    <w:top w:val="single" w:color="auto" w:sz="8"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有机废气</w:t>
                  </w:r>
                </w:p>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（非甲烷总烃）</w:t>
                  </w:r>
                </w:p>
              </w:tc>
              <w:tc>
                <w:tcPr>
                  <w:tcW w:w="4663" w:type="dxa"/>
                  <w:tcBorders>
                    <w:top w:val="single" w:color="auto" w:sz="8" w:space="0"/>
                    <w:left w:val="single" w:color="auto" w:sz="4" w:space="0"/>
                  </w:tcBorders>
                  <w:noWrap w:val="0"/>
                  <w:vAlign w:val="center"/>
                </w:tcPr>
                <w:p>
                  <w:pPr>
                    <w:keepNext w:val="0"/>
                    <w:keepLines w:val="0"/>
                    <w:suppressLineNumbers w:val="0"/>
                    <w:snapToGrid w:val="0"/>
                    <w:spacing w:before="0" w:beforeAutospacing="0" w:after="0" w:afterAutospacing="0"/>
                    <w:ind w:left="0" w:right="0"/>
                    <w:jc w:val="left"/>
                    <w:rPr>
                      <w:rFonts w:hint="eastAsia" w:eastAsia="宋体"/>
                      <w:color w:val="auto"/>
                      <w:sz w:val="21"/>
                      <w:szCs w:val="21"/>
                      <w:lang w:eastAsia="zh-CN"/>
                    </w:rPr>
                  </w:pPr>
                  <w:r>
                    <w:rPr>
                      <w:rFonts w:hint="eastAsia" w:hAnsi="宋体"/>
                      <w:bCs/>
                      <w:color w:val="auto"/>
                      <w:sz w:val="21"/>
                      <w:szCs w:val="21"/>
                      <w:lang w:val="en-US" w:eastAsia="zh-CN"/>
                    </w:rPr>
                    <w:t>电加热搅拌罐、挤出机、拉条机设备全密闭</w:t>
                  </w:r>
                  <w:r>
                    <w:rPr>
                      <w:rFonts w:hint="eastAsia" w:hAnsi="宋体"/>
                      <w:bCs/>
                      <w:color w:val="auto"/>
                      <w:sz w:val="21"/>
                      <w:szCs w:val="21"/>
                    </w:rPr>
                    <w:t>，物料输送采用全密闭输送机，</w:t>
                  </w:r>
                  <w:r>
                    <w:rPr>
                      <w:rFonts w:hint="eastAsia" w:cs="Times New Roman"/>
                      <w:color w:val="auto"/>
                      <w:sz w:val="21"/>
                      <w:szCs w:val="21"/>
                      <w:lang w:val="en-US" w:eastAsia="zh-CN"/>
                    </w:rPr>
                    <w:t>有机废气通过密闭负压管道收集后经</w:t>
                  </w:r>
                  <w:r>
                    <w:rPr>
                      <w:rFonts w:hint="eastAsia" w:ascii="Times New Roman" w:hAnsi="Times New Roman" w:eastAsia="宋体" w:cs="Times New Roman"/>
                      <w:b w:val="0"/>
                      <w:bCs w:val="0"/>
                      <w:color w:val="auto"/>
                      <w:kern w:val="2"/>
                      <w:sz w:val="21"/>
                      <w:szCs w:val="21"/>
                      <w:lang w:val="en-US" w:eastAsia="zh-CN" w:bidi="ar-SA"/>
                    </w:rPr>
                    <w:t>活性炭吸附脱附</w:t>
                  </w:r>
                  <w:r>
                    <w:rPr>
                      <w:rFonts w:hint="eastAsia"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催化燃烧装置处理</w:t>
                  </w:r>
                  <w:r>
                    <w:rPr>
                      <w:rFonts w:hint="eastAsia" w:cs="Times New Roman"/>
                      <w:color w:val="auto"/>
                      <w:sz w:val="21"/>
                      <w:szCs w:val="21"/>
                      <w:lang w:val="en-US" w:eastAsia="zh-CN"/>
                    </w:rPr>
                    <w:t>+</w:t>
                  </w:r>
                  <w:r>
                    <w:rPr>
                      <w:rFonts w:hint="default" w:ascii="Times New Roman" w:hAnsi="Times New Roman" w:cs="Times New Roman"/>
                      <w:color w:val="auto"/>
                      <w:sz w:val="21"/>
                      <w:szCs w:val="21"/>
                    </w:rPr>
                    <w:t>15m高排气筒</w:t>
                  </w:r>
                  <w:r>
                    <w:rPr>
                      <w:rFonts w:hint="eastAsia" w:cs="Times New Roman"/>
                      <w:color w:val="auto"/>
                      <w:sz w:val="21"/>
                      <w:szCs w:val="21"/>
                      <w:lang w:eastAsia="zh-CN"/>
                    </w:rPr>
                    <w:t>（</w:t>
                  </w:r>
                  <w:r>
                    <w:rPr>
                      <w:rFonts w:hint="eastAsia" w:cs="Times New Roman"/>
                      <w:color w:val="auto"/>
                      <w:sz w:val="21"/>
                      <w:szCs w:val="21"/>
                      <w:lang w:val="en-US" w:eastAsia="zh-CN"/>
                    </w:rPr>
                    <w:t>DA001</w:t>
                  </w:r>
                  <w:r>
                    <w:rPr>
                      <w:rFonts w:hint="eastAsia" w:cs="Times New Roman"/>
                      <w:color w:val="auto"/>
                      <w:sz w:val="21"/>
                      <w:szCs w:val="21"/>
                      <w:lang w:eastAsia="zh-CN"/>
                    </w:rPr>
                    <w:t>）</w:t>
                  </w:r>
                  <w:r>
                    <w:rPr>
                      <w:rFonts w:hint="default" w:ascii="Times New Roman" w:hAnsi="Times New Roman" w:cs="Times New Roman"/>
                      <w:color w:val="auto"/>
                      <w:sz w:val="21"/>
                      <w:szCs w:val="21"/>
                    </w:rPr>
                    <w:t>排放</w:t>
                  </w:r>
                  <w:r>
                    <w:rPr>
                      <w:rFonts w:hint="eastAsia" w:cs="Times New Roman"/>
                      <w:color w:val="auto"/>
                      <w:sz w:val="21"/>
                      <w:szCs w:val="21"/>
                      <w:lang w:eastAsia="zh-CN"/>
                    </w:rPr>
                    <w:t>。</w:t>
                  </w:r>
                </w:p>
              </w:tc>
            </w:tr>
            <w:tr>
              <w:tblPrEx>
                <w:tblCellMar>
                  <w:top w:w="0" w:type="dxa"/>
                  <w:left w:w="108" w:type="dxa"/>
                  <w:bottom w:w="0" w:type="dxa"/>
                  <w:right w:w="108" w:type="dxa"/>
                </w:tblCellMar>
              </w:tblPrEx>
              <w:trPr>
                <w:trHeight w:val="397" w:hRule="atLeast"/>
                <w:jc w:val="center"/>
              </w:trPr>
              <w:tc>
                <w:tcPr>
                  <w:tcW w:w="752" w:type="dxa"/>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废水</w:t>
                  </w:r>
                </w:p>
              </w:tc>
              <w:tc>
                <w:tcPr>
                  <w:tcW w:w="1650"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生活污水</w:t>
                  </w:r>
                </w:p>
              </w:tc>
              <w:tc>
                <w:tcPr>
                  <w:tcW w:w="1740" w:type="dxa"/>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COD、SS、NH</w:t>
                  </w:r>
                  <w:r>
                    <w:rPr>
                      <w:rFonts w:hint="default"/>
                      <w:color w:val="auto"/>
                      <w:sz w:val="21"/>
                      <w:szCs w:val="21"/>
                      <w:vertAlign w:val="subscript"/>
                    </w:rPr>
                    <w:t>3</w:t>
                  </w:r>
                  <w:r>
                    <w:rPr>
                      <w:rFonts w:hint="default"/>
                      <w:color w:val="auto"/>
                      <w:sz w:val="21"/>
                      <w:szCs w:val="21"/>
                    </w:rPr>
                    <w:t>-N</w:t>
                  </w:r>
                  <w:r>
                    <w:rPr>
                      <w:rFonts w:hint="eastAsia"/>
                      <w:color w:val="auto"/>
                      <w:sz w:val="21"/>
                      <w:szCs w:val="21"/>
                    </w:rPr>
                    <w:t>、TN、TP</w:t>
                  </w:r>
                </w:p>
              </w:tc>
              <w:tc>
                <w:tcPr>
                  <w:tcW w:w="4663"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color w:val="auto"/>
                      <w:sz w:val="21"/>
                      <w:szCs w:val="21"/>
                    </w:rPr>
                  </w:pPr>
                  <w:r>
                    <w:rPr>
                      <w:rFonts w:hint="eastAsia" w:hAnsi="宋体"/>
                      <w:bCs/>
                      <w:color w:val="auto"/>
                      <w:sz w:val="21"/>
                      <w:szCs w:val="21"/>
                      <w:lang w:val="en-US" w:eastAsia="zh-CN"/>
                    </w:rPr>
                    <w:t>生活污水经化粪池处理后，通过污水管网排入新乡县综合污水处理厂进一步处理。</w:t>
                  </w:r>
                </w:p>
              </w:tc>
            </w:tr>
            <w:tr>
              <w:tblPrEx>
                <w:tblCellMar>
                  <w:top w:w="0" w:type="dxa"/>
                  <w:left w:w="108" w:type="dxa"/>
                  <w:bottom w:w="0" w:type="dxa"/>
                  <w:right w:w="108" w:type="dxa"/>
                </w:tblCellMar>
              </w:tblPrEx>
              <w:trPr>
                <w:trHeight w:val="397" w:hRule="atLeast"/>
                <w:jc w:val="center"/>
              </w:trPr>
              <w:tc>
                <w:tcPr>
                  <w:tcW w:w="752" w:type="dxa"/>
                  <w:vMerge w:val="restart"/>
                  <w:tcBorders>
                    <w:top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1"/>
                      <w:szCs w:val="21"/>
                    </w:rPr>
                  </w:pPr>
                  <w:r>
                    <w:rPr>
                      <w:rFonts w:hint="eastAsia" w:ascii="宋体" w:hAnsi="宋体"/>
                      <w:color w:val="auto"/>
                      <w:sz w:val="21"/>
                      <w:szCs w:val="21"/>
                    </w:rPr>
                    <w:t>固废</w:t>
                  </w: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投料环节</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原辅料废包装物</w:t>
                  </w:r>
                </w:p>
              </w:tc>
              <w:tc>
                <w:tcPr>
                  <w:tcW w:w="4663" w:type="dxa"/>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eastAsia"/>
                      <w:color w:val="auto"/>
                      <w:sz w:val="21"/>
                      <w:szCs w:val="21"/>
                      <w:highlight w:val="yellow"/>
                    </w:rPr>
                  </w:pPr>
                  <w:r>
                    <w:rPr>
                      <w:rFonts w:hint="eastAsia"/>
                      <w:color w:val="auto"/>
                      <w:sz w:val="21"/>
                      <w:szCs w:val="21"/>
                      <w:vertAlign w:val="baseline"/>
                      <w:lang w:val="en-US" w:eastAsia="zh-CN"/>
                    </w:rPr>
                    <w:t>一座</w:t>
                  </w:r>
                  <w:r>
                    <w:rPr>
                      <w:rFonts w:hint="eastAsia"/>
                      <w:color w:val="auto"/>
                      <w:sz w:val="21"/>
                      <w:szCs w:val="21"/>
                      <w:lang w:val="en-US" w:eastAsia="zh-CN"/>
                    </w:rPr>
                    <w:t>20m</w:t>
                  </w:r>
                  <w:r>
                    <w:rPr>
                      <w:rFonts w:hint="eastAsia"/>
                      <w:color w:val="auto"/>
                      <w:sz w:val="21"/>
                      <w:szCs w:val="21"/>
                      <w:vertAlign w:val="superscript"/>
                      <w:lang w:val="en-US" w:eastAsia="zh-CN"/>
                    </w:rPr>
                    <w:t>2</w:t>
                  </w:r>
                  <w:r>
                    <w:rPr>
                      <w:rFonts w:hint="eastAsia"/>
                      <w:color w:val="auto"/>
                      <w:sz w:val="21"/>
                      <w:szCs w:val="21"/>
                      <w:vertAlign w:val="baseline"/>
                      <w:lang w:val="en-US" w:eastAsia="zh-CN"/>
                    </w:rPr>
                    <w:t>一般固废暂存间</w:t>
                  </w:r>
                  <w:r>
                    <w:rPr>
                      <w:rFonts w:hint="eastAsia"/>
                      <w:color w:val="auto"/>
                      <w:sz w:val="21"/>
                      <w:szCs w:val="21"/>
                    </w:rPr>
                    <w:t>，定期</w:t>
                  </w:r>
                  <w:r>
                    <w:rPr>
                      <w:rFonts w:hint="eastAsia"/>
                      <w:color w:val="auto"/>
                      <w:sz w:val="21"/>
                      <w:szCs w:val="21"/>
                      <w:lang w:val="en-US" w:eastAsia="zh-CN"/>
                    </w:rPr>
                    <w:t>出</w:t>
                  </w:r>
                  <w:r>
                    <w:rPr>
                      <w:rFonts w:hint="eastAsia"/>
                      <w:color w:val="auto"/>
                      <w:sz w:val="21"/>
                      <w:szCs w:val="21"/>
                    </w:rPr>
                    <w:t>售</w:t>
                  </w:r>
                </w:p>
              </w:tc>
            </w:tr>
            <w:tr>
              <w:tblPrEx>
                <w:tblCellMar>
                  <w:top w:w="0" w:type="dxa"/>
                  <w:left w:w="108" w:type="dxa"/>
                  <w:bottom w:w="0" w:type="dxa"/>
                  <w:right w:w="108" w:type="dxa"/>
                </w:tblCellMar>
              </w:tblPrEx>
              <w:trPr>
                <w:trHeight w:val="397" w:hRule="atLeast"/>
                <w:jc w:val="center"/>
              </w:trPr>
              <w:tc>
                <w:tcPr>
                  <w:tcW w:w="752" w:type="dxa"/>
                  <w:vMerge w:val="continue"/>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16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eastAsia="宋体"/>
                      <w:color w:val="auto"/>
                      <w:sz w:val="21"/>
                      <w:szCs w:val="21"/>
                      <w:lang w:val="en-US" w:eastAsia="zh-CN"/>
                    </w:rPr>
                    <w:t>加热搅拌</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废导热油</w:t>
                  </w:r>
                </w:p>
              </w:tc>
              <w:tc>
                <w:tcPr>
                  <w:tcW w:w="4663" w:type="dxa"/>
                  <w:vMerge w:val="restart"/>
                  <w:tcBorders>
                    <w:top w:val="single" w:color="auto" w:sz="4" w:space="0"/>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color w:val="auto"/>
                      <w:sz w:val="21"/>
                      <w:szCs w:val="21"/>
                      <w:highlight w:val="yellow"/>
                      <w:lang w:val="en-US"/>
                    </w:rPr>
                  </w:pPr>
                  <w:r>
                    <w:rPr>
                      <w:rFonts w:hint="eastAsia"/>
                      <w:color w:val="auto"/>
                      <w:sz w:val="21"/>
                      <w:szCs w:val="21"/>
                      <w:vertAlign w:val="baseline"/>
                      <w:lang w:val="en-US" w:eastAsia="zh-CN"/>
                    </w:rPr>
                    <w:t>一座</w:t>
                  </w:r>
                  <w:r>
                    <w:rPr>
                      <w:rFonts w:hint="eastAsia"/>
                      <w:color w:val="auto"/>
                      <w:sz w:val="21"/>
                      <w:szCs w:val="21"/>
                      <w:lang w:val="en-US" w:eastAsia="zh-CN"/>
                    </w:rPr>
                    <w:t>10m</w:t>
                  </w:r>
                  <w:r>
                    <w:rPr>
                      <w:rFonts w:hint="eastAsia"/>
                      <w:color w:val="auto"/>
                      <w:sz w:val="21"/>
                      <w:szCs w:val="21"/>
                      <w:vertAlign w:val="superscript"/>
                      <w:lang w:val="en-US" w:eastAsia="zh-CN"/>
                    </w:rPr>
                    <w:t>2</w:t>
                  </w:r>
                  <w:r>
                    <w:rPr>
                      <w:rFonts w:hint="eastAsia"/>
                      <w:color w:val="auto"/>
                      <w:sz w:val="21"/>
                      <w:szCs w:val="21"/>
                      <w:vertAlign w:val="baseline"/>
                      <w:lang w:val="en-US" w:eastAsia="zh-CN"/>
                    </w:rPr>
                    <w:t>危废间暂存</w:t>
                  </w:r>
                  <w:r>
                    <w:rPr>
                      <w:rFonts w:hint="eastAsia"/>
                      <w:color w:val="auto"/>
                      <w:sz w:val="21"/>
                      <w:szCs w:val="21"/>
                    </w:rPr>
                    <w:t>，</w:t>
                  </w:r>
                  <w:r>
                    <w:rPr>
                      <w:rFonts w:hint="eastAsia"/>
                      <w:color w:val="auto"/>
                      <w:sz w:val="21"/>
                      <w:szCs w:val="21"/>
                      <w:lang w:val="en-US" w:eastAsia="zh-CN"/>
                    </w:rPr>
                    <w:t>委托有资质单位处置</w:t>
                  </w:r>
                </w:p>
              </w:tc>
            </w:tr>
            <w:tr>
              <w:tblPrEx>
                <w:tblCellMar>
                  <w:top w:w="0" w:type="dxa"/>
                  <w:left w:w="108" w:type="dxa"/>
                  <w:bottom w:w="0" w:type="dxa"/>
                  <w:right w:w="108" w:type="dxa"/>
                </w:tblCellMar>
              </w:tblPrEx>
              <w:trPr>
                <w:trHeight w:val="397" w:hRule="atLeast"/>
                <w:jc w:val="center"/>
              </w:trPr>
              <w:tc>
                <w:tcPr>
                  <w:tcW w:w="752" w:type="dxa"/>
                  <w:vMerge w:val="continue"/>
                  <w:tcBorders>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p>
              </w:tc>
              <w:tc>
                <w:tcPr>
                  <w:tcW w:w="1650" w:type="dxa"/>
                  <w:vMerge w:val="restart"/>
                  <w:tcBorders>
                    <w:top w:val="single" w:color="auto" w:sz="4" w:space="0"/>
                    <w:left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废气处理</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废活性炭</w:t>
                  </w:r>
                </w:p>
              </w:tc>
              <w:tc>
                <w:tcPr>
                  <w:tcW w:w="4663" w:type="dxa"/>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eastAsia"/>
                      <w:color w:val="auto"/>
                      <w:sz w:val="21"/>
                      <w:szCs w:val="21"/>
                      <w:highlight w:val="yellow"/>
                    </w:rPr>
                  </w:pPr>
                </w:p>
              </w:tc>
            </w:tr>
            <w:tr>
              <w:tblPrEx>
                <w:tblCellMar>
                  <w:top w:w="0" w:type="dxa"/>
                  <w:left w:w="108" w:type="dxa"/>
                  <w:bottom w:w="0" w:type="dxa"/>
                  <w:right w:w="108" w:type="dxa"/>
                </w:tblCellMar>
              </w:tblPrEx>
              <w:trPr>
                <w:trHeight w:val="397" w:hRule="atLeast"/>
                <w:jc w:val="center"/>
              </w:trPr>
              <w:tc>
                <w:tcPr>
                  <w:tcW w:w="752" w:type="dxa"/>
                  <w:vMerge w:val="continue"/>
                  <w:tcBorders>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olor w:val="auto"/>
                      <w:sz w:val="21"/>
                      <w:szCs w:val="21"/>
                    </w:rPr>
                  </w:pPr>
                </w:p>
              </w:tc>
              <w:tc>
                <w:tcPr>
                  <w:tcW w:w="1650" w:type="dxa"/>
                  <w:vMerge w:val="continue"/>
                  <w:tcBorders>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p>
              </w:tc>
              <w:tc>
                <w:tcPr>
                  <w:tcW w:w="174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废催化剂</w:t>
                  </w:r>
                </w:p>
              </w:tc>
              <w:tc>
                <w:tcPr>
                  <w:tcW w:w="4663" w:type="dxa"/>
                  <w:vMerge w:val="continue"/>
                  <w:tcBorders>
                    <w:left w:val="single" w:color="auto" w:sz="4"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default"/>
                      <w:color w:val="auto"/>
                      <w:sz w:val="21"/>
                      <w:szCs w:val="21"/>
                    </w:rPr>
                  </w:pPr>
                </w:p>
              </w:tc>
            </w:tr>
            <w:tr>
              <w:tblPrEx>
                <w:tblCellMar>
                  <w:top w:w="0" w:type="dxa"/>
                  <w:left w:w="108" w:type="dxa"/>
                  <w:bottom w:w="0" w:type="dxa"/>
                  <w:right w:w="108" w:type="dxa"/>
                </w:tblCellMar>
              </w:tblPrEx>
              <w:trPr>
                <w:trHeight w:val="397" w:hRule="atLeast"/>
                <w:jc w:val="center"/>
              </w:trPr>
              <w:tc>
                <w:tcPr>
                  <w:tcW w:w="752" w:type="dxa"/>
                  <w:tcBorders>
                    <w:top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color w:val="auto"/>
                      <w:sz w:val="21"/>
                      <w:szCs w:val="21"/>
                    </w:rPr>
                  </w:pPr>
                  <w:r>
                    <w:rPr>
                      <w:rFonts w:hint="eastAsia" w:ascii="宋体" w:hAnsi="宋体"/>
                      <w:color w:val="auto"/>
                      <w:sz w:val="21"/>
                      <w:szCs w:val="21"/>
                    </w:rPr>
                    <w:t>噪声</w:t>
                  </w:r>
                </w:p>
              </w:tc>
              <w:tc>
                <w:tcPr>
                  <w:tcW w:w="165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加热搅拌、挤出成形、拉条成形、切粒、脱水、筛分</w:t>
                  </w:r>
                </w:p>
              </w:tc>
              <w:tc>
                <w:tcPr>
                  <w:tcW w:w="1740" w:type="dxa"/>
                  <w:tcBorders>
                    <w:top w:val="single" w:color="auto" w:sz="4" w:space="0"/>
                    <w:left w:val="single" w:color="auto" w:sz="4" w:space="0"/>
                    <w:bottom w:val="single" w:color="auto" w:sz="8" w:space="0"/>
                    <w:righ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噪声</w:t>
                  </w:r>
                </w:p>
              </w:tc>
              <w:tc>
                <w:tcPr>
                  <w:tcW w:w="4663" w:type="dxa"/>
                  <w:tcBorders>
                    <w:top w:val="single" w:color="auto" w:sz="4" w:space="0"/>
                    <w:left w:val="single" w:color="auto" w:sz="4"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left"/>
                    <w:rPr>
                      <w:rFonts w:hint="eastAsia"/>
                      <w:color w:val="auto"/>
                      <w:sz w:val="21"/>
                      <w:szCs w:val="21"/>
                    </w:rPr>
                  </w:pPr>
                  <w:r>
                    <w:rPr>
                      <w:rFonts w:hint="eastAsia"/>
                      <w:color w:val="auto"/>
                      <w:sz w:val="21"/>
                      <w:szCs w:val="21"/>
                    </w:rPr>
                    <w:t>基础减振、厂房密闭隔音等</w:t>
                  </w:r>
                </w:p>
              </w:tc>
            </w:tr>
          </w:tbl>
          <w:p>
            <w:pPr>
              <w:keepNext w:val="0"/>
              <w:keepLines w:val="0"/>
              <w:suppressLineNumbers w:val="0"/>
              <w:adjustRightInd w:val="0"/>
              <w:snapToGrid w:val="0"/>
              <w:spacing w:before="0" w:beforeAutospacing="0" w:after="0" w:afterAutospacing="0"/>
              <w:ind w:left="0" w:right="0"/>
              <w:rPr>
                <w:rFonts w:hint="default"/>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8" w:hRule="atLeast"/>
          <w:jc w:val="center"/>
        </w:trPr>
        <w:tc>
          <w:tcPr>
            <w:tcW w:w="731" w:type="dxa"/>
            <w:noWrap w:val="0"/>
            <w:vAlign w:val="center"/>
          </w:tcPr>
          <w:p>
            <w:pPr>
              <w:pStyle w:val="1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Times New Roman" w:hAnsi="Times New Roman"/>
                <w:sz w:val="21"/>
                <w:szCs w:val="21"/>
                <w:lang w:val="en-US" w:eastAsia="zh-CN"/>
              </w:rPr>
            </w:pPr>
            <w:r>
              <w:rPr>
                <w:rFonts w:hint="default" w:ascii="Times New Roman"/>
                <w:bCs/>
                <w:kern w:val="2"/>
                <w:sz w:val="24"/>
                <w:szCs w:val="24"/>
                <w:lang w:val="en-US" w:eastAsia="zh-CN"/>
              </w:rPr>
              <w:t>与项目有关的原有环境污染问题</w:t>
            </w:r>
          </w:p>
        </w:tc>
        <w:tc>
          <w:tcPr>
            <w:tcW w:w="9021" w:type="dxa"/>
            <w:noWrap w:val="0"/>
            <w:vAlign w:val="center"/>
          </w:tcPr>
          <w:p>
            <w:pPr>
              <w:keepNext w:val="0"/>
              <w:keepLines w:val="0"/>
              <w:suppressLineNumbers w:val="0"/>
              <w:adjustRightInd w:val="0"/>
              <w:snapToGrid w:val="0"/>
              <w:spacing w:before="0" w:beforeAutospacing="0" w:after="0" w:afterAutospacing="0" w:line="440" w:lineRule="exact"/>
              <w:ind w:left="0" w:right="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eastAsia="宋体"/>
                <w:lang w:eastAsia="zh-CN"/>
              </w:rPr>
            </w:pPr>
            <w:r>
              <w:rPr>
                <w:rFonts w:hint="eastAsia"/>
              </w:rPr>
              <w:t>本项目利用现有空置厂房建设，无原有环境污染问题</w:t>
            </w:r>
            <w:r>
              <w:rPr>
                <w:rFonts w:hint="eastAsia"/>
                <w:lang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rPr>
                <w:rFonts w:hint="eastAsia" w:eastAsia="宋体"/>
                <w:lang w:eastAsia="zh-CN"/>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rPr>
            </w:pPr>
          </w:p>
          <w:p>
            <w:pPr>
              <w:pStyle w:val="2"/>
              <w:keepLines w:val="0"/>
              <w:suppressLineNumbers w:val="0"/>
              <w:spacing w:beforeAutospacing="0" w:afterAutospacing="0"/>
              <w:ind w:right="0"/>
              <w:rPr>
                <w:rFonts w:hint="default"/>
              </w:rPr>
            </w:pPr>
          </w:p>
          <w:p>
            <w:pPr>
              <w:keepNext w:val="0"/>
              <w:keepLines w:val="0"/>
              <w:suppressLineNumbers w:val="0"/>
              <w:spacing w:before="0" w:beforeAutospacing="0" w:after="0" w:afterAutospacing="0"/>
              <w:ind w:left="0" w:right="0"/>
              <w:rPr>
                <w:rFonts w:hint="default"/>
              </w:rPr>
            </w:pPr>
          </w:p>
          <w:p>
            <w:pPr>
              <w:pStyle w:val="2"/>
              <w:keepLines w:val="0"/>
              <w:suppressLineNumbers w:val="0"/>
              <w:spacing w:beforeAutospacing="0" w:afterAutospacing="0"/>
              <w:ind w:right="0"/>
              <w:rPr>
                <w:rFonts w:hint="default"/>
              </w:rPr>
            </w:pPr>
          </w:p>
          <w:p>
            <w:pPr>
              <w:pStyle w:val="2"/>
              <w:keepLines w:val="0"/>
              <w:suppressLineNumbers w:val="0"/>
              <w:spacing w:beforeAutospacing="0" w:afterAutospacing="0"/>
              <w:ind w:left="0" w:leftChars="0" w:right="0" w:firstLine="0" w:firstLineChars="0"/>
              <w:rPr>
                <w:rFonts w:hint="default"/>
              </w:rPr>
            </w:pPr>
          </w:p>
          <w:p>
            <w:pPr>
              <w:pStyle w:val="2"/>
              <w:keepLines w:val="0"/>
              <w:suppressLineNumbers w:val="0"/>
              <w:spacing w:beforeAutospacing="0" w:afterAutospacing="0"/>
              <w:ind w:left="0" w:leftChars="0" w:right="0" w:firstLine="0" w:firstLineChars="0"/>
              <w:rPr>
                <w:rFonts w:hint="eastAsia" w:eastAsia="宋体"/>
                <w:lang w:eastAsia="zh-CN"/>
              </w:rPr>
            </w:pPr>
          </w:p>
        </w:tc>
      </w:tr>
    </w:tbl>
    <w:p>
      <w:pPr>
        <w:pStyle w:val="18"/>
        <w:rPr>
          <w:rFonts w:hint="eastAsia" w:ascii="黑体" w:hAnsi="黑体" w:eastAsia="黑体"/>
          <w:snapToGrid w:val="0"/>
          <w:sz w:val="36"/>
          <w:szCs w:val="36"/>
          <w:lang w:eastAsia="zh-CN"/>
        </w:rPr>
        <w:sectPr>
          <w:footerReference r:id="rId4" w:type="default"/>
          <w:pgSz w:w="11906" w:h="16838"/>
          <w:pgMar w:top="1531" w:right="1531" w:bottom="1531" w:left="1531"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18"/>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pPr>
        <w:pStyle w:val="18"/>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三、区域环境质量现状、环境保护目标及评价标准</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9" w:hRule="atLeast"/>
          <w:jc w:val="center"/>
        </w:trPr>
        <w:tc>
          <w:tcPr>
            <w:tcW w:w="8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Times New Roman" w:hAnsi="宋体" w:eastAsia="宋体" w:cs="Times New Roman"/>
                <w:bCs/>
                <w:kern w:val="2"/>
                <w:sz w:val="24"/>
                <w:szCs w:val="24"/>
                <w:lang w:val="en-US" w:eastAsia="zh-CN" w:bidi="ar-SA"/>
              </w:rPr>
            </w:pPr>
            <w:r>
              <w:rPr>
                <w:rFonts w:hint="eastAsia" w:ascii="Times New Roman" w:hAnsi="宋体" w:eastAsia="宋体" w:cs="Times New Roman"/>
                <w:bCs/>
                <w:kern w:val="2"/>
                <w:sz w:val="24"/>
                <w:szCs w:val="24"/>
                <w:lang w:val="en-US" w:eastAsia="zh-CN" w:bidi="ar-SA"/>
              </w:rPr>
              <w:t>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Times New Roman" w:hAnsi="宋体" w:eastAsia="宋体" w:cs="Times New Roman"/>
                <w:bCs/>
                <w:kern w:val="2"/>
                <w:sz w:val="24"/>
                <w:szCs w:val="24"/>
                <w:lang w:val="en-US" w:eastAsia="zh-CN" w:bidi="ar-SA"/>
              </w:rPr>
            </w:pPr>
            <w:r>
              <w:rPr>
                <w:rFonts w:hint="eastAsia" w:ascii="Times New Roman" w:hAnsi="宋体" w:eastAsia="宋体" w:cs="Times New Roman"/>
                <w:bCs/>
                <w:kern w:val="2"/>
                <w:sz w:val="24"/>
                <w:szCs w:val="24"/>
                <w:lang w:val="en-US" w:eastAsia="zh-CN" w:bidi="ar-SA"/>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Times New Roman" w:hAnsi="宋体" w:eastAsia="宋体" w:cs="Times New Roman"/>
                <w:bCs/>
                <w:kern w:val="2"/>
                <w:sz w:val="24"/>
                <w:szCs w:val="24"/>
                <w:lang w:val="en-US" w:eastAsia="zh-CN" w:bidi="ar-SA"/>
              </w:rPr>
            </w:pPr>
            <w:r>
              <w:rPr>
                <w:rFonts w:hint="eastAsia" w:ascii="Times New Roman" w:hAnsi="宋体" w:eastAsia="宋体" w:cs="Times New Roman"/>
                <w:bCs/>
                <w:kern w:val="2"/>
                <w:sz w:val="24"/>
                <w:szCs w:val="24"/>
                <w:lang w:val="en-US" w:eastAsia="zh-CN" w:bidi="ar-SA"/>
              </w:rPr>
              <w:t>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Cs w:val="21"/>
              </w:rPr>
            </w:pPr>
            <w:r>
              <w:rPr>
                <w:rFonts w:hint="eastAsia" w:ascii="Times New Roman" w:hAnsi="宋体" w:eastAsia="宋体" w:cs="Times New Roman"/>
                <w:bCs/>
                <w:kern w:val="2"/>
                <w:sz w:val="24"/>
                <w:szCs w:val="24"/>
                <w:lang w:val="en-US" w:eastAsia="zh-CN" w:bidi="ar-SA"/>
              </w:rPr>
              <w:t>现状</w:t>
            </w:r>
          </w:p>
        </w:tc>
        <w:tc>
          <w:tcPr>
            <w:tcW w:w="8190" w:type="dxa"/>
            <w:noWrap w:val="0"/>
            <w:vAlign w:val="center"/>
          </w:tcPr>
          <w:p>
            <w:pPr>
              <w:keepNext w:val="0"/>
              <w:keepLines w:val="0"/>
              <w:suppressLineNumbers w:val="0"/>
              <w:spacing w:before="0" w:beforeAutospacing="0" w:after="0" w:afterAutospacing="0" w:line="440" w:lineRule="exact"/>
              <w:ind w:left="0" w:right="0" w:firstLine="482" w:firstLineChars="200"/>
              <w:jc w:val="left"/>
              <w:rPr>
                <w:rFonts w:hint="default"/>
                <w:b/>
                <w:bCs/>
                <w:color w:val="000000"/>
                <w:sz w:val="24"/>
              </w:rPr>
            </w:pPr>
            <w:r>
              <w:rPr>
                <w:rFonts w:hint="default"/>
                <w:b/>
                <w:bCs/>
                <w:color w:val="000000"/>
                <w:sz w:val="24"/>
              </w:rPr>
              <w:t>1</w:t>
            </w:r>
            <w:r>
              <w:rPr>
                <w:rFonts w:hint="eastAsia" w:ascii="宋体" w:hAnsi="宋体"/>
                <w:b/>
                <w:bCs/>
                <w:color w:val="000000"/>
                <w:sz w:val="24"/>
              </w:rPr>
              <w:t>、环境空气</w:t>
            </w:r>
            <w:r>
              <w:rPr>
                <w:rFonts w:hint="default"/>
                <w:b/>
                <w:bCs/>
                <w:color w:val="000000"/>
                <w:sz w:val="24"/>
              </w:rPr>
              <w:t>质量现状</w:t>
            </w:r>
          </w:p>
          <w:p>
            <w:pPr>
              <w:keepNext w:val="0"/>
              <w:keepLines w:val="0"/>
              <w:widowControl/>
              <w:suppressLineNumbers w:val="0"/>
              <w:adjustRightInd w:val="0"/>
              <w:snapToGrid w:val="0"/>
              <w:spacing w:before="0" w:beforeAutospacing="0" w:after="0" w:afterAutospacing="0" w:line="440" w:lineRule="exact"/>
              <w:ind w:left="0" w:right="0" w:firstLine="480" w:firstLineChars="200"/>
              <w:rPr>
                <w:rFonts w:hint="default"/>
                <w:kern w:val="0"/>
                <w:sz w:val="24"/>
              </w:rPr>
            </w:pPr>
            <w:r>
              <w:rPr>
                <w:rFonts w:hint="eastAsia" w:ascii="宋体" w:hAnsi="宋体"/>
                <w:sz w:val="24"/>
              </w:rPr>
              <w:t>根据大气功能区划分原则，项目所在区域为二类功能区，环境空气质量应执行《环境空气质量标准》（</w:t>
            </w:r>
            <w:r>
              <w:rPr>
                <w:rFonts w:hint="default"/>
                <w:sz w:val="24"/>
              </w:rPr>
              <w:t>GB3095-2012</w:t>
            </w:r>
            <w:r>
              <w:rPr>
                <w:rFonts w:hint="eastAsia" w:ascii="宋体" w:hAnsi="宋体"/>
                <w:sz w:val="24"/>
              </w:rPr>
              <w:t>）二级标准。</w:t>
            </w:r>
            <w:r>
              <w:rPr>
                <w:rFonts w:hint="eastAsia" w:ascii="宋体" w:hAnsi="宋体"/>
                <w:kern w:val="0"/>
                <w:sz w:val="24"/>
              </w:rPr>
              <w:t>根据</w:t>
            </w:r>
            <w:r>
              <w:rPr>
                <w:rFonts w:hint="eastAsia" w:ascii="宋体" w:hAnsi="宋体"/>
                <w:color w:val="000000"/>
                <w:kern w:val="0"/>
                <w:sz w:val="24"/>
              </w:rPr>
              <w:t>新乡市生态环境局</w:t>
            </w:r>
            <w:r>
              <w:rPr>
                <w:rFonts w:hint="eastAsia" w:ascii="宋体" w:hAnsi="宋体"/>
                <w:kern w:val="0"/>
                <w:sz w:val="24"/>
              </w:rPr>
              <w:t>发布的《</w:t>
            </w:r>
            <w:r>
              <w:rPr>
                <w:rFonts w:hint="default" w:ascii="宋体" w:hAnsi="宋体"/>
                <w:kern w:val="0"/>
                <w:sz w:val="24"/>
              </w:rPr>
              <w:t>新乡市</w:t>
            </w:r>
            <w:r>
              <w:rPr>
                <w:rFonts w:hint="default" w:ascii="Times New Roman" w:hAnsi="Times New Roman" w:cs="Times New Roman"/>
                <w:color w:val="auto"/>
                <w:kern w:val="0"/>
                <w:sz w:val="24"/>
              </w:rPr>
              <w:t>2021</w:t>
            </w:r>
            <w:r>
              <w:rPr>
                <w:rFonts w:hint="default" w:ascii="宋体" w:hAnsi="宋体"/>
                <w:kern w:val="0"/>
                <w:sz w:val="24"/>
              </w:rPr>
              <w:t>年环境质量年报</w:t>
            </w:r>
            <w:r>
              <w:rPr>
                <w:rFonts w:hint="eastAsia" w:ascii="宋体" w:hAnsi="宋体"/>
                <w:kern w:val="0"/>
                <w:sz w:val="24"/>
              </w:rPr>
              <w:t>》，区域空气质量现状数据如下表所示。</w:t>
            </w:r>
          </w:p>
          <w:p>
            <w:pPr>
              <w:keepNext w:val="0"/>
              <w:keepLines w:val="0"/>
              <w:suppressLineNumbers w:val="0"/>
              <w:spacing w:before="0" w:beforeAutospacing="0" w:after="0" w:afterAutospacing="0" w:line="440" w:lineRule="exact"/>
              <w:ind w:left="0" w:right="0"/>
              <w:jc w:val="center"/>
              <w:rPr>
                <w:rFonts w:hint="default" w:ascii="宋体" w:hAnsi="宋体"/>
                <w:b/>
                <w:color w:val="000000"/>
                <w:sz w:val="24"/>
              </w:rPr>
            </w:pPr>
            <w:r>
              <w:rPr>
                <w:rFonts w:hint="eastAsia" w:ascii="宋体" w:hAnsi="宋体"/>
                <w:b/>
                <w:color w:val="000000"/>
                <w:sz w:val="24"/>
              </w:rPr>
              <w:t>表</w:t>
            </w:r>
            <w:r>
              <w:rPr>
                <w:rFonts w:hint="default" w:ascii="宋体" w:hAnsi="宋体"/>
                <w:b/>
                <w:color w:val="000000"/>
                <w:sz w:val="24"/>
              </w:rPr>
              <w:t>1</w:t>
            </w:r>
            <w:r>
              <w:rPr>
                <w:rFonts w:hint="eastAsia" w:ascii="宋体" w:hAnsi="宋体"/>
                <w:b/>
                <w:color w:val="000000"/>
                <w:sz w:val="24"/>
                <w:lang w:val="en-US" w:eastAsia="zh-CN"/>
              </w:rPr>
              <w:t xml:space="preserve">7  </w:t>
            </w:r>
            <w:r>
              <w:rPr>
                <w:rFonts w:hint="eastAsia" w:ascii="宋体" w:hAnsi="宋体"/>
                <w:b/>
                <w:color w:val="000000"/>
                <w:sz w:val="24"/>
              </w:rPr>
              <w:t>区域空气质量现状评价表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18"/>
              <w:gridCol w:w="1773"/>
              <w:gridCol w:w="1472"/>
              <w:gridCol w:w="1596"/>
              <w:gridCol w:w="1203"/>
              <w:gridCol w:w="120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8" w:space="0"/>
                    <w:left w:val="nil"/>
                    <w:bottom w:val="single" w:color="auto" w:sz="8" w:space="0"/>
                    <w:right w:val="single" w:color="auto" w:sz="8"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污染物</w:t>
                  </w:r>
                </w:p>
              </w:tc>
              <w:tc>
                <w:tcPr>
                  <w:tcW w:w="1773"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年评价指标</w:t>
                  </w:r>
                </w:p>
              </w:tc>
              <w:tc>
                <w:tcPr>
                  <w:tcW w:w="1472"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现状浓度</w:t>
                  </w:r>
                  <w:r>
                    <w:rPr>
                      <w:rFonts w:hint="default"/>
                      <w:b/>
                      <w:bCs/>
                      <w:color w:val="000000"/>
                      <w:sz w:val="21"/>
                      <w:szCs w:val="21"/>
                    </w:rPr>
                    <w:t>/</w:t>
                  </w:r>
                  <w:r>
                    <w:rPr>
                      <w:rFonts w:hint="eastAsia" w:hAnsi="宋体"/>
                      <w:b/>
                      <w:bCs/>
                      <w:color w:val="000000"/>
                      <w:sz w:val="21"/>
                      <w:szCs w:val="21"/>
                    </w:rPr>
                    <w:t>（</w:t>
                  </w:r>
                  <w:r>
                    <w:rPr>
                      <w:rFonts w:hint="default"/>
                      <w:b/>
                      <w:bCs/>
                      <w:color w:val="000000"/>
                      <w:sz w:val="21"/>
                      <w:szCs w:val="21"/>
                    </w:rPr>
                    <w:t>μg/m</w:t>
                  </w:r>
                  <w:r>
                    <w:rPr>
                      <w:rFonts w:hint="default"/>
                      <w:b/>
                      <w:bCs/>
                      <w:color w:val="000000"/>
                      <w:sz w:val="21"/>
                      <w:szCs w:val="21"/>
                      <w:vertAlign w:val="superscript"/>
                    </w:rPr>
                    <w:t>3</w:t>
                  </w:r>
                  <w:r>
                    <w:rPr>
                      <w:rFonts w:hint="eastAsia" w:hAnsi="宋体"/>
                      <w:b/>
                      <w:bCs/>
                      <w:color w:val="000000"/>
                      <w:sz w:val="21"/>
                      <w:szCs w:val="21"/>
                    </w:rPr>
                    <w:t>）</w:t>
                  </w:r>
                </w:p>
              </w:tc>
              <w:tc>
                <w:tcPr>
                  <w:tcW w:w="1596"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标准值</w:t>
                  </w:r>
                  <w:r>
                    <w:rPr>
                      <w:rFonts w:hint="default"/>
                      <w:b/>
                      <w:bCs/>
                      <w:color w:val="000000"/>
                      <w:sz w:val="21"/>
                      <w:szCs w:val="21"/>
                    </w:rPr>
                    <w:t>/</w:t>
                  </w:r>
                  <w:r>
                    <w:rPr>
                      <w:rFonts w:hint="eastAsia" w:hAnsi="宋体"/>
                      <w:b/>
                      <w:bCs/>
                      <w:color w:val="000000"/>
                      <w:sz w:val="21"/>
                      <w:szCs w:val="21"/>
                    </w:rPr>
                    <w:t>（</w:t>
                  </w:r>
                  <w:r>
                    <w:rPr>
                      <w:rFonts w:hint="default"/>
                      <w:b/>
                      <w:bCs/>
                      <w:color w:val="000000"/>
                      <w:sz w:val="21"/>
                      <w:szCs w:val="21"/>
                    </w:rPr>
                    <w:t>μg/m</w:t>
                  </w:r>
                  <w:r>
                    <w:rPr>
                      <w:rFonts w:hint="default"/>
                      <w:b/>
                      <w:bCs/>
                      <w:color w:val="000000"/>
                      <w:sz w:val="21"/>
                      <w:szCs w:val="21"/>
                      <w:vertAlign w:val="superscript"/>
                    </w:rPr>
                    <w:t>3</w:t>
                  </w:r>
                  <w:r>
                    <w:rPr>
                      <w:rFonts w:hint="eastAsia" w:hAnsi="宋体"/>
                      <w:b/>
                      <w:bCs/>
                      <w:color w:val="000000"/>
                      <w:sz w:val="21"/>
                      <w:szCs w:val="21"/>
                    </w:rPr>
                    <w:t>）</w:t>
                  </w:r>
                </w:p>
              </w:tc>
              <w:tc>
                <w:tcPr>
                  <w:tcW w:w="1203" w:type="dxa"/>
                  <w:tcBorders>
                    <w:top w:val="single" w:color="auto" w:sz="8" w:space="0"/>
                    <w:left w:val="single" w:color="auto" w:sz="8" w:space="0"/>
                    <w:bottom w:val="single" w:color="auto" w:sz="8" w:space="0"/>
                    <w:right w:val="single" w:color="auto" w:sz="8"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占标率</w:t>
                  </w:r>
                  <w:r>
                    <w:rPr>
                      <w:rFonts w:hint="default"/>
                      <w:b/>
                      <w:bCs/>
                      <w:color w:val="000000"/>
                      <w:sz w:val="21"/>
                      <w:szCs w:val="21"/>
                    </w:rPr>
                    <w:t>%</w:t>
                  </w:r>
                </w:p>
              </w:tc>
              <w:tc>
                <w:tcPr>
                  <w:tcW w:w="1203" w:type="dxa"/>
                  <w:tcBorders>
                    <w:top w:val="single" w:color="auto" w:sz="8" w:space="0"/>
                    <w:left w:val="single" w:color="auto" w:sz="8" w:space="0"/>
                    <w:bottom w:val="single" w:color="auto" w:sz="8" w:space="0"/>
                    <w:right w:val="nil"/>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b/>
                      <w:bCs/>
                      <w:color w:val="000000"/>
                      <w:sz w:val="21"/>
                      <w:szCs w:val="21"/>
                    </w:rPr>
                  </w:pPr>
                  <w:r>
                    <w:rPr>
                      <w:rFonts w:hint="eastAsia" w:hAnsi="宋体"/>
                      <w:b/>
                      <w:bCs/>
                      <w:color w:val="000000"/>
                      <w:sz w:val="21"/>
                      <w:szCs w:val="21"/>
                    </w:rPr>
                    <w:t>达标情况</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8" w:space="0"/>
                    <w:left w:val="nil"/>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PM</w:t>
                  </w:r>
                  <w:r>
                    <w:rPr>
                      <w:rFonts w:hint="default"/>
                      <w:color w:val="000000"/>
                      <w:sz w:val="21"/>
                      <w:szCs w:val="21"/>
                      <w:vertAlign w:val="subscript"/>
                    </w:rPr>
                    <w:t>10</w:t>
                  </w:r>
                </w:p>
              </w:tc>
              <w:tc>
                <w:tcPr>
                  <w:tcW w:w="1773"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年平</w:t>
                  </w:r>
                  <w:r>
                    <w:rPr>
                      <w:rFonts w:hint="eastAsia"/>
                      <w:color w:val="000000"/>
                      <w:sz w:val="21"/>
                      <w:szCs w:val="21"/>
                    </w:rPr>
                    <w:t>均质量浓度</w:t>
                  </w:r>
                </w:p>
              </w:tc>
              <w:tc>
                <w:tcPr>
                  <w:tcW w:w="1472"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93</w:t>
                  </w:r>
                </w:p>
              </w:tc>
              <w:tc>
                <w:tcPr>
                  <w:tcW w:w="1596"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70</w:t>
                  </w:r>
                </w:p>
              </w:tc>
              <w:tc>
                <w:tcPr>
                  <w:tcW w:w="1203" w:type="dxa"/>
                  <w:tcBorders>
                    <w:top w:val="single" w:color="auto" w:sz="8"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132.9</w:t>
                  </w:r>
                </w:p>
              </w:tc>
              <w:tc>
                <w:tcPr>
                  <w:tcW w:w="1203" w:type="dxa"/>
                  <w:tcBorders>
                    <w:top w:val="single" w:color="auto" w:sz="8" w:space="0"/>
                    <w:left w:val="single" w:color="auto" w:sz="4" w:space="0"/>
                    <w:bottom w:val="single" w:color="auto" w:sz="4"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PM</w:t>
                  </w:r>
                  <w:r>
                    <w:rPr>
                      <w:rFonts w:hint="default"/>
                      <w:color w:val="000000"/>
                      <w:sz w:val="21"/>
                      <w:szCs w:val="21"/>
                      <w:vertAlign w:val="subscript"/>
                    </w:rPr>
                    <w:t>2.5</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47</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35</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134.3</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超标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SO</w:t>
                  </w:r>
                  <w:r>
                    <w:rPr>
                      <w:rFonts w:hint="default"/>
                      <w:color w:val="000000"/>
                      <w:sz w:val="21"/>
                      <w:szCs w:val="21"/>
                      <w:vertAlign w:val="subscript"/>
                    </w:rPr>
                    <w:t>2</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11</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60</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18.3</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NO</w:t>
                  </w:r>
                  <w:r>
                    <w:rPr>
                      <w:rFonts w:hint="default"/>
                      <w:color w:val="000000"/>
                      <w:sz w:val="21"/>
                      <w:szCs w:val="21"/>
                      <w:vertAlign w:val="subscript"/>
                    </w:rPr>
                    <w:t>2</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年平均质量浓度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32</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40</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80</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达</w:t>
                  </w:r>
                  <w:r>
                    <w:rPr>
                      <w:rFonts w:hint="default"/>
                      <w:sz w:val="21"/>
                      <w:szCs w:val="21"/>
                    </w:rPr>
                    <w:t>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CO</w:t>
                  </w:r>
                </w:p>
              </w:tc>
              <w:tc>
                <w:tcPr>
                  <w:tcW w:w="177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第</w:t>
                  </w:r>
                  <w:r>
                    <w:rPr>
                      <w:rFonts w:hint="default"/>
                      <w:color w:val="000000"/>
                      <w:sz w:val="21"/>
                      <w:szCs w:val="21"/>
                    </w:rPr>
                    <w:t>95</w:t>
                  </w:r>
                  <w:r>
                    <w:rPr>
                      <w:rFonts w:hint="eastAsia" w:hAnsi="宋体"/>
                      <w:color w:val="000000"/>
                      <w:sz w:val="21"/>
                      <w:szCs w:val="21"/>
                    </w:rPr>
                    <w:t>百分位浓度</w:t>
                  </w:r>
                </w:p>
              </w:tc>
              <w:tc>
                <w:tcPr>
                  <w:tcW w:w="1472"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1.6</w:t>
                  </w:r>
                  <w:r>
                    <w:rPr>
                      <w:rFonts w:hint="default"/>
                      <w:sz w:val="21"/>
                      <w:szCs w:val="21"/>
                    </w:rPr>
                    <w:t>mg/m</w:t>
                  </w:r>
                  <w:r>
                    <w:rPr>
                      <w:rFonts w:hint="default"/>
                      <w:sz w:val="21"/>
                      <w:szCs w:val="21"/>
                      <w:vertAlign w:val="superscript"/>
                    </w:rPr>
                    <w:t>3</w:t>
                  </w:r>
                </w:p>
              </w:tc>
              <w:tc>
                <w:tcPr>
                  <w:tcW w:w="1596"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4mg/m</w:t>
                  </w:r>
                  <w:r>
                    <w:rPr>
                      <w:rFonts w:hint="default"/>
                      <w:sz w:val="21"/>
                      <w:szCs w:val="21"/>
                      <w:vertAlign w:val="superscript"/>
                    </w:rPr>
                    <w:t>3</w:t>
                  </w:r>
                </w:p>
              </w:tc>
              <w:tc>
                <w:tcPr>
                  <w:tcW w:w="1203" w:type="dxa"/>
                  <w:tcBorders>
                    <w:top w:val="single" w:color="auto" w:sz="4" w:space="0"/>
                    <w:left w:val="single" w:color="auto" w:sz="4" w:space="0"/>
                    <w:bottom w:val="single" w:color="auto" w:sz="4"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40</w:t>
                  </w:r>
                </w:p>
              </w:tc>
              <w:tc>
                <w:tcPr>
                  <w:tcW w:w="1203" w:type="dxa"/>
                  <w:tcBorders>
                    <w:top w:val="single" w:color="auto" w:sz="4" w:space="0"/>
                    <w:left w:val="single" w:color="auto" w:sz="4" w:space="0"/>
                    <w:bottom w:val="single" w:color="auto" w:sz="4"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1318" w:type="dxa"/>
                  <w:tcBorders>
                    <w:top w:val="single" w:color="auto" w:sz="4" w:space="0"/>
                    <w:left w:val="nil"/>
                    <w:bottom w:val="single" w:color="auto" w:sz="8"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default"/>
                      <w:color w:val="000000"/>
                      <w:sz w:val="21"/>
                      <w:szCs w:val="21"/>
                    </w:rPr>
                    <w:t>O</w:t>
                  </w:r>
                  <w:r>
                    <w:rPr>
                      <w:rFonts w:hint="default"/>
                      <w:color w:val="000000"/>
                      <w:sz w:val="21"/>
                      <w:szCs w:val="21"/>
                      <w:vertAlign w:val="subscript"/>
                    </w:rPr>
                    <w:t>3</w:t>
                  </w:r>
                </w:p>
              </w:tc>
              <w:tc>
                <w:tcPr>
                  <w:tcW w:w="1773"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hint="default"/>
                      <w:color w:val="000000"/>
                      <w:sz w:val="21"/>
                      <w:szCs w:val="21"/>
                    </w:rPr>
                  </w:pPr>
                  <w:r>
                    <w:rPr>
                      <w:rFonts w:hint="eastAsia" w:hAnsi="宋体"/>
                      <w:color w:val="000000"/>
                      <w:sz w:val="21"/>
                      <w:szCs w:val="21"/>
                    </w:rPr>
                    <w:t>第</w:t>
                  </w:r>
                  <w:r>
                    <w:rPr>
                      <w:rFonts w:hint="default"/>
                      <w:color w:val="000000"/>
                      <w:sz w:val="21"/>
                      <w:szCs w:val="21"/>
                    </w:rPr>
                    <w:t>90</w:t>
                  </w:r>
                  <w:r>
                    <w:rPr>
                      <w:rFonts w:hint="eastAsia" w:hAnsi="宋体"/>
                      <w:color w:val="000000"/>
                      <w:sz w:val="21"/>
                      <w:szCs w:val="21"/>
                    </w:rPr>
                    <w:t>百分位浓度</w:t>
                  </w:r>
                </w:p>
              </w:tc>
              <w:tc>
                <w:tcPr>
                  <w:tcW w:w="1472"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173</w:t>
                  </w:r>
                </w:p>
              </w:tc>
              <w:tc>
                <w:tcPr>
                  <w:tcW w:w="1596"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default"/>
                      <w:sz w:val="21"/>
                      <w:szCs w:val="21"/>
                    </w:rPr>
                    <w:t>160</w:t>
                  </w:r>
                </w:p>
              </w:tc>
              <w:tc>
                <w:tcPr>
                  <w:tcW w:w="1203" w:type="dxa"/>
                  <w:tcBorders>
                    <w:top w:val="single" w:color="auto" w:sz="4" w:space="0"/>
                    <w:left w:val="single" w:color="auto" w:sz="4" w:space="0"/>
                    <w:bottom w:val="single" w:color="auto" w:sz="8" w:space="0"/>
                    <w:right w:val="single" w:color="auto" w:sz="4" w:space="0"/>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108.1</w:t>
                  </w:r>
                </w:p>
              </w:tc>
              <w:tc>
                <w:tcPr>
                  <w:tcW w:w="1203" w:type="dxa"/>
                  <w:tcBorders>
                    <w:top w:val="single" w:color="auto" w:sz="4" w:space="0"/>
                    <w:left w:val="single" w:color="auto" w:sz="4" w:space="0"/>
                    <w:bottom w:val="single" w:color="auto" w:sz="8" w:space="0"/>
                    <w:right w:val="nil"/>
                  </w:tcBorders>
                  <w:noWrap w:val="0"/>
                  <w:tcMar>
                    <w:top w:w="57" w:type="dxa"/>
                    <w:left w:w="85" w:type="dxa"/>
                    <w:bottom w:w="57" w:type="dxa"/>
                    <w:right w:w="85" w:type="dxa"/>
                  </w:tcMar>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sz w:val="21"/>
                      <w:szCs w:val="21"/>
                    </w:rPr>
                  </w:pPr>
                  <w:r>
                    <w:rPr>
                      <w:rFonts w:hint="eastAsia"/>
                      <w:sz w:val="21"/>
                      <w:szCs w:val="21"/>
                    </w:rPr>
                    <w:t>超</w:t>
                  </w:r>
                  <w:r>
                    <w:rPr>
                      <w:rFonts w:hint="default"/>
                      <w:sz w:val="21"/>
                      <w:szCs w:val="21"/>
                    </w:rPr>
                    <w:t>标</w:t>
                  </w:r>
                </w:p>
              </w:tc>
            </w:tr>
          </w:tbl>
          <w:p>
            <w:pPr>
              <w:keepNext w:val="0"/>
              <w:keepLines w:val="0"/>
              <w:widowControl/>
              <w:suppressLineNumbers w:val="0"/>
              <w:adjustRightInd w:val="0"/>
              <w:snapToGrid w:val="0"/>
              <w:spacing w:before="0" w:beforeAutospacing="0" w:after="0" w:afterAutospacing="0" w:line="440" w:lineRule="exact"/>
              <w:ind w:left="0" w:right="0" w:firstLine="480" w:firstLineChars="200"/>
              <w:rPr>
                <w:rFonts w:hint="default"/>
                <w:kern w:val="0"/>
                <w:sz w:val="24"/>
              </w:rPr>
            </w:pPr>
            <w:r>
              <w:rPr>
                <w:rFonts w:hint="default" w:hAnsi="宋体"/>
                <w:kern w:val="0"/>
                <w:sz w:val="24"/>
              </w:rPr>
              <w:t>由上表可知，其中</w:t>
            </w:r>
            <w:r>
              <w:rPr>
                <w:rFonts w:hint="default"/>
                <w:kern w:val="0"/>
                <w:sz w:val="24"/>
              </w:rPr>
              <w:t>PM</w:t>
            </w:r>
            <w:r>
              <w:rPr>
                <w:rFonts w:hint="default"/>
                <w:kern w:val="0"/>
                <w:sz w:val="24"/>
                <w:vertAlign w:val="subscript"/>
              </w:rPr>
              <w:t>10</w:t>
            </w:r>
            <w:r>
              <w:rPr>
                <w:rFonts w:hint="default" w:hAnsi="宋体"/>
                <w:kern w:val="0"/>
                <w:sz w:val="24"/>
              </w:rPr>
              <w:t>、</w:t>
            </w:r>
            <w:r>
              <w:rPr>
                <w:rFonts w:hint="default"/>
                <w:kern w:val="0"/>
                <w:sz w:val="24"/>
              </w:rPr>
              <w:t>PM</w:t>
            </w:r>
            <w:r>
              <w:rPr>
                <w:rFonts w:hint="default"/>
                <w:kern w:val="0"/>
                <w:sz w:val="24"/>
                <w:vertAlign w:val="subscript"/>
              </w:rPr>
              <w:t>2.5</w:t>
            </w:r>
            <w:r>
              <w:rPr>
                <w:rFonts w:hint="default" w:hAnsi="宋体"/>
                <w:kern w:val="0"/>
                <w:sz w:val="24"/>
              </w:rPr>
              <w:t>、</w:t>
            </w:r>
            <w:r>
              <w:rPr>
                <w:rFonts w:hint="default"/>
                <w:kern w:val="0"/>
                <w:sz w:val="24"/>
              </w:rPr>
              <w:t>O</w:t>
            </w:r>
            <w:r>
              <w:rPr>
                <w:rFonts w:hint="default"/>
                <w:kern w:val="0"/>
                <w:sz w:val="24"/>
                <w:vertAlign w:val="subscript"/>
              </w:rPr>
              <w:t>3</w:t>
            </w:r>
            <w:r>
              <w:rPr>
                <w:rFonts w:hint="default" w:hAnsi="宋体"/>
                <w:kern w:val="0"/>
                <w:sz w:val="24"/>
              </w:rPr>
              <w:t>均不能够满足《环境空气质量标准》（</w:t>
            </w:r>
            <w:r>
              <w:rPr>
                <w:rFonts w:hint="default"/>
                <w:kern w:val="0"/>
                <w:sz w:val="24"/>
              </w:rPr>
              <w:t>GB3095-2012</w:t>
            </w:r>
            <w:r>
              <w:rPr>
                <w:rFonts w:hint="default" w:hAnsi="宋体"/>
                <w:kern w:val="0"/>
                <w:sz w:val="24"/>
              </w:rPr>
              <w:t>）二级标准要求。根据《环境影响评价技术导则</w:t>
            </w:r>
            <w:r>
              <w:rPr>
                <w:rFonts w:hint="default"/>
                <w:kern w:val="0"/>
                <w:sz w:val="24"/>
              </w:rPr>
              <w:t xml:space="preserve"> </w:t>
            </w:r>
            <w:r>
              <w:rPr>
                <w:rFonts w:hint="default" w:hAnsi="宋体"/>
                <w:kern w:val="0"/>
                <w:sz w:val="24"/>
              </w:rPr>
              <w:t>大气环境》</w:t>
            </w:r>
            <w:r>
              <w:rPr>
                <w:rFonts w:hint="default"/>
                <w:kern w:val="0"/>
                <w:sz w:val="24"/>
              </w:rPr>
              <w:t>(HJ2.2-2018)</w:t>
            </w:r>
            <w:r>
              <w:rPr>
                <w:rFonts w:hint="default" w:hAnsi="宋体"/>
                <w:kern w:val="0"/>
                <w:sz w:val="24"/>
              </w:rPr>
              <w:t>，本项目所在区域属于不达标区。</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kern w:val="0"/>
                <w:sz w:val="24"/>
              </w:rPr>
            </w:pPr>
            <w:r>
              <w:rPr>
                <w:rFonts w:hint="default" w:hAnsi="宋体"/>
                <w:kern w:val="0"/>
                <w:sz w:val="24"/>
              </w:rPr>
              <w:t>目前，新乡市正在实施《新乡市</w:t>
            </w:r>
            <w:r>
              <w:rPr>
                <w:rFonts w:hint="default"/>
                <w:kern w:val="0"/>
                <w:sz w:val="24"/>
              </w:rPr>
              <w:t>202</w:t>
            </w:r>
            <w:r>
              <w:rPr>
                <w:rFonts w:hint="eastAsia"/>
                <w:kern w:val="0"/>
                <w:sz w:val="24"/>
              </w:rPr>
              <w:t>2</w:t>
            </w:r>
            <w:r>
              <w:rPr>
                <w:rFonts w:hint="default" w:hAnsi="宋体"/>
                <w:kern w:val="0"/>
                <w:sz w:val="24"/>
              </w:rPr>
              <w:t>年大气污染防治攻坚战实施方案》（新环攻坚办</w:t>
            </w:r>
            <w:r>
              <w:rPr>
                <w:rFonts w:hint="eastAsia"/>
                <w:sz w:val="24"/>
              </w:rPr>
              <w:t>〔2022〕60号</w:t>
            </w:r>
            <w:r>
              <w:rPr>
                <w:rFonts w:hint="default" w:hAnsi="宋体"/>
                <w:kern w:val="0"/>
                <w:sz w:val="24"/>
              </w:rPr>
              <w:t>）等一系列措施，将不断改善区域大气环境质量。</w:t>
            </w:r>
          </w:p>
          <w:p>
            <w:pPr>
              <w:keepNext w:val="0"/>
              <w:keepLines w:val="0"/>
              <w:suppressLineNumbers w:val="0"/>
              <w:spacing w:before="0" w:beforeAutospacing="0" w:after="0" w:afterAutospacing="0" w:line="440" w:lineRule="exact"/>
              <w:ind w:left="0" w:right="0" w:firstLine="482" w:firstLineChars="200"/>
              <w:jc w:val="left"/>
              <w:rPr>
                <w:rFonts w:hint="default"/>
                <w:b/>
                <w:bCs/>
                <w:sz w:val="24"/>
              </w:rPr>
            </w:pPr>
            <w:r>
              <w:rPr>
                <w:rFonts w:hint="default"/>
                <w:b/>
                <w:bCs/>
                <w:sz w:val="24"/>
              </w:rPr>
              <w:t>2</w:t>
            </w:r>
            <w:r>
              <w:rPr>
                <w:rFonts w:hint="default" w:hAnsi="宋体"/>
                <w:b/>
                <w:bCs/>
                <w:sz w:val="24"/>
              </w:rPr>
              <w:t>、地表水</w:t>
            </w:r>
            <w:r>
              <w:rPr>
                <w:rFonts w:hint="default"/>
                <w:b/>
                <w:bCs/>
                <w:sz w:val="24"/>
              </w:rPr>
              <w:t>质量现状</w:t>
            </w:r>
          </w:p>
          <w:p>
            <w:pPr>
              <w:keepNext w:val="0"/>
              <w:keepLines w:val="0"/>
              <w:suppressLineNumbers w:val="0"/>
              <w:spacing w:before="0" w:beforeAutospacing="0" w:after="0" w:afterAutospacing="0" w:line="440" w:lineRule="exact"/>
              <w:ind w:left="0" w:right="0" w:firstLine="480" w:firstLineChars="200"/>
              <w:rPr>
                <w:rFonts w:hint="eastAsia"/>
                <w:color w:val="auto"/>
                <w:sz w:val="24"/>
              </w:rPr>
            </w:pPr>
            <w:r>
              <w:rPr>
                <w:rFonts w:hint="eastAsia"/>
                <w:color w:val="auto"/>
                <w:sz w:val="24"/>
              </w:rPr>
              <w:t>本项目不产生生产废水，生活污水经化粪池处理后</w:t>
            </w:r>
            <w:r>
              <w:rPr>
                <w:rFonts w:hint="eastAsia" w:ascii="Times New Roman" w:hAnsi="Times New Roman" w:eastAsia="宋体" w:cs="Times New Roman"/>
                <w:color w:val="auto"/>
                <w:sz w:val="24"/>
                <w:lang w:val="en-US" w:eastAsia="zh-CN"/>
              </w:rPr>
              <w:t>通过污水管网排入</w:t>
            </w:r>
            <w:r>
              <w:rPr>
                <w:rFonts w:hint="eastAsia" w:cs="Times New Roman"/>
                <w:color w:val="auto"/>
                <w:sz w:val="24"/>
                <w:lang w:val="en-US" w:eastAsia="zh-CN"/>
              </w:rPr>
              <w:t>新乡县综合污水处理厂</w:t>
            </w:r>
            <w:r>
              <w:rPr>
                <w:rFonts w:hint="eastAsia" w:ascii="Times New Roman" w:hAnsi="Times New Roman" w:eastAsia="宋体" w:cs="Times New Roman"/>
                <w:color w:val="auto"/>
                <w:sz w:val="24"/>
                <w:lang w:val="en-US" w:eastAsia="zh-CN"/>
              </w:rPr>
              <w:t>进一步处理</w:t>
            </w:r>
            <w:r>
              <w:rPr>
                <w:rFonts w:hint="eastAsia"/>
                <w:color w:val="auto"/>
                <w:sz w:val="24"/>
              </w:rPr>
              <w:t>，尾水排入</w:t>
            </w:r>
            <w:r>
              <w:rPr>
                <w:rFonts w:hint="eastAsia"/>
                <w:color w:val="auto"/>
                <w:sz w:val="24"/>
                <w:lang w:val="en-US" w:eastAsia="zh-CN"/>
              </w:rPr>
              <w:t>东孟姜女河</w:t>
            </w:r>
            <w:r>
              <w:rPr>
                <w:rFonts w:hint="eastAsia"/>
                <w:color w:val="auto"/>
                <w:sz w:val="24"/>
              </w:rPr>
              <w:t>。依据新乡市生态环境关于</w:t>
            </w:r>
            <w:r>
              <w:rPr>
                <w:rFonts w:hint="eastAsia" w:cs="Times New Roman"/>
                <w:color w:val="auto"/>
                <w:sz w:val="24"/>
                <w:szCs w:val="24"/>
                <w:lang w:val="en-US" w:eastAsia="zh-CN"/>
              </w:rPr>
              <w:t>下达</w:t>
            </w:r>
            <w:r>
              <w:rPr>
                <w:rFonts w:hint="default" w:ascii="Times New Roman" w:hAnsi="Times New Roman" w:eastAsia="宋体" w:cs="Times New Roman"/>
                <w:color w:val="auto"/>
                <w:sz w:val="24"/>
                <w:szCs w:val="24"/>
                <w:lang w:val="en-US" w:eastAsia="zh-CN"/>
              </w:rPr>
              <w:t>《202</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年地表水环境质量暂定目标》的函</w:t>
            </w:r>
            <w:r>
              <w:rPr>
                <w:rFonts w:hint="eastAsia"/>
                <w:color w:val="auto"/>
                <w:sz w:val="24"/>
              </w:rPr>
              <w:t>，</w:t>
            </w:r>
            <w:r>
              <w:rPr>
                <w:rFonts w:hint="eastAsia"/>
                <w:color w:val="auto"/>
                <w:sz w:val="24"/>
                <w:lang w:val="en-US" w:eastAsia="zh-CN"/>
              </w:rPr>
              <w:t>东</w:t>
            </w:r>
            <w:r>
              <w:rPr>
                <w:rFonts w:hint="eastAsia"/>
                <w:color w:val="auto"/>
                <w:sz w:val="24"/>
              </w:rPr>
              <w:t>孟姜女河</w:t>
            </w:r>
            <w:r>
              <w:rPr>
                <w:rFonts w:hint="eastAsia"/>
                <w:color w:val="auto"/>
                <w:sz w:val="24"/>
                <w:lang w:val="en-US" w:eastAsia="zh-CN"/>
              </w:rPr>
              <w:t>高新区</w:t>
            </w:r>
            <w:r>
              <w:rPr>
                <w:rFonts w:hint="eastAsia"/>
                <w:color w:val="auto"/>
                <w:sz w:val="24"/>
              </w:rPr>
              <w:t>内</w:t>
            </w:r>
            <w:r>
              <w:rPr>
                <w:rFonts w:hint="eastAsia"/>
                <w:color w:val="auto"/>
                <w:sz w:val="24"/>
                <w:lang w:val="en-US" w:eastAsia="zh-CN"/>
              </w:rPr>
              <w:t>南环桥</w:t>
            </w:r>
            <w:r>
              <w:rPr>
                <w:rFonts w:hint="eastAsia"/>
                <w:color w:val="auto"/>
                <w:sz w:val="24"/>
              </w:rPr>
              <w:t>断面202</w:t>
            </w:r>
            <w:r>
              <w:rPr>
                <w:rFonts w:hint="eastAsia"/>
                <w:color w:val="auto"/>
                <w:sz w:val="24"/>
                <w:lang w:val="en-US" w:eastAsia="zh-CN"/>
              </w:rPr>
              <w:t>2</w:t>
            </w:r>
            <w:r>
              <w:rPr>
                <w:rFonts w:hint="eastAsia"/>
                <w:color w:val="auto"/>
                <w:sz w:val="24"/>
              </w:rPr>
              <w:t>年地表水环境质量目标为IV</w:t>
            </w:r>
            <w:r>
              <w:rPr>
                <w:rFonts w:hint="eastAsia"/>
                <w:color w:val="auto"/>
                <w:sz w:val="24"/>
                <w:highlight w:val="none"/>
              </w:rPr>
              <w:t>类。本评价引用新乡市环境监测站对</w:t>
            </w:r>
            <w:r>
              <w:rPr>
                <w:rFonts w:hint="eastAsia"/>
                <w:color w:val="auto"/>
                <w:sz w:val="24"/>
                <w:lang w:val="en-US" w:eastAsia="zh-CN"/>
              </w:rPr>
              <w:t>南环桥断面</w:t>
            </w:r>
            <w:r>
              <w:rPr>
                <w:rFonts w:hint="eastAsia"/>
                <w:color w:val="auto"/>
                <w:sz w:val="24"/>
                <w:highlight w:val="none"/>
              </w:rPr>
              <w:t>202</w:t>
            </w:r>
            <w:r>
              <w:rPr>
                <w:rFonts w:hint="eastAsia"/>
                <w:color w:val="auto"/>
                <w:sz w:val="24"/>
                <w:highlight w:val="none"/>
                <w:lang w:val="en-US" w:eastAsia="zh-CN"/>
              </w:rPr>
              <w:t>2</w:t>
            </w:r>
            <w:r>
              <w:rPr>
                <w:rFonts w:hint="eastAsia"/>
                <w:color w:val="auto"/>
                <w:sz w:val="24"/>
                <w:highlight w:val="none"/>
              </w:rPr>
              <w:t>年</w:t>
            </w:r>
            <w:r>
              <w:rPr>
                <w:rFonts w:hint="eastAsia"/>
                <w:color w:val="auto"/>
                <w:sz w:val="24"/>
                <w:highlight w:val="none"/>
                <w:lang w:val="en-US" w:eastAsia="zh-CN"/>
              </w:rPr>
              <w:t>9</w:t>
            </w:r>
            <w:r>
              <w:rPr>
                <w:rFonts w:hint="eastAsia"/>
                <w:color w:val="auto"/>
                <w:sz w:val="24"/>
                <w:highlight w:val="none"/>
              </w:rPr>
              <w:t>月的监测数</w:t>
            </w:r>
            <w:r>
              <w:rPr>
                <w:rFonts w:hint="eastAsia"/>
                <w:color w:val="auto"/>
                <w:sz w:val="24"/>
              </w:rPr>
              <w:t>据，数据见下表。</w:t>
            </w:r>
          </w:p>
          <w:p>
            <w:pPr>
              <w:keepNext w:val="0"/>
              <w:keepLines w:val="0"/>
              <w:suppressLineNumbers w:val="0"/>
              <w:spacing w:before="0" w:beforeAutospacing="0" w:after="0" w:afterAutospacing="0" w:line="440" w:lineRule="exact"/>
              <w:ind w:left="0" w:right="0"/>
              <w:jc w:val="center"/>
              <w:rPr>
                <w:rFonts w:hint="default" w:eastAsia="黑体"/>
                <w:sz w:val="24"/>
              </w:rPr>
            </w:pPr>
            <w:r>
              <w:rPr>
                <w:rFonts w:hint="default" w:ascii="宋体" w:hAnsi="宋体"/>
                <w:b/>
                <w:color w:val="000000"/>
                <w:sz w:val="24"/>
              </w:rPr>
              <w:t>表</w:t>
            </w:r>
            <w:r>
              <w:rPr>
                <w:rFonts w:hint="eastAsia" w:ascii="宋体" w:hAnsi="宋体"/>
                <w:b/>
                <w:color w:val="000000"/>
                <w:sz w:val="24"/>
              </w:rPr>
              <w:t>1</w:t>
            </w:r>
            <w:r>
              <w:rPr>
                <w:rFonts w:hint="eastAsia" w:ascii="宋体" w:hAnsi="宋体"/>
                <w:b/>
                <w:color w:val="000000"/>
                <w:sz w:val="24"/>
                <w:lang w:val="en-US" w:eastAsia="zh-CN"/>
              </w:rPr>
              <w:t xml:space="preserve">8  </w:t>
            </w:r>
            <w:r>
              <w:rPr>
                <w:rFonts w:hint="eastAsia"/>
                <w:b/>
                <w:bCs/>
                <w:color w:val="auto"/>
                <w:sz w:val="24"/>
                <w:szCs w:val="24"/>
              </w:rPr>
              <w:t>东孟</w:t>
            </w:r>
            <w:r>
              <w:rPr>
                <w:rFonts w:hint="eastAsia"/>
                <w:b/>
                <w:bCs/>
                <w:color w:val="auto"/>
                <w:sz w:val="24"/>
                <w:szCs w:val="24"/>
                <w:lang w:val="en-US" w:eastAsia="zh-CN"/>
              </w:rPr>
              <w:t>南环桥</w:t>
            </w:r>
            <w:r>
              <w:rPr>
                <w:rFonts w:hint="default" w:ascii="Times New Roman" w:hAnsi="Times New Roman" w:eastAsia="宋体" w:cs="Times New Roman"/>
                <w:b/>
                <w:bCs/>
                <w:color w:val="000000"/>
                <w:sz w:val="24"/>
                <w:szCs w:val="24"/>
              </w:rPr>
              <w:t>断面监测数据</w:t>
            </w:r>
            <w:r>
              <w:rPr>
                <w:rFonts w:hint="default" w:ascii="Times New Roman" w:hAnsi="Times New Roman" w:eastAsia="宋体" w:cs="Times New Roman"/>
                <w:b/>
                <w:bCs/>
                <w:color w:val="000000"/>
                <w:sz w:val="24"/>
                <w:highlight w:val="none"/>
              </w:rPr>
              <w:t>（202</w:t>
            </w:r>
            <w:r>
              <w:rPr>
                <w:rFonts w:hint="eastAsia" w:cs="Times New Roman"/>
                <w:b/>
                <w:bCs/>
                <w:color w:val="000000"/>
                <w:sz w:val="24"/>
                <w:highlight w:val="none"/>
                <w:lang w:val="en-US" w:eastAsia="zh-CN"/>
              </w:rPr>
              <w:t>2</w:t>
            </w:r>
            <w:r>
              <w:rPr>
                <w:rFonts w:hint="default" w:ascii="Times New Roman" w:hAnsi="Times New Roman" w:eastAsia="宋体" w:cs="Times New Roman"/>
                <w:b/>
                <w:bCs/>
                <w:color w:val="000000"/>
                <w:sz w:val="24"/>
                <w:highlight w:val="none"/>
              </w:rPr>
              <w:t>年</w:t>
            </w:r>
            <w:r>
              <w:rPr>
                <w:rFonts w:hint="eastAsia" w:cs="Times New Roman"/>
                <w:b/>
                <w:bCs/>
                <w:color w:val="000000"/>
                <w:sz w:val="24"/>
                <w:highlight w:val="none"/>
                <w:lang w:val="en-US" w:eastAsia="zh-CN"/>
              </w:rPr>
              <w:t>9</w:t>
            </w:r>
            <w:r>
              <w:rPr>
                <w:rFonts w:hint="default" w:ascii="Times New Roman" w:hAnsi="Times New Roman" w:eastAsia="宋体" w:cs="Times New Roman"/>
                <w:b/>
                <w:bCs/>
                <w:color w:val="000000"/>
                <w:sz w:val="24"/>
                <w:highlight w:val="none"/>
              </w:rPr>
              <w:t xml:space="preserve">月） </w:t>
            </w:r>
            <w:r>
              <w:rPr>
                <w:rFonts w:hint="default" w:ascii="Times New Roman" w:hAnsi="Times New Roman" w:eastAsia="宋体" w:cs="Times New Roman"/>
                <w:b/>
                <w:bCs/>
                <w:color w:val="000000"/>
                <w:sz w:val="24"/>
              </w:rPr>
              <w:t xml:space="preserve"> 单位（mg/L）</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142"/>
              <w:gridCol w:w="2142"/>
              <w:gridCol w:w="21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tcBorders>
                    <w:top w:val="single" w:color="auto" w:sz="8" w:space="0"/>
                    <w:bottom w:val="single" w:color="auto" w:sz="8" w:space="0"/>
                    <w:right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监测因子</w:t>
                  </w:r>
                </w:p>
              </w:tc>
              <w:tc>
                <w:tcPr>
                  <w:tcW w:w="2142" w:type="dxa"/>
                  <w:tcBorders>
                    <w:top w:val="single" w:color="auto" w:sz="8" w:space="0"/>
                    <w:left w:val="single" w:color="auto" w:sz="8" w:space="0"/>
                    <w:bottom w:val="single" w:color="auto" w:sz="8" w:space="0"/>
                    <w:right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COD</w:t>
                  </w:r>
                </w:p>
              </w:tc>
              <w:tc>
                <w:tcPr>
                  <w:tcW w:w="2142" w:type="dxa"/>
                  <w:tcBorders>
                    <w:top w:val="single" w:color="auto" w:sz="8" w:space="0"/>
                    <w:left w:val="single" w:color="auto" w:sz="8" w:space="0"/>
                    <w:bottom w:val="single" w:color="auto" w:sz="8" w:space="0"/>
                    <w:right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NH</w:t>
                  </w:r>
                  <w:r>
                    <w:rPr>
                      <w:rFonts w:hint="default"/>
                      <w:b/>
                      <w:sz w:val="21"/>
                      <w:szCs w:val="21"/>
                      <w:vertAlign w:val="subscript"/>
                    </w:rPr>
                    <w:t>3</w:t>
                  </w:r>
                  <w:r>
                    <w:rPr>
                      <w:rFonts w:hint="default"/>
                      <w:b/>
                      <w:sz w:val="21"/>
                      <w:szCs w:val="21"/>
                    </w:rPr>
                    <w:t>-N</w:t>
                  </w:r>
                </w:p>
              </w:tc>
              <w:tc>
                <w:tcPr>
                  <w:tcW w:w="2142" w:type="dxa"/>
                  <w:tcBorders>
                    <w:top w:val="single" w:color="auto" w:sz="8" w:space="0"/>
                    <w:left w:val="single" w:color="auto" w:sz="8" w:space="0"/>
                    <w:bottom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b/>
                      <w:sz w:val="21"/>
                      <w:szCs w:val="21"/>
                    </w:rPr>
                  </w:pPr>
                  <w:r>
                    <w:rPr>
                      <w:rFonts w:hint="default"/>
                      <w:b/>
                      <w:sz w:val="21"/>
                      <w:szCs w:val="21"/>
                    </w:rPr>
                    <w:t>TP</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2139" w:type="dxa"/>
                  <w:tcBorders>
                    <w:top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hAnsi="宋体"/>
                      <w:sz w:val="21"/>
                      <w:szCs w:val="21"/>
                    </w:rPr>
                    <w:t>监测数据</w:t>
                  </w:r>
                </w:p>
              </w:tc>
              <w:tc>
                <w:tcPr>
                  <w:tcW w:w="2142" w:type="dxa"/>
                  <w:tcBorders>
                    <w:top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21.30</w:t>
                  </w:r>
                </w:p>
              </w:tc>
              <w:tc>
                <w:tcPr>
                  <w:tcW w:w="2142" w:type="dxa"/>
                  <w:tcBorders>
                    <w:top w:val="single" w:color="auto" w:sz="8"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0.99</w:t>
                  </w:r>
                </w:p>
              </w:tc>
              <w:tc>
                <w:tcPr>
                  <w:tcW w:w="2142" w:type="dxa"/>
                  <w:tcBorders>
                    <w:top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0.195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noWrap/>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hAnsi="宋体"/>
                      <w:sz w:val="21"/>
                      <w:szCs w:val="21"/>
                    </w:rPr>
                    <w:t>执行标准</w:t>
                  </w:r>
                </w:p>
              </w:tc>
              <w:tc>
                <w:tcPr>
                  <w:tcW w:w="2142" w:type="dxa"/>
                  <w:noWrap/>
                  <w:vAlign w:val="center"/>
                </w:tcPr>
                <w:p>
                  <w:pPr>
                    <w:keepNext w:val="0"/>
                    <w:keepLines w:val="0"/>
                    <w:suppressLineNumbers w:val="0"/>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30</w:t>
                  </w:r>
                </w:p>
              </w:tc>
              <w:tc>
                <w:tcPr>
                  <w:tcW w:w="2142" w:type="dxa"/>
                  <w:tcBorders>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1.5</w:t>
                  </w:r>
                </w:p>
              </w:tc>
              <w:tc>
                <w:tcPr>
                  <w:tcW w:w="2142" w:type="dxa"/>
                  <w:noWrap/>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eastAsia"/>
                      <w:sz w:val="21"/>
                      <w:szCs w:val="21"/>
                    </w:rPr>
                    <w:t>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9" w:type="dxa"/>
                  <w:tcBorders>
                    <w:bottom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default"/>
                      <w:sz w:val="21"/>
                      <w:szCs w:val="21"/>
                    </w:rPr>
                  </w:pPr>
                  <w:r>
                    <w:rPr>
                      <w:rFonts w:hint="default" w:hAnsi="宋体"/>
                      <w:sz w:val="21"/>
                      <w:szCs w:val="21"/>
                    </w:rPr>
                    <w:t>达标情况</w:t>
                  </w:r>
                </w:p>
              </w:tc>
              <w:tc>
                <w:tcPr>
                  <w:tcW w:w="2142" w:type="dxa"/>
                  <w:tcBorders>
                    <w:bottom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hAnsi="宋体"/>
                      <w:sz w:val="21"/>
                      <w:szCs w:val="21"/>
                      <w:lang w:val="en-US" w:eastAsia="zh-CN"/>
                    </w:rPr>
                    <w:t>达标</w:t>
                  </w:r>
                </w:p>
              </w:tc>
              <w:tc>
                <w:tcPr>
                  <w:tcW w:w="2142" w:type="dxa"/>
                  <w:tcBorders>
                    <w:bottom w:val="single" w:color="auto" w:sz="8" w:space="0"/>
                    <w:right w:val="single" w:color="auto" w:sz="4"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hAnsi="宋体"/>
                      <w:sz w:val="21"/>
                      <w:szCs w:val="21"/>
                      <w:lang w:val="en-US" w:eastAsia="zh-CN"/>
                    </w:rPr>
                    <w:t>达标</w:t>
                  </w:r>
                </w:p>
              </w:tc>
              <w:tc>
                <w:tcPr>
                  <w:tcW w:w="2142" w:type="dxa"/>
                  <w:tcBorders>
                    <w:bottom w:val="single" w:color="auto" w:sz="8" w:space="0"/>
                  </w:tcBorders>
                  <w:noWrap/>
                  <w:vAlign w:val="center"/>
                </w:tcPr>
                <w:p>
                  <w:pPr>
                    <w:keepNext w:val="0"/>
                    <w:keepLines w:val="0"/>
                    <w:suppressLineNumbers w:val="0"/>
                    <w:adjustRightInd w:val="0"/>
                    <w:snapToGrid w:val="0"/>
                    <w:spacing w:before="0" w:beforeAutospacing="0" w:after="0" w:afterAutospacing="0"/>
                    <w:ind w:left="0" w:right="0"/>
                    <w:jc w:val="center"/>
                    <w:rPr>
                      <w:rFonts w:hint="eastAsia" w:eastAsia="宋体"/>
                      <w:sz w:val="21"/>
                      <w:szCs w:val="21"/>
                      <w:lang w:eastAsia="zh-CN"/>
                    </w:rPr>
                  </w:pPr>
                  <w:r>
                    <w:rPr>
                      <w:rFonts w:hint="eastAsia" w:hAnsi="宋体"/>
                      <w:sz w:val="21"/>
                      <w:szCs w:val="21"/>
                      <w:lang w:val="en-US" w:eastAsia="zh-CN"/>
                    </w:rPr>
                    <w:t>达标</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由上</w:t>
            </w:r>
            <w:r>
              <w:rPr>
                <w:rFonts w:hint="default" w:ascii="Times New Roman" w:hAnsi="Times New Roman" w:eastAsia="宋体" w:cs="Times New Roman"/>
                <w:color w:val="auto"/>
                <w:sz w:val="24"/>
              </w:rPr>
              <w:t>表可知，202</w:t>
            </w:r>
            <w:r>
              <w:rPr>
                <w:rFonts w:hint="eastAsia" w:cs="Times New Roman"/>
                <w:color w:val="auto"/>
                <w:sz w:val="24"/>
                <w:lang w:val="en-US" w:eastAsia="zh-CN"/>
              </w:rPr>
              <w:t>2</w:t>
            </w:r>
            <w:r>
              <w:rPr>
                <w:rFonts w:hint="default" w:ascii="Times New Roman" w:hAnsi="Times New Roman" w:eastAsia="宋体" w:cs="Times New Roman"/>
                <w:color w:val="auto"/>
                <w:sz w:val="24"/>
              </w:rPr>
              <w:t>年</w:t>
            </w:r>
            <w:r>
              <w:rPr>
                <w:rFonts w:hint="eastAsia" w:cs="Times New Roman"/>
                <w:color w:val="auto"/>
                <w:sz w:val="24"/>
                <w:lang w:val="en-US" w:eastAsia="zh-CN"/>
              </w:rPr>
              <w:t>9</w:t>
            </w:r>
            <w:r>
              <w:rPr>
                <w:rFonts w:hint="default" w:ascii="Times New Roman" w:hAnsi="Times New Roman" w:eastAsia="宋体" w:cs="Times New Roman"/>
                <w:color w:val="auto"/>
                <w:sz w:val="24"/>
              </w:rPr>
              <w:t>月</w:t>
            </w:r>
            <w:r>
              <w:rPr>
                <w:rFonts w:hint="eastAsia"/>
                <w:color w:val="auto"/>
                <w:sz w:val="24"/>
              </w:rPr>
              <w:t>东孟</w:t>
            </w:r>
            <w:r>
              <w:rPr>
                <w:rFonts w:hint="eastAsia"/>
                <w:color w:val="auto"/>
                <w:sz w:val="24"/>
                <w:lang w:val="en-US" w:eastAsia="zh-CN"/>
              </w:rPr>
              <w:t>南环桥</w:t>
            </w:r>
            <w:r>
              <w:rPr>
                <w:rFonts w:hint="default" w:ascii="Times New Roman" w:hAnsi="Times New Roman" w:eastAsia="宋体" w:cs="Times New Roman"/>
                <w:color w:val="auto"/>
                <w:sz w:val="24"/>
              </w:rPr>
              <w:t>断面数据COD</w:t>
            </w:r>
            <w:r>
              <w:rPr>
                <w:rFonts w:hint="eastAsia" w:cs="Times New Roman"/>
                <w:color w:val="auto"/>
                <w:sz w:val="24"/>
                <w:lang w:eastAsia="zh-CN"/>
              </w:rPr>
              <w:t>、</w:t>
            </w:r>
            <w:r>
              <w:rPr>
                <w:rFonts w:hint="default" w:ascii="Times New Roman" w:hAnsi="Times New Roman" w:eastAsia="宋体" w:cs="Times New Roman"/>
                <w:color w:val="auto"/>
                <w:sz w:val="24"/>
              </w:rPr>
              <w:t>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-N、TP均</w:t>
            </w:r>
            <w:r>
              <w:rPr>
                <w:rFonts w:hint="eastAsia" w:cs="Times New Roman"/>
                <w:color w:val="auto"/>
                <w:sz w:val="24"/>
                <w:lang w:val="en-US" w:eastAsia="zh-CN"/>
              </w:rPr>
              <w:t>达标</w:t>
            </w:r>
            <w:r>
              <w:rPr>
                <w:rFonts w:hint="default" w:ascii="Times New Roman" w:hAnsi="Times New Roman" w:eastAsia="宋体" w:cs="Times New Roman"/>
                <w:color w:val="auto"/>
                <w:sz w:val="24"/>
              </w:rPr>
              <w:t>。目前新乡市正在推进实施</w:t>
            </w:r>
            <w:r>
              <w:rPr>
                <w:rFonts w:hint="eastAsia" w:ascii="宋体" w:hAnsi="宋体"/>
                <w:color w:val="auto"/>
                <w:sz w:val="24"/>
              </w:rPr>
              <w:t>《</w:t>
            </w:r>
            <w:r>
              <w:rPr>
                <w:rFonts w:hint="default" w:ascii="Times New Roman" w:hAnsi="Times New Roman" w:eastAsia="宋体" w:cs="Times New Roman"/>
                <w:color w:val="auto"/>
                <w:sz w:val="24"/>
                <w:lang w:val="en-US" w:eastAsia="zh-CN"/>
              </w:rPr>
              <w:t>新乡市</w:t>
            </w:r>
            <w:r>
              <w:rPr>
                <w:rFonts w:hint="default" w:ascii="Times New Roman" w:hAnsi="Times New Roman" w:eastAsia="宋体" w:cs="Times New Roman"/>
                <w:color w:val="auto"/>
                <w:sz w:val="24"/>
                <w:lang w:val="pt-BR"/>
              </w:rPr>
              <w:t>污染防治攻坚战领导小组办公室</w:t>
            </w:r>
            <w:r>
              <w:rPr>
                <w:rFonts w:hint="eastAsia" w:ascii="宋体" w:hAnsi="宋体"/>
                <w:color w:val="auto"/>
                <w:sz w:val="24"/>
              </w:rPr>
              <w:t>关</w:t>
            </w:r>
            <w:r>
              <w:rPr>
                <w:rFonts w:hint="eastAsia" w:ascii="宋体" w:hAnsi="宋体"/>
                <w:color w:val="000000"/>
                <w:sz w:val="24"/>
              </w:rPr>
              <w:t>于</w:t>
            </w:r>
            <w:r>
              <w:rPr>
                <w:rFonts w:hint="default" w:ascii="Times New Roman" w:hAnsi="Times New Roman" w:cs="Times New Roman"/>
                <w:color w:val="000000"/>
                <w:sz w:val="24"/>
              </w:rPr>
              <w:t>印发新乡市2022年大气、水、土壤污</w:t>
            </w:r>
            <w:r>
              <w:rPr>
                <w:rFonts w:hint="eastAsia" w:ascii="宋体" w:hAnsi="宋体"/>
                <w:color w:val="000000"/>
                <w:sz w:val="24"/>
              </w:rPr>
              <w:t>染防治攻坚战及农业农村污染治理攻坚战实施方案的通知》</w:t>
            </w:r>
            <w:r>
              <w:rPr>
                <w:rFonts w:hint="default" w:ascii="Times New Roman" w:hAnsi="Times New Roman" w:cs="Times New Roman"/>
                <w:color w:val="000000"/>
                <w:sz w:val="24"/>
              </w:rPr>
              <w:t>（新环攻坚办〔2022〕60号）</w:t>
            </w:r>
            <w:r>
              <w:rPr>
                <w:rFonts w:hint="default" w:ascii="Times New Roman" w:hAnsi="Times New Roman" w:eastAsia="宋体" w:cs="Times New Roman"/>
                <w:color w:val="000000"/>
                <w:sz w:val="24"/>
              </w:rPr>
              <w:t>，将继续改善新乡市水环境质量。</w:t>
            </w:r>
          </w:p>
          <w:p>
            <w:pPr>
              <w:keepNext w:val="0"/>
              <w:keepLines w:val="0"/>
              <w:suppressLineNumbers w:val="0"/>
              <w:adjustRightInd w:val="0"/>
              <w:snapToGrid w:val="0"/>
              <w:spacing w:before="0" w:beforeAutospacing="0" w:after="0" w:afterAutospacing="0" w:line="440" w:lineRule="exact"/>
              <w:ind w:left="0" w:right="0" w:firstLine="479" w:firstLineChars="199"/>
              <w:jc w:val="left"/>
              <w:rPr>
                <w:rFonts w:hint="eastAsia" w:eastAsia="宋体"/>
                <w:b/>
                <w:color w:val="auto"/>
                <w:sz w:val="24"/>
                <w:lang w:val="en-US" w:eastAsia="zh-CN"/>
              </w:rPr>
            </w:pPr>
            <w:r>
              <w:rPr>
                <w:rFonts w:hint="eastAsia"/>
                <w:b/>
                <w:color w:val="auto"/>
                <w:sz w:val="24"/>
              </w:rPr>
              <w:t>3</w:t>
            </w:r>
            <w:r>
              <w:rPr>
                <w:rFonts w:hint="default"/>
                <w:b/>
                <w:color w:val="auto"/>
                <w:sz w:val="24"/>
              </w:rPr>
              <w:t>、声环境</w:t>
            </w:r>
            <w:r>
              <w:rPr>
                <w:rFonts w:hint="eastAsia"/>
                <w:b/>
                <w:color w:val="auto"/>
                <w:sz w:val="24"/>
                <w:lang w:val="en-US" w:eastAsia="zh-CN"/>
              </w:rPr>
              <w:t>现状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sz w:val="24"/>
                <w:lang w:val="en-US" w:eastAsia="zh-CN"/>
              </w:rPr>
            </w:pPr>
            <w:r>
              <w:rPr>
                <w:rFonts w:hint="default"/>
                <w:color w:val="auto"/>
                <w:sz w:val="24"/>
              </w:rPr>
              <w:t>本项目建设所在区域为3类声环境功能区，各厂界应执行《声环境质量标准》（GB3096-2008）3类标准（昼间≤65dB（A）夜间≤55B（A））。厂界外周边50米范围内不存在声环境保护目标。</w:t>
            </w:r>
            <w:r>
              <w:rPr>
                <w:rFonts w:hint="eastAsia"/>
                <w:color w:val="FF0000"/>
                <w:sz w:val="24"/>
                <w:lang w:val="en-US" w:eastAsia="zh-CN"/>
              </w:rPr>
              <w:t xml:space="preserve"> </w:t>
            </w:r>
            <w:r>
              <w:rPr>
                <w:rFonts w:hint="eastAsia"/>
                <w:sz w:val="24"/>
                <w:lang w:val="en-US" w:eastAsia="zh-CN"/>
              </w:rPr>
              <w:t xml:space="preserve">  </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r>
              <w:rPr>
                <w:rFonts w:hint="eastAsia"/>
                <w:lang w:val="en-US" w:eastAsia="zh-CN"/>
              </w:rPr>
              <w:t xml:space="preserve">   </w:t>
            </w:r>
            <w:r>
              <w:rPr>
                <w:rFonts w:hint="eastAsia" w:ascii="宋体" w:hAnsi="宋体" w:eastAsia="宋体" w:cs="宋体"/>
                <w:b/>
                <w:bCs/>
                <w:sz w:val="24"/>
                <w:szCs w:val="24"/>
                <w:lang w:val="en-US" w:eastAsia="zh-CN"/>
              </w:rPr>
              <w:t xml:space="preserve"> 4、生态环境</w:t>
            </w:r>
          </w:p>
          <w:p>
            <w:pPr>
              <w:keepNext w:val="0"/>
              <w:keepLines w:val="0"/>
              <w:suppressLineNumbers w:val="0"/>
              <w:spacing w:before="0" w:beforeAutospacing="0" w:after="0" w:afterAutospacing="0" w:line="440" w:lineRule="exact"/>
              <w:ind w:left="0" w:right="0" w:firstLine="480" w:firstLineChars="200"/>
              <w:rPr>
                <w:rFonts w:hint="eastAsia" w:eastAsia="宋体"/>
                <w:color w:val="auto"/>
                <w:sz w:val="24"/>
                <w:lang w:eastAsia="zh-CN"/>
              </w:rPr>
            </w:pPr>
            <w:r>
              <w:rPr>
                <w:rFonts w:hint="default"/>
                <w:color w:val="auto"/>
                <w:sz w:val="24"/>
              </w:rPr>
              <w:t>根据现场调查，本项目位于河南省新乡市</w:t>
            </w:r>
            <w:r>
              <w:rPr>
                <w:rFonts w:hint="eastAsia"/>
                <w:color w:val="auto"/>
                <w:sz w:val="24"/>
              </w:rPr>
              <w:t>新乡县</w:t>
            </w:r>
            <w:r>
              <w:rPr>
                <w:rFonts w:hint="eastAsia" w:ascii="宋体" w:hAnsi="宋体" w:cs="宋体"/>
                <w:sz w:val="24"/>
                <w:szCs w:val="24"/>
                <w:lang w:val="en-US" w:eastAsia="zh-CN"/>
              </w:rPr>
              <w:t>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default"/>
                <w:color w:val="auto"/>
                <w:sz w:val="24"/>
              </w:rPr>
              <w:t>，</w:t>
            </w:r>
            <w:r>
              <w:rPr>
                <w:rFonts w:hint="default"/>
                <w:bCs/>
                <w:color w:val="auto"/>
                <w:sz w:val="24"/>
              </w:rPr>
              <w:t>项目</w:t>
            </w:r>
            <w:r>
              <w:rPr>
                <w:rFonts w:hint="default"/>
                <w:color w:val="auto"/>
                <w:sz w:val="24"/>
              </w:rPr>
              <w:t>周围主要为工厂</w:t>
            </w:r>
            <w:r>
              <w:rPr>
                <w:rFonts w:hint="eastAsia"/>
                <w:iCs/>
                <w:color w:val="auto"/>
                <w:sz w:val="24"/>
              </w:rPr>
              <w:t>，</w:t>
            </w:r>
            <w:r>
              <w:rPr>
                <w:rFonts w:hint="default"/>
                <w:color w:val="auto"/>
                <w:sz w:val="24"/>
              </w:rPr>
              <w:t>项目周围500m范围内无重点保护的野生动植物、风景名胜区、自然保护区及文化遗产等特殊保护目标</w:t>
            </w:r>
            <w:r>
              <w:rPr>
                <w:rFonts w:hint="eastAsia"/>
                <w:color w:val="auto"/>
                <w:sz w:val="24"/>
                <w:lang w:eastAsia="zh-CN"/>
              </w:rPr>
              <w:t>。</w:t>
            </w:r>
          </w:p>
          <w:p>
            <w:pPr>
              <w:keepNext w:val="0"/>
              <w:keepLines w:val="0"/>
              <w:suppressLineNumbers w:val="0"/>
              <w:spacing w:before="0" w:beforeAutospacing="0" w:after="0" w:afterAutospacing="0" w:line="440" w:lineRule="exact"/>
              <w:ind w:left="0" w:right="0" w:firstLine="482" w:firstLineChars="200"/>
              <w:rPr>
                <w:rFonts w:hint="eastAsia"/>
                <w:b/>
                <w:bCs/>
                <w:color w:val="auto"/>
                <w:sz w:val="24"/>
                <w:lang w:val="en-US" w:eastAsia="zh-CN"/>
              </w:rPr>
            </w:pPr>
            <w:r>
              <w:rPr>
                <w:rFonts w:hint="eastAsia"/>
                <w:b/>
                <w:bCs/>
                <w:color w:val="auto"/>
                <w:sz w:val="24"/>
                <w:lang w:val="en-US" w:eastAsia="zh-CN"/>
              </w:rPr>
              <w:t>5、地下水、土壤质量现状</w:t>
            </w:r>
          </w:p>
          <w:p>
            <w:pPr>
              <w:keepNext w:val="0"/>
              <w:keepLines w:val="0"/>
              <w:suppressLineNumbers w:val="0"/>
              <w:spacing w:before="0" w:beforeAutospacing="0" w:after="0" w:afterAutospacing="0" w:line="440" w:lineRule="exact"/>
              <w:ind w:left="0" w:right="0" w:firstLine="480" w:firstLineChars="200"/>
              <w:rPr>
                <w:rFonts w:hint="default"/>
                <w:lang w:val="en-US" w:eastAsia="zh-CN"/>
              </w:rPr>
            </w:pPr>
            <w:r>
              <w:rPr>
                <w:rFonts w:hint="default"/>
                <w:color w:val="auto"/>
                <w:sz w:val="24"/>
              </w:rPr>
              <w:t>根据《建设项目环境影响报告表编制技术指南（污染影响类）》（试行）中要求：“原则上不开展地下水、土壤环境质量现状调查”，结合本项目厂址所在区域，经调查周边无饮用水井，且项目用地范围内均进行了硬化，不存在土壤污染途径，因此，本次评价不对地下水、土壤环境进行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2" w:hRule="atLeast"/>
          <w:jc w:val="center"/>
        </w:trPr>
        <w:tc>
          <w:tcPr>
            <w:tcW w:w="8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目标</w:t>
            </w:r>
          </w:p>
        </w:tc>
        <w:tc>
          <w:tcPr>
            <w:tcW w:w="8190" w:type="dxa"/>
            <w:noWrap w:val="0"/>
            <w:vAlign w:val="top"/>
          </w:tcPr>
          <w:p>
            <w:pPr>
              <w:keepNext w:val="0"/>
              <w:keepLines w:val="0"/>
              <w:suppressLineNumbers w:val="0"/>
              <w:tabs>
                <w:tab w:val="left" w:pos="3230"/>
              </w:tabs>
              <w:adjustRightInd w:val="0"/>
              <w:snapToGrid w:val="0"/>
              <w:spacing w:before="0" w:beforeAutospacing="0" w:after="0" w:afterAutospacing="0" w:line="440" w:lineRule="exact"/>
              <w:ind w:left="0" w:right="0" w:firstLine="480" w:firstLineChars="200"/>
              <w:rPr>
                <w:rFonts w:hint="default"/>
                <w:sz w:val="24"/>
              </w:rPr>
            </w:pPr>
            <w:r>
              <w:rPr>
                <w:rFonts w:hint="eastAsia"/>
                <w:sz w:val="24"/>
              </w:rPr>
              <w:t>本项目周围主要环境保护目标见下表。</w:t>
            </w:r>
          </w:p>
          <w:p>
            <w:pPr>
              <w:keepNext w:val="0"/>
              <w:keepLines w:val="0"/>
              <w:suppressLineNumbers w:val="0"/>
              <w:spacing w:before="0" w:beforeAutospacing="0" w:after="0" w:afterAutospacing="0" w:line="440" w:lineRule="exact"/>
              <w:ind w:left="0" w:right="0"/>
              <w:jc w:val="center"/>
              <w:rPr>
                <w:rFonts w:hint="default" w:ascii="宋体" w:hAnsi="宋体"/>
                <w:b/>
                <w:color w:val="000000"/>
                <w:sz w:val="24"/>
              </w:rPr>
            </w:pPr>
            <w:r>
              <w:rPr>
                <w:rFonts w:hint="default" w:ascii="宋体" w:hAnsi="宋体"/>
                <w:b/>
                <w:color w:val="000000"/>
                <w:sz w:val="24"/>
              </w:rPr>
              <w:t>表</w:t>
            </w:r>
            <w:r>
              <w:rPr>
                <w:rFonts w:hint="eastAsia" w:ascii="宋体" w:hAnsi="宋体"/>
                <w:b/>
                <w:color w:val="000000"/>
                <w:sz w:val="24"/>
                <w:lang w:val="en-US" w:eastAsia="zh-CN"/>
              </w:rPr>
              <w:t xml:space="preserve">19  </w:t>
            </w:r>
            <w:r>
              <w:rPr>
                <w:rFonts w:hint="default" w:ascii="宋体" w:hAnsi="宋体"/>
                <w:b/>
                <w:color w:val="000000"/>
                <w:sz w:val="24"/>
              </w:rPr>
              <w:t>本项目周围环境保护目标概况</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311"/>
              <w:gridCol w:w="1663"/>
              <w:gridCol w:w="851"/>
              <w:gridCol w:w="1866"/>
              <w:gridCol w:w="287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11" w:type="dxa"/>
                  <w:tcBorders>
                    <w:tl2br w:val="nil"/>
                    <w:tr2bl w:val="nil"/>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环境要素</w:t>
                  </w:r>
                </w:p>
              </w:tc>
              <w:tc>
                <w:tcPr>
                  <w:tcW w:w="1663" w:type="dxa"/>
                  <w:tcBorders>
                    <w:tl2br w:val="nil"/>
                    <w:tr2bl w:val="nil"/>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环境保护目标</w:t>
                  </w:r>
                </w:p>
              </w:tc>
              <w:tc>
                <w:tcPr>
                  <w:tcW w:w="851" w:type="dxa"/>
                  <w:tcBorders>
                    <w:tl2br w:val="nil"/>
                    <w:tr2bl w:val="nil"/>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方</w:t>
                  </w:r>
                  <w:r>
                    <w:rPr>
                      <w:rFonts w:hint="default"/>
                      <w:b/>
                      <w:color w:val="auto"/>
                      <w:sz w:val="21"/>
                      <w:szCs w:val="21"/>
                    </w:rPr>
                    <w:t xml:space="preserve"> </w:t>
                  </w:r>
                  <w:r>
                    <w:rPr>
                      <w:rFonts w:hint="default" w:hAnsi="宋体"/>
                      <w:b/>
                      <w:color w:val="auto"/>
                      <w:sz w:val="21"/>
                      <w:szCs w:val="21"/>
                    </w:rPr>
                    <w:t>向</w:t>
                  </w:r>
                </w:p>
              </w:tc>
              <w:tc>
                <w:tcPr>
                  <w:tcW w:w="1866" w:type="dxa"/>
                  <w:tcBorders>
                    <w:tl2br w:val="nil"/>
                    <w:tr2bl w:val="nil"/>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距</w:t>
                  </w:r>
                  <w:r>
                    <w:rPr>
                      <w:rFonts w:hint="default"/>
                      <w:b/>
                      <w:color w:val="auto"/>
                      <w:sz w:val="21"/>
                      <w:szCs w:val="21"/>
                    </w:rPr>
                    <w:t xml:space="preserve"> </w:t>
                  </w:r>
                  <w:r>
                    <w:rPr>
                      <w:rFonts w:hint="default" w:hAnsi="宋体"/>
                      <w:b/>
                      <w:color w:val="auto"/>
                      <w:sz w:val="21"/>
                      <w:szCs w:val="21"/>
                    </w:rPr>
                    <w:t>离</w:t>
                  </w:r>
                </w:p>
              </w:tc>
              <w:tc>
                <w:tcPr>
                  <w:tcW w:w="2874" w:type="dxa"/>
                  <w:tcBorders>
                    <w:tl2br w:val="nil"/>
                    <w:tr2bl w:val="nil"/>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保护级别</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11" w:type="dxa"/>
                  <w:tcBorders>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eastAsia"/>
                      <w:color w:val="auto"/>
                      <w:sz w:val="21"/>
                      <w:szCs w:val="21"/>
                    </w:rPr>
                  </w:pPr>
                  <w:r>
                    <w:rPr>
                      <w:rFonts w:hint="default" w:hAnsi="宋体"/>
                      <w:color w:val="auto"/>
                      <w:sz w:val="21"/>
                      <w:szCs w:val="21"/>
                    </w:rPr>
                    <w:t>环境空气</w:t>
                  </w:r>
                </w:p>
              </w:tc>
              <w:tc>
                <w:tcPr>
                  <w:tcW w:w="4380" w:type="dxa"/>
                  <w:gridSpan w:val="3"/>
                  <w:tcBorders>
                    <w:left w:val="single" w:color="auto" w:sz="4" w:space="0"/>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本项目</w:t>
                  </w:r>
                  <w:r>
                    <w:rPr>
                      <w:rFonts w:hint="eastAsia"/>
                      <w:color w:val="auto"/>
                      <w:sz w:val="21"/>
                      <w:szCs w:val="21"/>
                    </w:rPr>
                    <w:t>周边50</w:t>
                  </w:r>
                  <w:r>
                    <w:rPr>
                      <w:rFonts w:hint="eastAsia"/>
                      <w:color w:val="auto"/>
                      <w:sz w:val="21"/>
                      <w:szCs w:val="21"/>
                      <w:lang w:val="en-US" w:eastAsia="zh-CN"/>
                    </w:rPr>
                    <w:t>0</w:t>
                  </w:r>
                  <w:r>
                    <w:rPr>
                      <w:rFonts w:hint="eastAsia"/>
                      <w:color w:val="auto"/>
                      <w:sz w:val="21"/>
                      <w:szCs w:val="21"/>
                    </w:rPr>
                    <w:t>米范围内</w:t>
                  </w:r>
                  <w:r>
                    <w:rPr>
                      <w:rFonts w:hint="eastAsia"/>
                      <w:color w:val="auto"/>
                      <w:sz w:val="21"/>
                      <w:szCs w:val="21"/>
                      <w:lang w:val="en-US" w:eastAsia="zh-CN"/>
                    </w:rPr>
                    <w:t>无环境空气</w:t>
                  </w:r>
                  <w:r>
                    <w:rPr>
                      <w:rFonts w:hint="eastAsia"/>
                      <w:color w:val="auto"/>
                      <w:sz w:val="21"/>
                      <w:szCs w:val="21"/>
                    </w:rPr>
                    <w:t>保护目标</w:t>
                  </w:r>
                </w:p>
              </w:tc>
              <w:tc>
                <w:tcPr>
                  <w:tcW w:w="2874" w:type="dxa"/>
                  <w:tcBorders>
                    <w:left w:val="single" w:color="auto" w:sz="4" w:space="0"/>
                    <w:bottom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11" w:type="dxa"/>
                  <w:tcBorders>
                    <w:top w:val="single" w:color="auto" w:sz="4" w:space="0"/>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hAnsi="宋体"/>
                      <w:color w:val="auto"/>
                      <w:sz w:val="21"/>
                      <w:szCs w:val="21"/>
                    </w:rPr>
                  </w:pPr>
                  <w:r>
                    <w:rPr>
                      <w:rFonts w:hint="eastAsia"/>
                      <w:sz w:val="21"/>
                      <w:szCs w:val="21"/>
                      <w:lang w:val="en-US" w:eastAsia="zh-CN"/>
                    </w:rPr>
                    <w:t>地表水环境</w:t>
                  </w:r>
                </w:p>
              </w:tc>
              <w:tc>
                <w:tcPr>
                  <w:tcW w:w="438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本项目</w:t>
                  </w:r>
                  <w:r>
                    <w:rPr>
                      <w:rFonts w:hint="eastAsia"/>
                      <w:color w:val="auto"/>
                      <w:sz w:val="21"/>
                      <w:szCs w:val="21"/>
                    </w:rPr>
                    <w:t>周边</w:t>
                  </w:r>
                  <w:r>
                    <w:rPr>
                      <w:rFonts w:hint="eastAsia"/>
                      <w:color w:val="auto"/>
                      <w:sz w:val="21"/>
                      <w:szCs w:val="21"/>
                      <w:lang w:val="en-US" w:eastAsia="zh-CN"/>
                    </w:rPr>
                    <w:t>500</w:t>
                  </w:r>
                  <w:r>
                    <w:rPr>
                      <w:rFonts w:hint="eastAsia"/>
                      <w:color w:val="auto"/>
                      <w:sz w:val="21"/>
                      <w:szCs w:val="21"/>
                    </w:rPr>
                    <w:t>米范围内</w:t>
                  </w:r>
                  <w:r>
                    <w:rPr>
                      <w:rFonts w:hint="eastAsia"/>
                      <w:color w:val="auto"/>
                      <w:sz w:val="21"/>
                      <w:szCs w:val="21"/>
                      <w:lang w:val="en-US" w:eastAsia="zh-CN"/>
                    </w:rPr>
                    <w:t>无地表水</w:t>
                  </w:r>
                  <w:r>
                    <w:rPr>
                      <w:rFonts w:hint="eastAsia"/>
                      <w:color w:val="auto"/>
                      <w:sz w:val="21"/>
                      <w:szCs w:val="21"/>
                    </w:rPr>
                    <w:t>保护目标</w:t>
                  </w:r>
                </w:p>
              </w:tc>
              <w:tc>
                <w:tcPr>
                  <w:tcW w:w="2874" w:type="dxa"/>
                  <w:tcBorders>
                    <w:top w:val="single" w:color="auto" w:sz="4" w:space="0"/>
                    <w:left w:val="single" w:color="auto" w:sz="4" w:space="0"/>
                    <w:bottom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11" w:type="dxa"/>
                  <w:tcBorders>
                    <w:top w:val="single" w:color="auto" w:sz="4" w:space="0"/>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rPr>
                    <w:t>环境噪声</w:t>
                  </w:r>
                </w:p>
              </w:tc>
              <w:tc>
                <w:tcPr>
                  <w:tcW w:w="4380"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lang w:val="en-US" w:eastAsia="zh-CN"/>
                    </w:rPr>
                    <w:t>本项目</w:t>
                  </w:r>
                  <w:r>
                    <w:rPr>
                      <w:rFonts w:hint="eastAsia"/>
                      <w:color w:val="auto"/>
                      <w:sz w:val="21"/>
                      <w:szCs w:val="21"/>
                    </w:rPr>
                    <w:t>周边50米范围内</w:t>
                  </w:r>
                  <w:r>
                    <w:rPr>
                      <w:rFonts w:hint="eastAsia"/>
                      <w:color w:val="auto"/>
                      <w:sz w:val="21"/>
                      <w:szCs w:val="21"/>
                      <w:lang w:val="en-US" w:eastAsia="zh-CN"/>
                    </w:rPr>
                    <w:t>无</w:t>
                  </w:r>
                  <w:r>
                    <w:rPr>
                      <w:rFonts w:hint="eastAsia"/>
                      <w:color w:val="auto"/>
                      <w:sz w:val="21"/>
                      <w:szCs w:val="21"/>
                    </w:rPr>
                    <w:t>声环境保护目标</w:t>
                  </w:r>
                </w:p>
              </w:tc>
              <w:tc>
                <w:tcPr>
                  <w:tcW w:w="2874" w:type="dxa"/>
                  <w:tcBorders>
                    <w:top w:val="single" w:color="auto" w:sz="4" w:space="0"/>
                    <w:left w:val="single" w:color="auto" w:sz="4" w:space="0"/>
                    <w:bottom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《声环境质量标准》（GB3096-2008）</w:t>
                  </w:r>
                  <w:r>
                    <w:rPr>
                      <w:rFonts w:hint="eastAsia"/>
                      <w:color w:val="auto"/>
                      <w:sz w:val="21"/>
                      <w:szCs w:val="21"/>
                      <w:lang w:val="en-US" w:eastAsia="zh-CN"/>
                    </w:rPr>
                    <w:t>3</w:t>
                  </w:r>
                  <w:r>
                    <w:rPr>
                      <w:rFonts w:hint="default"/>
                      <w:color w:val="auto"/>
                      <w:sz w:val="21"/>
                      <w:szCs w:val="21"/>
                    </w:rPr>
                    <w:t>类</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11" w:type="dxa"/>
                  <w:tcBorders>
                    <w:top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生态环境</w:t>
                  </w:r>
                </w:p>
              </w:tc>
              <w:tc>
                <w:tcPr>
                  <w:tcW w:w="4380" w:type="dxa"/>
                  <w:gridSpan w:val="3"/>
                  <w:tcBorders>
                    <w:top w:val="single" w:color="auto" w:sz="4" w:space="0"/>
                    <w:left w:val="single" w:color="auto" w:sz="4" w:space="0"/>
                    <w:righ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sz w:val="21"/>
                      <w:szCs w:val="21"/>
                    </w:rPr>
                  </w:pPr>
                  <w:r>
                    <w:rPr>
                      <w:rFonts w:hint="eastAsia"/>
                      <w:sz w:val="21"/>
                      <w:szCs w:val="21"/>
                      <w:lang w:val="en-US" w:eastAsia="zh-CN"/>
                    </w:rPr>
                    <w:t>本项目</w:t>
                  </w:r>
                  <w:r>
                    <w:rPr>
                      <w:rFonts w:hint="eastAsia"/>
                      <w:sz w:val="21"/>
                      <w:szCs w:val="21"/>
                    </w:rPr>
                    <w:t>周边50</w:t>
                  </w:r>
                  <w:r>
                    <w:rPr>
                      <w:rFonts w:hint="eastAsia"/>
                      <w:sz w:val="21"/>
                      <w:szCs w:val="21"/>
                      <w:lang w:val="en-US" w:eastAsia="zh-CN"/>
                    </w:rPr>
                    <w:t>0</w:t>
                  </w:r>
                  <w:r>
                    <w:rPr>
                      <w:rFonts w:hint="eastAsia"/>
                      <w:sz w:val="21"/>
                      <w:szCs w:val="21"/>
                    </w:rPr>
                    <w:t>米范围内</w:t>
                  </w:r>
                  <w:r>
                    <w:rPr>
                      <w:rFonts w:hint="eastAsia"/>
                      <w:sz w:val="21"/>
                      <w:szCs w:val="21"/>
                      <w:lang w:val="en-US" w:eastAsia="zh-CN"/>
                    </w:rPr>
                    <w:t>无生态</w:t>
                  </w:r>
                  <w:r>
                    <w:rPr>
                      <w:rFonts w:hint="eastAsia"/>
                      <w:sz w:val="21"/>
                      <w:szCs w:val="21"/>
                    </w:rPr>
                    <w:t>保护目标</w:t>
                  </w:r>
                </w:p>
              </w:tc>
              <w:tc>
                <w:tcPr>
                  <w:tcW w:w="2874" w:type="dxa"/>
                  <w:tcBorders>
                    <w:top w:val="single" w:color="auto" w:sz="4" w:space="0"/>
                    <w:left w:val="single" w:color="auto" w:sz="4" w:space="0"/>
                  </w:tcBorders>
                  <w:noWrap w:val="0"/>
                  <w:vAlign w:val="center"/>
                </w:tcPr>
                <w:p>
                  <w:pPr>
                    <w:keepNext w:val="0"/>
                    <w:keepLines w:val="0"/>
                    <w:suppressLineNumbers w:val="0"/>
                    <w:tabs>
                      <w:tab w:val="left" w:pos="3230"/>
                    </w:tabs>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w:t>
                  </w:r>
                </w:p>
              </w:tc>
            </w:tr>
          </w:tbl>
          <w:p>
            <w:pPr>
              <w:keepNext w:val="0"/>
              <w:keepLines w:val="0"/>
              <w:suppressLineNumbers w:val="0"/>
              <w:tabs>
                <w:tab w:val="left" w:pos="3230"/>
              </w:tabs>
              <w:adjustRightInd w:val="0"/>
              <w:snapToGrid w:val="0"/>
              <w:spacing w:before="0" w:beforeAutospacing="0" w:after="0" w:afterAutospacing="0" w:line="440" w:lineRule="exact"/>
              <w:ind w:left="0" w:right="0"/>
              <w:rPr>
                <w:rFonts w:hint="default"/>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6" w:hRule="atLeast"/>
          <w:jc w:val="center"/>
        </w:trPr>
        <w:tc>
          <w:tcPr>
            <w:tcW w:w="800" w:type="dxa"/>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污染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物排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放控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制标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Cs w:val="21"/>
              </w:rPr>
            </w:pPr>
            <w:r>
              <w:rPr>
                <w:rFonts w:hint="default" w:hAnsi="宋体"/>
                <w:kern w:val="0"/>
                <w:sz w:val="24"/>
                <w:szCs w:val="24"/>
              </w:rPr>
              <w:t>准</w:t>
            </w:r>
          </w:p>
        </w:tc>
        <w:tc>
          <w:tcPr>
            <w:tcW w:w="8190" w:type="dxa"/>
            <w:noWrap w:val="0"/>
            <w:vAlign w:val="top"/>
          </w:tcPr>
          <w:p>
            <w:pPr>
              <w:keepNext w:val="0"/>
              <w:keepLines w:val="0"/>
              <w:suppressLineNumbers w:val="0"/>
              <w:adjustRightInd w:val="0"/>
              <w:snapToGrid w:val="0"/>
              <w:spacing w:before="0" w:beforeAutospacing="0" w:after="0" w:afterAutospacing="0" w:line="440" w:lineRule="exact"/>
              <w:ind w:left="0" w:right="0" w:firstLine="482" w:firstLineChars="200"/>
              <w:textAlignment w:val="baseline"/>
              <w:rPr>
                <w:rFonts w:hint="default"/>
                <w:b/>
                <w:sz w:val="24"/>
              </w:rPr>
            </w:pPr>
            <w:r>
              <w:rPr>
                <w:rFonts w:hint="eastAsia"/>
                <w:b/>
                <w:sz w:val="24"/>
              </w:rPr>
              <w:t>1、废气</w:t>
            </w:r>
          </w:p>
          <w:p>
            <w:pPr>
              <w:keepNext w:val="0"/>
              <w:keepLines w:val="0"/>
              <w:suppressLineNumbers w:val="0"/>
              <w:spacing w:before="0" w:beforeAutospacing="0" w:after="0" w:afterAutospacing="0" w:line="440" w:lineRule="exact"/>
              <w:ind w:left="0" w:right="0"/>
              <w:jc w:val="center"/>
              <w:rPr>
                <w:rFonts w:hint="default" w:ascii="宋体" w:hAnsi="宋体"/>
                <w:b/>
                <w:color w:val="auto"/>
                <w:sz w:val="24"/>
              </w:rPr>
            </w:pPr>
            <w:r>
              <w:rPr>
                <w:rFonts w:hint="default" w:ascii="宋体" w:hAnsi="宋体"/>
                <w:b/>
                <w:color w:val="auto"/>
                <w:sz w:val="24"/>
              </w:rPr>
              <w:t>表</w:t>
            </w:r>
            <w:r>
              <w:rPr>
                <w:rFonts w:hint="eastAsia" w:ascii="宋体" w:hAnsi="宋体"/>
                <w:b/>
                <w:color w:val="auto"/>
                <w:sz w:val="24"/>
                <w:lang w:val="en-US" w:eastAsia="zh-CN"/>
              </w:rPr>
              <w:t xml:space="preserve">20  </w:t>
            </w:r>
            <w:r>
              <w:rPr>
                <w:rFonts w:hint="default" w:ascii="宋体" w:hAnsi="宋体"/>
                <w:b/>
                <w:color w:val="auto"/>
                <w:sz w:val="24"/>
              </w:rPr>
              <w:t>废气排放限值一览表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1"/>
              <w:gridCol w:w="3300"/>
              <w:gridCol w:w="720"/>
              <w:gridCol w:w="386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tcBorders>
                    <w:bottom w:val="single" w:color="auto" w:sz="8" w:space="0"/>
                    <w:right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污染类别</w:t>
                  </w:r>
                </w:p>
              </w:tc>
              <w:tc>
                <w:tcPr>
                  <w:tcW w:w="3300" w:type="dxa"/>
                  <w:tcBorders>
                    <w:left w:val="single" w:color="auto" w:sz="8" w:space="0"/>
                    <w:bottom w:val="single" w:color="auto" w:sz="8" w:space="0"/>
                    <w:right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标准名称及级（类）别</w:t>
                  </w:r>
                </w:p>
              </w:tc>
              <w:tc>
                <w:tcPr>
                  <w:tcW w:w="720" w:type="dxa"/>
                  <w:tcBorders>
                    <w:left w:val="single" w:color="auto" w:sz="8" w:space="0"/>
                    <w:bottom w:val="single" w:color="auto" w:sz="8" w:space="0"/>
                    <w:right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污染因子</w:t>
                  </w:r>
                </w:p>
              </w:tc>
              <w:tc>
                <w:tcPr>
                  <w:tcW w:w="3864" w:type="dxa"/>
                  <w:tcBorders>
                    <w:left w:val="single" w:color="auto" w:sz="8" w:space="0"/>
                    <w:bottom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000000"/>
                      <w:sz w:val="21"/>
                      <w:szCs w:val="21"/>
                    </w:rPr>
                  </w:pPr>
                  <w:r>
                    <w:rPr>
                      <w:rFonts w:hint="default" w:hAnsi="宋体"/>
                      <w:b/>
                      <w:color w:val="000000"/>
                      <w:sz w:val="21"/>
                      <w:szCs w:val="21"/>
                    </w:rPr>
                    <w:t>标准限值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vMerge w:val="restart"/>
                  <w:tcBorders>
                    <w:top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hAnsi="宋体" w:eastAsia="宋体"/>
                      <w:color w:val="000000"/>
                      <w:sz w:val="21"/>
                      <w:szCs w:val="21"/>
                      <w:lang w:val="en-US" w:eastAsia="zh-CN"/>
                    </w:rPr>
                  </w:pPr>
                  <w:r>
                    <w:rPr>
                      <w:rFonts w:hint="eastAsia" w:hAnsi="宋体"/>
                      <w:color w:val="000000"/>
                      <w:sz w:val="21"/>
                      <w:szCs w:val="21"/>
                      <w:lang w:val="en-US" w:eastAsia="zh-CN"/>
                    </w:rPr>
                    <w:t>废气</w:t>
                  </w:r>
                </w:p>
              </w:tc>
              <w:tc>
                <w:tcPr>
                  <w:tcW w:w="33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sz w:val="21"/>
                      <w:szCs w:val="21"/>
                    </w:rPr>
                    <w:t>《大气污染物综合排放标准》（GB16297-1996）表2</w:t>
                  </w:r>
                </w:p>
              </w:tc>
              <w:tc>
                <w:tcPr>
                  <w:tcW w:w="720" w:type="dxa"/>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sz w:val="21"/>
                      <w:szCs w:val="21"/>
                      <w:shd w:val="clear" w:color="auto" w:fill="FFFFFF"/>
                      <w:lang w:val="en-US" w:eastAsia="zh-CN"/>
                    </w:rPr>
                  </w:pPr>
                  <w:r>
                    <w:rPr>
                      <w:rFonts w:hint="eastAsia"/>
                      <w:color w:val="000000"/>
                      <w:sz w:val="21"/>
                      <w:szCs w:val="21"/>
                      <w:shd w:val="clear" w:color="auto" w:fill="FFFFFF"/>
                      <w:lang w:val="en-US" w:eastAsia="zh-CN"/>
                    </w:rPr>
                    <w:t>非甲烷</w:t>
                  </w:r>
                </w:p>
                <w:p>
                  <w:pPr>
                    <w:keepNext w:val="0"/>
                    <w:keepLines w:val="0"/>
                    <w:suppressLineNumbers w:val="0"/>
                    <w:adjustRightInd w:val="0"/>
                    <w:snapToGrid w:val="0"/>
                    <w:spacing w:before="0" w:beforeAutospacing="0" w:after="0" w:afterAutospacing="0"/>
                    <w:ind w:left="0" w:right="0"/>
                    <w:jc w:val="center"/>
                    <w:rPr>
                      <w:rFonts w:hint="eastAsia"/>
                      <w:color w:val="000000"/>
                      <w:sz w:val="21"/>
                      <w:szCs w:val="21"/>
                      <w:shd w:val="clear" w:color="auto" w:fill="FFFFFF"/>
                      <w:lang w:val="en-US" w:eastAsia="zh-CN"/>
                    </w:rPr>
                  </w:pPr>
                  <w:r>
                    <w:rPr>
                      <w:rFonts w:hint="eastAsia"/>
                      <w:color w:val="000000"/>
                      <w:sz w:val="21"/>
                      <w:szCs w:val="21"/>
                      <w:shd w:val="clear" w:color="auto" w:fill="FFFFFF"/>
                      <w:lang w:val="en-US" w:eastAsia="zh-CN"/>
                    </w:rPr>
                    <w:t>总烃</w:t>
                  </w:r>
                </w:p>
              </w:tc>
              <w:tc>
                <w:tcPr>
                  <w:tcW w:w="386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sz w:val="21"/>
                      <w:szCs w:val="21"/>
                      <w:lang w:eastAsia="zh-CN"/>
                    </w:rPr>
                  </w:pPr>
                  <w:r>
                    <w:rPr>
                      <w:rFonts w:hint="eastAsia"/>
                      <w:color w:val="000000"/>
                      <w:sz w:val="21"/>
                      <w:szCs w:val="21"/>
                      <w:shd w:val="clear" w:color="auto" w:fill="FFFFFF"/>
                      <w:lang w:val="en-US" w:eastAsia="zh-CN"/>
                    </w:rPr>
                    <w:t>二级有机废气排放浓度</w:t>
                  </w:r>
                  <w:r>
                    <w:rPr>
                      <w:rFonts w:hint="default"/>
                      <w:sz w:val="21"/>
                      <w:szCs w:val="21"/>
                    </w:rPr>
                    <w:t>120mg/</w:t>
                  </w:r>
                  <w:r>
                    <w:rPr>
                      <w:rFonts w:hint="eastAsia"/>
                      <w:sz w:val="21"/>
                      <w:szCs w:val="21"/>
                    </w:rPr>
                    <w:t>m</w:t>
                  </w:r>
                  <w:r>
                    <w:rPr>
                      <w:rFonts w:hint="eastAsia"/>
                      <w:sz w:val="21"/>
                      <w:szCs w:val="21"/>
                      <w:vertAlign w:val="superscript"/>
                    </w:rPr>
                    <w:t>3</w:t>
                  </w:r>
                  <w:r>
                    <w:rPr>
                      <w:rFonts w:hint="eastAsia" w:ascii="宋体" w:hAnsi="宋体" w:eastAsia="宋体" w:cs="宋体"/>
                      <w:sz w:val="21"/>
                      <w:szCs w:val="21"/>
                      <w:vertAlign w:val="baseline"/>
                      <w:lang w:val="en-US" w:eastAsia="zh-CN"/>
                    </w:rPr>
                    <w:t>,</w:t>
                  </w:r>
                  <w:r>
                    <w:rPr>
                      <w:rFonts w:hint="default"/>
                      <w:sz w:val="21"/>
                      <w:szCs w:val="21"/>
                    </w:rPr>
                    <w:t>排放速率</w:t>
                  </w:r>
                  <w:r>
                    <w:rPr>
                      <w:rFonts w:hint="eastAsia"/>
                      <w:sz w:val="21"/>
                      <w:szCs w:val="21"/>
                      <w:lang w:val="en-US" w:eastAsia="zh-CN"/>
                    </w:rPr>
                    <w:t>10</w:t>
                  </w:r>
                  <w:r>
                    <w:rPr>
                      <w:rFonts w:hint="default"/>
                      <w:sz w:val="21"/>
                      <w:szCs w:val="21"/>
                    </w:rPr>
                    <w:t>kg/h</w:t>
                  </w:r>
                  <w:r>
                    <w:rPr>
                      <w:rFonts w:hint="eastAsia"/>
                      <w:sz w:val="21"/>
                      <w:szCs w:val="21"/>
                      <w:lang w:eastAsia="zh-CN"/>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eastAsia"/>
                      <w:sz w:val="21"/>
                      <w:szCs w:val="21"/>
                      <w:lang w:val="en-US" w:eastAsia="zh-CN"/>
                    </w:rPr>
                    <w:t>厂界处浓度4.0mg/m</w:t>
                  </w:r>
                  <w:r>
                    <w:rPr>
                      <w:rFonts w:hint="eastAsia"/>
                      <w:sz w:val="21"/>
                      <w:szCs w:val="21"/>
                      <w:vertAlign w:val="superscript"/>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vMerge w:val="continue"/>
                  <w:tcBorders>
                    <w:top w:val="single" w:color="auto" w:sz="8" w:space="0"/>
                    <w:bottom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p>
              </w:tc>
              <w:tc>
                <w:tcPr>
                  <w:tcW w:w="33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《关于全省开展工业企业挥发性有机物专项治理工作中排放建议值的通知》（豫环攻坚办[2017]162号）</w:t>
                  </w:r>
                  <w:r>
                    <w:rPr>
                      <w:rFonts w:hint="default" w:ascii="Times New Roman" w:hAnsi="Times New Roman" w:eastAsia="宋体" w:cs="Times New Roman"/>
                      <w:b w:val="0"/>
                      <w:bCs/>
                      <w:color w:val="000000"/>
                      <w:sz w:val="21"/>
                      <w:szCs w:val="21"/>
                    </w:rPr>
                    <w:t>文要求的</w:t>
                  </w:r>
                  <w:r>
                    <w:rPr>
                      <w:rFonts w:hint="eastAsia" w:ascii="Times New Roman" w:hAnsi="Times New Roman" w:eastAsia="宋体" w:cs="Times New Roman"/>
                      <w:b w:val="0"/>
                      <w:bCs/>
                      <w:color w:val="000000"/>
                      <w:sz w:val="21"/>
                      <w:szCs w:val="21"/>
                      <w:lang w:val="en-US" w:eastAsia="zh-CN"/>
                    </w:rPr>
                    <w:t>其他行业</w:t>
                  </w:r>
                </w:p>
              </w:tc>
              <w:tc>
                <w:tcPr>
                  <w:tcW w:w="72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sz w:val="21"/>
                      <w:szCs w:val="21"/>
                      <w:shd w:val="clear" w:color="auto" w:fill="FFFFFF"/>
                      <w:lang w:val="en-US" w:eastAsia="zh-CN"/>
                    </w:rPr>
                  </w:pPr>
                </w:p>
              </w:tc>
              <w:tc>
                <w:tcPr>
                  <w:tcW w:w="3864" w:type="dxa"/>
                  <w:tcBorders>
                    <w:tl2br w:val="nil"/>
                    <w:tr2bl w:val="nil"/>
                  </w:tcBorders>
                  <w:noWrap w:val="0"/>
                  <w:vAlign w:val="center"/>
                </w:tcPr>
                <w:p>
                  <w:pPr>
                    <w:pStyle w:val="5"/>
                    <w:keepNext w:val="0"/>
                    <w:keepLines w:val="0"/>
                    <w:suppressLineNumbers w:val="0"/>
                    <w:spacing w:before="0" w:beforeAutospacing="0" w:after="0" w:afterAutospacing="0"/>
                    <w:ind w:left="0" w:righ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有组织：排放浓度80mg/m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pStyle w:val="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去除效率≥70%</w:t>
                  </w:r>
                </w:p>
                <w:p>
                  <w:pPr>
                    <w:pStyle w:val="5"/>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无组织：厂界处浓度2.0mg/m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车间边界处4.0mg/m</w:t>
                  </w:r>
                  <w:r>
                    <w:rPr>
                      <w:rFonts w:hint="default" w:ascii="Times New Roman" w:hAnsi="Times New Roman" w:eastAsia="宋体" w:cs="Times New Roman"/>
                      <w:sz w:val="21"/>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1" w:type="dxa"/>
                  <w:vMerge w:val="continue"/>
                  <w:tcBorders>
                    <w:top w:val="single" w:color="auto" w:sz="8" w:space="0"/>
                    <w:bottom w:val="single" w:color="auto" w:sz="8" w:space="0"/>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hAnsi="宋体"/>
                      <w:color w:val="000000"/>
                      <w:sz w:val="21"/>
                      <w:szCs w:val="21"/>
                    </w:rPr>
                  </w:pPr>
                </w:p>
              </w:tc>
              <w:tc>
                <w:tcPr>
                  <w:tcW w:w="3300"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kern w:val="2"/>
                      <w:sz w:val="21"/>
                      <w:szCs w:val="21"/>
                      <w:lang w:val="en-US" w:eastAsia="zh-CN" w:bidi="ar-SA"/>
                    </w:rPr>
                  </w:pPr>
                  <w:r>
                    <w:rPr>
                      <w:rFonts w:hint="eastAsia"/>
                      <w:color w:val="000000"/>
                      <w:sz w:val="21"/>
                      <w:szCs w:val="21"/>
                      <w:highlight w:val="none"/>
                    </w:rPr>
                    <w:t>《合成树脂工业污染物排放标准》（GB31572-2015）表5</w:t>
                  </w:r>
                </w:p>
              </w:tc>
              <w:tc>
                <w:tcPr>
                  <w:tcW w:w="720" w:type="dxa"/>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000000"/>
                      <w:sz w:val="21"/>
                      <w:szCs w:val="21"/>
                      <w:shd w:val="clear" w:color="auto" w:fill="FFFFFF"/>
                      <w:lang w:val="en-US" w:eastAsia="zh-CN"/>
                    </w:rPr>
                  </w:pPr>
                </w:p>
              </w:tc>
              <w:tc>
                <w:tcPr>
                  <w:tcW w:w="3864" w:type="dxa"/>
                  <w:tcBorders>
                    <w:tl2br w:val="nil"/>
                    <w:tr2bl w:val="nil"/>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color w:val="000000"/>
                      <w:sz w:val="21"/>
                      <w:szCs w:val="21"/>
                      <w:highlight w:val="none"/>
                      <w:vertAlign w:val="baseline"/>
                      <w:lang w:eastAsia="zh-CN"/>
                    </w:rPr>
                  </w:pPr>
                  <w:r>
                    <w:rPr>
                      <w:rFonts w:hint="default" w:hAnsi="宋体"/>
                      <w:color w:val="000000"/>
                      <w:sz w:val="21"/>
                      <w:szCs w:val="21"/>
                      <w:highlight w:val="none"/>
                    </w:rPr>
                    <w:t>有组织排放限值</w:t>
                  </w:r>
                  <w:r>
                    <w:rPr>
                      <w:rFonts w:hint="eastAsia" w:hAnsi="宋体"/>
                      <w:color w:val="000000"/>
                      <w:sz w:val="21"/>
                      <w:szCs w:val="21"/>
                      <w:highlight w:val="none"/>
                    </w:rPr>
                    <w:t>：</w:t>
                  </w:r>
                  <w:r>
                    <w:rPr>
                      <w:rFonts w:hint="eastAsia"/>
                      <w:bCs/>
                      <w:color w:val="000000"/>
                      <w:sz w:val="21"/>
                      <w:szCs w:val="21"/>
                      <w:highlight w:val="none"/>
                    </w:rPr>
                    <w:t>60</w:t>
                  </w:r>
                  <w:r>
                    <w:rPr>
                      <w:rFonts w:hint="default"/>
                      <w:bCs/>
                      <w:color w:val="000000"/>
                      <w:sz w:val="21"/>
                      <w:szCs w:val="21"/>
                      <w:highlight w:val="none"/>
                    </w:rPr>
                    <w:t>mg/m</w:t>
                  </w:r>
                  <w:r>
                    <w:rPr>
                      <w:rFonts w:hint="default"/>
                      <w:bCs/>
                      <w:color w:val="000000"/>
                      <w:sz w:val="21"/>
                      <w:szCs w:val="21"/>
                      <w:highlight w:val="none"/>
                      <w:vertAlign w:val="superscript"/>
                    </w:rPr>
                    <w:t>3</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bCs/>
                      <w:color w:val="000000"/>
                      <w:sz w:val="21"/>
                      <w:szCs w:val="21"/>
                      <w:highlight w:val="none"/>
                      <w:vertAlign w:val="baseline"/>
                      <w:lang w:val="en-US" w:eastAsia="zh-CN"/>
                    </w:rPr>
                    <w:t>单位产品非甲烷总烃排放量0.3kg/t产品</w:t>
                  </w:r>
                </w:p>
              </w:tc>
            </w:tr>
          </w:tbl>
          <w:p>
            <w:pPr>
              <w:keepNext w:val="0"/>
              <w:keepLines w:val="0"/>
              <w:suppressLineNumbers w:val="0"/>
              <w:adjustRightInd w:val="0"/>
              <w:snapToGrid w:val="0"/>
              <w:spacing w:before="0" w:beforeAutospacing="0" w:after="0" w:afterAutospacing="0" w:line="440" w:lineRule="exact"/>
              <w:ind w:left="0" w:right="0" w:firstLine="482" w:firstLineChars="200"/>
              <w:textAlignment w:val="baseline"/>
              <w:rPr>
                <w:rFonts w:hint="default" w:eastAsia="宋体"/>
                <w:b/>
                <w:sz w:val="24"/>
                <w:lang w:val="en-US" w:eastAsia="zh-CN"/>
              </w:rPr>
            </w:pPr>
            <w:r>
              <w:rPr>
                <w:rFonts w:hint="eastAsia"/>
                <w:b/>
                <w:sz w:val="24"/>
                <w:lang w:val="en-US" w:eastAsia="zh-CN"/>
              </w:rPr>
              <w:t>2、废水</w:t>
            </w:r>
          </w:p>
          <w:p>
            <w:pPr>
              <w:keepNext w:val="0"/>
              <w:keepLines w:val="0"/>
              <w:suppressLineNumbers w:val="0"/>
              <w:adjustRightInd w:val="0"/>
              <w:snapToGrid w:val="0"/>
              <w:spacing w:before="0" w:beforeAutospacing="0" w:after="0" w:afterAutospacing="0" w:line="440" w:lineRule="exact"/>
              <w:ind w:left="0" w:right="0" w:firstLine="480" w:firstLineChars="200"/>
              <w:textAlignment w:val="baseline"/>
              <w:rPr>
                <w:rFonts w:hint="eastAsia"/>
                <w:b w:val="0"/>
                <w:bCs/>
                <w:color w:val="auto"/>
                <w:sz w:val="24"/>
                <w:lang w:val="en-US" w:eastAsia="zh-CN"/>
              </w:rPr>
            </w:pPr>
            <w:r>
              <w:rPr>
                <w:rFonts w:hint="eastAsia"/>
                <w:b w:val="0"/>
                <w:bCs/>
                <w:color w:val="auto"/>
                <w:sz w:val="24"/>
                <w:lang w:val="en-US" w:eastAsia="zh-CN"/>
              </w:rPr>
              <w:t>运营期项目废水执行新乡县综合污水处理厂收水标准，具体标准见下表。</w:t>
            </w:r>
          </w:p>
          <w:p>
            <w:pPr>
              <w:keepNext w:val="0"/>
              <w:keepLines w:val="0"/>
              <w:suppressLineNumbers w:val="0"/>
              <w:adjustRightInd w:val="0"/>
              <w:snapToGrid w:val="0"/>
              <w:spacing w:before="0" w:beforeAutospacing="0" w:after="0" w:afterAutospacing="0" w:line="440" w:lineRule="exact"/>
              <w:ind w:left="0" w:right="0"/>
              <w:jc w:val="center"/>
              <w:textAlignment w:val="baseline"/>
              <w:rPr>
                <w:rFonts w:hint="default"/>
                <w:b/>
                <w:bCs w:val="0"/>
                <w:lang w:val="en-US" w:eastAsia="zh-CN"/>
              </w:rPr>
            </w:pPr>
            <w:r>
              <w:rPr>
                <w:rFonts w:hint="eastAsia"/>
                <w:b/>
                <w:bCs w:val="0"/>
                <w:sz w:val="24"/>
                <w:lang w:val="en-US" w:eastAsia="zh-CN"/>
              </w:rPr>
              <w:t>表21  废水排放标准  单位mg/L</w:t>
            </w:r>
          </w:p>
          <w:tbl>
            <w:tblPr>
              <w:tblStyle w:val="22"/>
              <w:tblW w:w="856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901"/>
              <w:gridCol w:w="901"/>
              <w:gridCol w:w="901"/>
              <w:gridCol w:w="901"/>
              <w:gridCol w:w="901"/>
              <w:gridCol w:w="90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842" w:type="pct"/>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宋体"/>
                      <w:b/>
                      <w:color w:val="auto"/>
                      <w:sz w:val="21"/>
                      <w:szCs w:val="21"/>
                      <w:lang w:eastAsia="zh-CN"/>
                    </w:rPr>
                  </w:pPr>
                  <w:r>
                    <w:rPr>
                      <w:rFonts w:hint="eastAsia"/>
                      <w:b/>
                      <w:color w:val="auto"/>
                      <w:sz w:val="21"/>
                      <w:szCs w:val="21"/>
                      <w:lang w:val="en-US" w:eastAsia="zh-CN"/>
                    </w:rPr>
                    <w:t>项目</w:t>
                  </w:r>
                </w:p>
              </w:tc>
              <w:tc>
                <w:tcPr>
                  <w:tcW w:w="52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COD</w:t>
                  </w:r>
                </w:p>
              </w:tc>
              <w:tc>
                <w:tcPr>
                  <w:tcW w:w="525" w:type="pct"/>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SS</w:t>
                  </w:r>
                </w:p>
              </w:tc>
              <w:tc>
                <w:tcPr>
                  <w:tcW w:w="52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default"/>
                      <w:b/>
                      <w:sz w:val="21"/>
                      <w:szCs w:val="21"/>
                    </w:rPr>
                    <w:t>NH</w:t>
                  </w:r>
                  <w:r>
                    <w:rPr>
                      <w:rFonts w:hint="default"/>
                      <w:b/>
                      <w:sz w:val="21"/>
                      <w:szCs w:val="21"/>
                      <w:vertAlign w:val="subscript"/>
                    </w:rPr>
                    <w:t>3</w:t>
                  </w:r>
                  <w:r>
                    <w:rPr>
                      <w:rFonts w:hint="default"/>
                      <w:b/>
                      <w:sz w:val="21"/>
                      <w:szCs w:val="21"/>
                    </w:rPr>
                    <w:t>-N</w:t>
                  </w:r>
                </w:p>
              </w:tc>
              <w:tc>
                <w:tcPr>
                  <w:tcW w:w="52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TP</w:t>
                  </w:r>
                </w:p>
              </w:tc>
              <w:tc>
                <w:tcPr>
                  <w:tcW w:w="52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TN</w:t>
                  </w:r>
                </w:p>
              </w:tc>
              <w:tc>
                <w:tcPr>
                  <w:tcW w:w="527"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b/>
                      <w:color w:val="auto"/>
                      <w:sz w:val="21"/>
                      <w:szCs w:val="21"/>
                      <w:lang w:val="en-US" w:eastAsia="zh-CN"/>
                    </w:rPr>
                    <w:t>PH</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2"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新乡县综合污水处理厂收水要求</w:t>
                  </w:r>
                </w:p>
              </w:tc>
              <w:tc>
                <w:tcPr>
                  <w:tcW w:w="525"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400</w:t>
                  </w:r>
                </w:p>
              </w:tc>
              <w:tc>
                <w:tcPr>
                  <w:tcW w:w="525"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180</w:t>
                  </w:r>
                </w:p>
              </w:tc>
              <w:tc>
                <w:tcPr>
                  <w:tcW w:w="525"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59</w:t>
                  </w:r>
                </w:p>
              </w:tc>
              <w:tc>
                <w:tcPr>
                  <w:tcW w:w="525"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w:t>
                  </w:r>
                </w:p>
              </w:tc>
              <w:tc>
                <w:tcPr>
                  <w:tcW w:w="525"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70</w:t>
                  </w:r>
                </w:p>
              </w:tc>
              <w:tc>
                <w:tcPr>
                  <w:tcW w:w="527" w:type="pct"/>
                  <w:tcBorders>
                    <w:top w:val="single" w:color="auto" w:sz="8" w:space="0"/>
                    <w:bottom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6~9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2"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新乡县综合污水处理厂出水要求</w:t>
                  </w:r>
                </w:p>
              </w:tc>
              <w:tc>
                <w:tcPr>
                  <w:tcW w:w="525"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40</w:t>
                  </w:r>
                </w:p>
              </w:tc>
              <w:tc>
                <w:tcPr>
                  <w:tcW w:w="525"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10</w:t>
                  </w:r>
                </w:p>
              </w:tc>
              <w:tc>
                <w:tcPr>
                  <w:tcW w:w="525"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2.0</w:t>
                  </w:r>
                </w:p>
              </w:tc>
              <w:tc>
                <w:tcPr>
                  <w:tcW w:w="525"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0.4</w:t>
                  </w:r>
                </w:p>
              </w:tc>
              <w:tc>
                <w:tcPr>
                  <w:tcW w:w="525"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15</w:t>
                  </w:r>
                </w:p>
              </w:tc>
              <w:tc>
                <w:tcPr>
                  <w:tcW w:w="527" w:type="pct"/>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6~9</w:t>
                  </w:r>
                </w:p>
              </w:tc>
            </w:tr>
          </w:tbl>
          <w:p>
            <w:pPr>
              <w:keepNext w:val="0"/>
              <w:keepLines w:val="0"/>
              <w:suppressLineNumbers w:val="0"/>
              <w:adjustRightInd w:val="0"/>
              <w:snapToGrid w:val="0"/>
              <w:spacing w:before="0" w:beforeAutospacing="0" w:after="0" w:afterAutospacing="0" w:line="440" w:lineRule="exact"/>
              <w:ind w:left="0" w:right="0" w:firstLine="482" w:firstLineChars="200"/>
              <w:textAlignment w:val="baseline"/>
              <w:rPr>
                <w:rFonts w:hint="eastAsia" w:eastAsia="宋体"/>
                <w:b/>
                <w:sz w:val="24"/>
                <w:lang w:val="en-US" w:eastAsia="zh-CN"/>
              </w:rPr>
            </w:pPr>
            <w:r>
              <w:rPr>
                <w:rFonts w:hint="eastAsia"/>
                <w:b/>
                <w:sz w:val="24"/>
                <w:lang w:val="en-US" w:eastAsia="zh-CN"/>
              </w:rPr>
              <w:t>3</w:t>
            </w:r>
            <w:r>
              <w:rPr>
                <w:rFonts w:hint="eastAsia"/>
                <w:b/>
                <w:sz w:val="24"/>
              </w:rPr>
              <w:t>、</w:t>
            </w:r>
            <w:r>
              <w:rPr>
                <w:rFonts w:hint="default"/>
                <w:b/>
                <w:sz w:val="24"/>
              </w:rPr>
              <w:t>噪声</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rPr>
            </w:pPr>
            <w:r>
              <w:rPr>
                <w:rFonts w:hint="eastAsia"/>
                <w:color w:val="auto"/>
                <w:sz w:val="24"/>
              </w:rPr>
              <w:t>运营期各厂界噪声执行《工业企业厂界环境噪声排放标准》（</w:t>
            </w:r>
            <w:r>
              <w:rPr>
                <w:rFonts w:hint="default"/>
                <w:color w:val="auto"/>
                <w:sz w:val="24"/>
              </w:rPr>
              <w:t>GB12348-2008</w:t>
            </w:r>
            <w:r>
              <w:rPr>
                <w:rFonts w:hint="eastAsia"/>
                <w:color w:val="auto"/>
                <w:sz w:val="24"/>
              </w:rPr>
              <w:t>）</w:t>
            </w:r>
            <w:r>
              <w:rPr>
                <w:rFonts w:hint="eastAsia"/>
                <w:color w:val="auto"/>
                <w:sz w:val="24"/>
                <w:lang w:val="en-US" w:eastAsia="zh-CN"/>
              </w:rPr>
              <w:t>3</w:t>
            </w:r>
            <w:r>
              <w:rPr>
                <w:rFonts w:hint="eastAsia"/>
                <w:color w:val="auto"/>
                <w:sz w:val="24"/>
              </w:rPr>
              <w:t>类标准，具体标准值见下表。</w:t>
            </w:r>
          </w:p>
          <w:p>
            <w:pPr>
              <w:keepNext w:val="0"/>
              <w:keepLines w:val="0"/>
              <w:suppressLineNumbers w:val="0"/>
              <w:adjustRightInd w:val="0"/>
              <w:snapToGrid w:val="0"/>
              <w:spacing w:before="0" w:beforeAutospacing="0" w:after="0" w:afterAutospacing="0" w:line="440" w:lineRule="exact"/>
              <w:ind w:left="0" w:right="0"/>
              <w:jc w:val="center"/>
              <w:rPr>
                <w:rFonts w:hint="default" w:hAnsi="黑体" w:eastAsia="黑体"/>
                <w:color w:val="auto"/>
                <w:sz w:val="24"/>
                <w:szCs w:val="20"/>
              </w:rPr>
            </w:pPr>
            <w:bookmarkStart w:id="2" w:name="_Ref308191224"/>
            <w:r>
              <w:rPr>
                <w:rFonts w:hint="default" w:ascii="宋体" w:hAnsi="宋体"/>
                <w:b/>
                <w:color w:val="auto"/>
                <w:sz w:val="24"/>
              </w:rPr>
              <w:t>表</w:t>
            </w:r>
            <w:bookmarkEnd w:id="2"/>
            <w:r>
              <w:rPr>
                <w:rFonts w:hint="eastAsia" w:ascii="宋体" w:hAnsi="宋体"/>
                <w:b/>
                <w:color w:val="auto"/>
                <w:sz w:val="24"/>
                <w:lang w:val="en-US" w:eastAsia="zh-CN"/>
              </w:rPr>
              <w:t xml:space="preserve">22  </w:t>
            </w:r>
            <w:r>
              <w:rPr>
                <w:rFonts w:hint="default" w:ascii="宋体" w:hAnsi="宋体"/>
                <w:b/>
                <w:color w:val="auto"/>
                <w:sz w:val="24"/>
              </w:rPr>
              <w:t>工业企业厂界环境噪声排放标准</w:t>
            </w:r>
            <w:r>
              <w:rPr>
                <w:rFonts w:hint="eastAsia" w:ascii="宋体" w:hAnsi="宋体"/>
                <w:b/>
                <w:color w:val="auto"/>
                <w:sz w:val="24"/>
                <w:lang w:val="en-US" w:eastAsia="zh-CN"/>
              </w:rPr>
              <w:t xml:space="preserve">  </w:t>
            </w:r>
            <w:r>
              <w:rPr>
                <w:rFonts w:hint="default" w:ascii="宋体" w:hAnsi="宋体"/>
                <w:b/>
                <w:color w:val="auto"/>
                <w:sz w:val="24"/>
              </w:rPr>
              <w:t>单位：dB（A</w:t>
            </w:r>
            <w:r>
              <w:rPr>
                <w:rFonts w:hint="default" w:hAnsi="黑体" w:eastAsia="黑体"/>
                <w:color w:val="auto"/>
                <w:sz w:val="24"/>
                <w:szCs w:val="20"/>
              </w:rPr>
              <w:t>）</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5"/>
              <w:gridCol w:w="2373"/>
              <w:gridCol w:w="237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7" w:type="pct"/>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eastAsia"/>
                      <w:b/>
                      <w:color w:val="auto"/>
                      <w:sz w:val="21"/>
                      <w:szCs w:val="21"/>
                    </w:rPr>
                    <w:t>类别</w:t>
                  </w:r>
                </w:p>
              </w:tc>
              <w:tc>
                <w:tcPr>
                  <w:tcW w:w="1385" w:type="pc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eastAsia"/>
                      <w:b/>
                      <w:color w:val="auto"/>
                      <w:sz w:val="21"/>
                      <w:szCs w:val="21"/>
                    </w:rPr>
                    <w:t>昼间</w:t>
                  </w:r>
                </w:p>
              </w:tc>
              <w:tc>
                <w:tcPr>
                  <w:tcW w:w="1387" w:type="pct"/>
                  <w:tcBorders>
                    <w:top w:val="single" w:color="auto" w:sz="8" w:space="0"/>
                    <w:left w:val="single" w:color="auto" w:sz="8" w:space="0"/>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eastAsia"/>
                      <w:b/>
                      <w:color w:val="auto"/>
                      <w:sz w:val="21"/>
                      <w:szCs w:val="21"/>
                    </w:rPr>
                    <w:t>夜间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27"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3</w:t>
                  </w:r>
                  <w:r>
                    <w:rPr>
                      <w:rFonts w:hint="eastAsia"/>
                      <w:color w:val="auto"/>
                      <w:sz w:val="21"/>
                      <w:szCs w:val="21"/>
                    </w:rPr>
                    <w:t>类</w:t>
                  </w:r>
                </w:p>
              </w:tc>
              <w:tc>
                <w:tcPr>
                  <w:tcW w:w="1385"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65</w:t>
                  </w:r>
                </w:p>
              </w:tc>
              <w:tc>
                <w:tcPr>
                  <w:tcW w:w="1387" w:type="pc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55</w:t>
                  </w:r>
                </w:p>
              </w:tc>
            </w:tr>
          </w:tbl>
          <w:p>
            <w:pPr>
              <w:keepNext w:val="0"/>
              <w:keepLines w:val="0"/>
              <w:suppressLineNumbers w:val="0"/>
              <w:adjustRightInd w:val="0"/>
              <w:snapToGrid w:val="0"/>
              <w:spacing w:before="0" w:beforeAutospacing="0" w:after="0" w:afterAutospacing="0" w:line="440" w:lineRule="exact"/>
              <w:ind w:left="0" w:right="0" w:firstLine="482" w:firstLineChars="200"/>
              <w:rPr>
                <w:rFonts w:hint="default"/>
                <w:b/>
                <w:sz w:val="24"/>
              </w:rPr>
            </w:pPr>
            <w:r>
              <w:rPr>
                <w:rFonts w:hint="eastAsia"/>
                <w:b/>
                <w:sz w:val="24"/>
                <w:lang w:val="en-US" w:eastAsia="zh-CN"/>
              </w:rPr>
              <w:t>4</w:t>
            </w:r>
            <w:r>
              <w:rPr>
                <w:rFonts w:hint="eastAsia"/>
                <w:b/>
                <w:sz w:val="24"/>
              </w:rPr>
              <w:t>、固废</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rPr>
            </w:pPr>
            <w:r>
              <w:rPr>
                <w:rFonts w:hint="default"/>
                <w:sz w:val="24"/>
              </w:rPr>
              <w:t>一般固体废物贮存、处置按照《</w:t>
            </w:r>
            <w:r>
              <w:rPr>
                <w:rFonts w:hint="eastAsia"/>
                <w:sz w:val="24"/>
              </w:rPr>
              <w:t>一般工业固体废物贮存和填埋污染控制标准</w:t>
            </w:r>
            <w:r>
              <w:rPr>
                <w:rFonts w:hint="default"/>
                <w:sz w:val="24"/>
              </w:rPr>
              <w:t>》（GB18599-20</w:t>
            </w:r>
            <w:r>
              <w:rPr>
                <w:rFonts w:hint="eastAsia"/>
                <w:sz w:val="24"/>
              </w:rPr>
              <w:t>20</w:t>
            </w:r>
            <w:r>
              <w:rPr>
                <w:rFonts w:hint="default"/>
                <w:sz w:val="24"/>
              </w:rPr>
              <w:t>）</w:t>
            </w:r>
            <w:r>
              <w:rPr>
                <w:rFonts w:hint="eastAsia"/>
                <w:sz w:val="24"/>
              </w:rPr>
              <w:t>要求执行。</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sz w:val="24"/>
                <w:lang w:val="en-US" w:eastAsia="zh-CN"/>
              </w:rPr>
            </w:pPr>
            <w:r>
              <w:rPr>
                <w:rFonts w:hint="eastAsia"/>
                <w:sz w:val="24"/>
              </w:rPr>
              <w:t>危险废物按照《危险废物贮存污染控制标准》（GB18597-2001）及2013年修改单要求进行处理。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总量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 w:val="24"/>
                <w:szCs w:val="24"/>
              </w:rPr>
            </w:pPr>
            <w:r>
              <w:rPr>
                <w:rFonts w:hint="default" w:hAnsi="宋体"/>
                <w:kern w:val="0"/>
                <w:sz w:val="24"/>
                <w:szCs w:val="24"/>
              </w:rPr>
              <w:t>控制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kern w:val="0"/>
                <w:szCs w:val="21"/>
              </w:rPr>
            </w:pPr>
            <w:r>
              <w:rPr>
                <w:rFonts w:hint="default" w:hAnsi="宋体"/>
                <w:kern w:val="0"/>
                <w:sz w:val="24"/>
                <w:szCs w:val="24"/>
              </w:rPr>
              <w:t>指标</w:t>
            </w:r>
          </w:p>
        </w:tc>
        <w:tc>
          <w:tcPr>
            <w:tcW w:w="8190" w:type="dxa"/>
            <w:noWrap w:val="0"/>
            <w:vAlign w:val="center"/>
          </w:tcPr>
          <w:p>
            <w:pPr>
              <w:keepNext w:val="0"/>
              <w:keepLines w:val="0"/>
              <w:suppressLineNumbers w:val="0"/>
              <w:spacing w:before="0" w:beforeAutospacing="0" w:after="0" w:afterAutospacing="0" w:line="400" w:lineRule="exact"/>
              <w:ind w:left="0" w:right="0" w:firstLine="480" w:firstLineChars="200"/>
              <w:rPr>
                <w:rFonts w:hint="default"/>
                <w:color w:val="auto"/>
                <w:highlight w:val="none"/>
              </w:rPr>
            </w:pPr>
            <w:r>
              <w:rPr>
                <w:rFonts w:hint="eastAsia"/>
                <w:color w:val="auto"/>
                <w:highlight w:val="none"/>
              </w:rPr>
              <w:t>根据新乡市生态环境局关于转发《河南省生态环境厅关于引印发建设项目主要污染物排放总量指标管理工作内部规程的通知》的通知和《新乡市建设项目新增总量指标替代管理指导意见（试行）》的要求，污染物排放量实施区域内双倍替代。</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rPr>
            </w:pPr>
            <w:r>
              <w:rPr>
                <w:rFonts w:hint="eastAsia"/>
                <w:color w:val="auto"/>
                <w:highlight w:val="none"/>
              </w:rPr>
              <w:t>本项目为新建项目，项目建成后全厂主要污染物排放量为：</w:t>
            </w:r>
            <w:r>
              <w:rPr>
                <w:rFonts w:hint="default"/>
                <w:color w:val="auto"/>
                <w:highlight w:val="none"/>
                <w:lang w:val="en-US" w:eastAsia="zh-CN"/>
              </w:rPr>
              <w:t>非甲烷总烃</w:t>
            </w:r>
            <w:r>
              <w:rPr>
                <w:rFonts w:hint="eastAsia"/>
                <w:color w:val="auto"/>
                <w:highlight w:val="none"/>
                <w:lang w:val="en-US" w:eastAsia="zh-CN"/>
              </w:rPr>
              <w:t>0.2369</w:t>
            </w:r>
            <w:r>
              <w:rPr>
                <w:rFonts w:hint="default"/>
                <w:color w:val="auto"/>
                <w:highlight w:val="none"/>
              </w:rPr>
              <w:t>t/a</w:t>
            </w:r>
            <w:r>
              <w:rPr>
                <w:rFonts w:hint="eastAsia"/>
                <w:color w:val="auto"/>
                <w:highlight w:val="none"/>
                <w:lang w:eastAsia="zh-CN"/>
              </w:rPr>
              <w:t>；</w:t>
            </w:r>
            <w:r>
              <w:rPr>
                <w:rFonts w:hint="default"/>
                <w:color w:val="auto"/>
                <w:highlight w:val="none"/>
              </w:rPr>
              <w:t>COD</w:t>
            </w:r>
            <w:r>
              <w:rPr>
                <w:rFonts w:hint="eastAsia"/>
                <w:color w:val="auto"/>
                <w:highlight w:val="none"/>
                <w:lang w:val="en-US" w:eastAsia="zh-CN"/>
              </w:rPr>
              <w:t>0.0058</w:t>
            </w:r>
            <w:r>
              <w:rPr>
                <w:rFonts w:hint="default"/>
                <w:color w:val="auto"/>
                <w:highlight w:val="none"/>
              </w:rPr>
              <w:t>t/a</w:t>
            </w:r>
            <w:r>
              <w:rPr>
                <w:rFonts w:hint="eastAsia"/>
                <w:color w:val="auto"/>
                <w:highlight w:val="none"/>
                <w:lang w:eastAsia="zh-CN"/>
              </w:rPr>
              <w:t>、</w:t>
            </w:r>
            <w:r>
              <w:rPr>
                <w:rFonts w:hint="default"/>
                <w:color w:val="auto"/>
                <w:highlight w:val="none"/>
              </w:rPr>
              <w:t>NH</w:t>
            </w:r>
            <w:r>
              <w:rPr>
                <w:rFonts w:hint="default"/>
                <w:color w:val="auto"/>
                <w:highlight w:val="none"/>
                <w:vertAlign w:val="subscript"/>
              </w:rPr>
              <w:t>3</w:t>
            </w:r>
            <w:r>
              <w:rPr>
                <w:rFonts w:hint="default"/>
                <w:color w:val="auto"/>
                <w:highlight w:val="none"/>
              </w:rPr>
              <w:t>-N</w:t>
            </w:r>
            <w:r>
              <w:rPr>
                <w:rFonts w:hint="default"/>
                <w:color w:val="auto"/>
                <w:highlight w:val="none"/>
                <w:lang w:val="en-US" w:eastAsia="zh-CN"/>
              </w:rPr>
              <w:t>0.00</w:t>
            </w:r>
            <w:r>
              <w:rPr>
                <w:rFonts w:hint="eastAsia"/>
                <w:color w:val="auto"/>
                <w:highlight w:val="none"/>
                <w:lang w:val="en-US" w:eastAsia="zh-CN"/>
              </w:rPr>
              <w:t>03</w:t>
            </w:r>
            <w:r>
              <w:rPr>
                <w:rFonts w:hint="default"/>
                <w:color w:val="auto"/>
                <w:highlight w:val="none"/>
              </w:rPr>
              <w:t>t/a</w:t>
            </w:r>
            <w:r>
              <w:rPr>
                <w:rFonts w:hint="eastAsia"/>
                <w:color w:val="auto"/>
                <w:highlight w:val="none"/>
                <w:lang w:val="en-US" w:eastAsia="zh-CN"/>
              </w:rPr>
              <w:t>。项目废水经新乡县综合污水处理厂处理后排入东孟姜女河，东孟姜女河水体功能类别为</w:t>
            </w:r>
            <w:r>
              <w:rPr>
                <w:rFonts w:hint="default" w:ascii="Times New Roman" w:hAnsi="Times New Roman" w:cs="Times New Roman"/>
                <w:color w:val="auto"/>
                <w:highlight w:val="none"/>
                <w:lang w:val="en-US" w:eastAsia="zh-CN"/>
              </w:rPr>
              <w:t>Ⅳ</w:t>
            </w:r>
            <w:r>
              <w:rPr>
                <w:rFonts w:hint="eastAsia"/>
                <w:color w:val="auto"/>
                <w:highlight w:val="none"/>
                <w:lang w:val="en-US" w:eastAsia="zh-CN"/>
              </w:rPr>
              <w:t>类标准，2022年东孟姜女河COD、氨氮浓度均达标，不需要双倍替代，</w:t>
            </w:r>
            <w:r>
              <w:rPr>
                <w:rFonts w:hint="default"/>
                <w:color w:val="auto"/>
                <w:highlight w:val="none"/>
              </w:rPr>
              <w:t>主要污染物需进行双倍替代，所需替代量为：</w:t>
            </w:r>
            <w:r>
              <w:rPr>
                <w:rFonts w:hint="default"/>
                <w:color w:val="auto"/>
                <w:highlight w:val="none"/>
                <w:lang w:val="en-US" w:eastAsia="zh-CN"/>
              </w:rPr>
              <w:t>非甲烷总烃</w:t>
            </w:r>
            <w:r>
              <w:rPr>
                <w:rFonts w:hint="eastAsia"/>
                <w:color w:val="auto"/>
                <w:highlight w:val="none"/>
                <w:lang w:val="en-US" w:eastAsia="zh-CN"/>
              </w:rPr>
              <w:t>0.4738</w:t>
            </w:r>
            <w:r>
              <w:rPr>
                <w:rFonts w:hint="default"/>
                <w:color w:val="auto"/>
                <w:highlight w:val="none"/>
              </w:rPr>
              <w:t>t/a</w:t>
            </w:r>
            <w:r>
              <w:rPr>
                <w:rFonts w:hint="eastAsia"/>
                <w:color w:val="auto"/>
                <w:highlight w:val="none"/>
                <w:lang w:eastAsia="zh-CN"/>
              </w:rPr>
              <w:t>、</w:t>
            </w:r>
            <w:r>
              <w:rPr>
                <w:rFonts w:hint="default"/>
                <w:color w:val="auto"/>
                <w:highlight w:val="none"/>
              </w:rPr>
              <w:t>COD</w:t>
            </w:r>
            <w:r>
              <w:rPr>
                <w:rFonts w:hint="eastAsia"/>
                <w:color w:val="auto"/>
                <w:highlight w:val="none"/>
                <w:lang w:val="en-US" w:eastAsia="zh-CN"/>
              </w:rPr>
              <w:t>0.0058</w:t>
            </w:r>
            <w:r>
              <w:rPr>
                <w:rFonts w:hint="default"/>
                <w:color w:val="auto"/>
                <w:highlight w:val="none"/>
              </w:rPr>
              <w:t>t/a</w:t>
            </w:r>
            <w:r>
              <w:rPr>
                <w:rFonts w:hint="eastAsia"/>
                <w:color w:val="auto"/>
                <w:highlight w:val="none"/>
                <w:lang w:eastAsia="zh-CN"/>
              </w:rPr>
              <w:t>、</w:t>
            </w:r>
            <w:r>
              <w:rPr>
                <w:rFonts w:hint="default"/>
                <w:color w:val="auto"/>
                <w:highlight w:val="none"/>
              </w:rPr>
              <w:t>NH</w:t>
            </w:r>
            <w:r>
              <w:rPr>
                <w:rFonts w:hint="default"/>
                <w:color w:val="auto"/>
                <w:highlight w:val="none"/>
                <w:vertAlign w:val="subscript"/>
              </w:rPr>
              <w:t>3</w:t>
            </w:r>
            <w:r>
              <w:rPr>
                <w:rFonts w:hint="default"/>
                <w:color w:val="auto"/>
                <w:highlight w:val="none"/>
              </w:rPr>
              <w:t>-N</w:t>
            </w:r>
            <w:r>
              <w:rPr>
                <w:rFonts w:hint="default"/>
                <w:color w:val="auto"/>
                <w:highlight w:val="none"/>
                <w:lang w:val="en-US" w:eastAsia="zh-CN"/>
              </w:rPr>
              <w:t>0.00</w:t>
            </w:r>
            <w:r>
              <w:rPr>
                <w:rFonts w:hint="eastAsia"/>
                <w:color w:val="auto"/>
                <w:highlight w:val="none"/>
                <w:lang w:val="en-US" w:eastAsia="zh-CN"/>
              </w:rPr>
              <w:t>03</w:t>
            </w:r>
            <w:r>
              <w:rPr>
                <w:rFonts w:hint="default"/>
                <w:color w:val="auto"/>
                <w:highlight w:val="none"/>
              </w:rPr>
              <w:t>t/a</w:t>
            </w:r>
            <w:r>
              <w:rPr>
                <w:rFonts w:hint="eastAsia"/>
                <w:color w:val="auto"/>
                <w:highlight w:val="none"/>
                <w:lang w:eastAsia="zh-CN"/>
              </w:rPr>
              <w:t>。</w:t>
            </w:r>
            <w:r>
              <w:rPr>
                <w:rFonts w:hint="eastAsia"/>
                <w:color w:val="auto"/>
                <w:highlight w:val="none"/>
                <w:lang w:val="en-US" w:eastAsia="zh-CN"/>
              </w:rPr>
              <w:t>非甲烷总烃来自新乡市华垠金属线材有限公司挥发性有机物治理产生的减排量剩余量0.49254t；COD、氨氮来自平原示范区污水处理厂提标改造产生的减排量剩余量COD11.68236t，氨氮18.41546t。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auto"/>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FF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FF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FF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FF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color w:val="FF0000"/>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pStyle w:val="10"/>
              <w:keepNext w:val="0"/>
              <w:keepLines w:val="0"/>
              <w:suppressLineNumbers w:val="0"/>
              <w:spacing w:before="0" w:beforeAutospacing="0" w:after="0" w:afterAutospacing="0"/>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textAlignment w:val="auto"/>
              <w:rPr>
                <w:rFonts w:hint="eastAsia"/>
                <w:lang w:val="en-US" w:eastAsia="zh-CN"/>
              </w:rPr>
            </w:pPr>
          </w:p>
          <w:p>
            <w:pPr>
              <w:pStyle w:val="2"/>
              <w:keepLines w:val="0"/>
              <w:suppressLineNumbers w:val="0"/>
              <w:spacing w:beforeAutospacing="0" w:afterAutospacing="0"/>
              <w:ind w:left="0" w:leftChars="0" w:right="0" w:firstLine="0" w:firstLineChars="0"/>
              <w:rPr>
                <w:rFonts w:hint="eastAsia"/>
                <w:lang w:val="en-US" w:eastAsia="zh-CN"/>
              </w:rPr>
            </w:pPr>
          </w:p>
        </w:tc>
      </w:tr>
    </w:tbl>
    <w:p>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cs="黑体"/>
          <w:b w:val="0"/>
          <w:bCs w:val="0"/>
          <w:snapToGrid w:val="0"/>
          <w:sz w:val="30"/>
          <w:szCs w:val="30"/>
        </w:rPr>
        <w:t>四、主要环境影响和保护措施</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7"/>
        <w:gridCol w:w="883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807" w:type="dxa"/>
            <w:noWrap w:val="0"/>
            <w:tcMar>
              <w:left w:w="28" w:type="dxa"/>
              <w:right w:w="28" w:type="dxa"/>
            </w:tcMar>
            <w:vAlign w:val="center"/>
          </w:tcPr>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 w:val="24"/>
                <w:szCs w:val="24"/>
                <w:lang w:val="en-US" w:eastAsia="zh-CN"/>
              </w:rPr>
            </w:pPr>
            <w:r>
              <w:rPr>
                <w:rFonts w:hint="default" w:ascii="Times New Roman" w:hAnsi="Times New Roman"/>
                <w:kern w:val="2"/>
                <w:sz w:val="24"/>
                <w:szCs w:val="24"/>
                <w:lang w:val="en-US" w:eastAsia="zh-CN"/>
              </w:rPr>
              <w:t>施工</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 w:val="24"/>
                <w:szCs w:val="24"/>
                <w:lang w:val="en-US" w:eastAsia="zh-CN"/>
              </w:rPr>
            </w:pPr>
            <w:r>
              <w:rPr>
                <w:rFonts w:hint="default" w:ascii="Times New Roman" w:hAnsi="Times New Roman"/>
                <w:kern w:val="2"/>
                <w:sz w:val="24"/>
                <w:szCs w:val="24"/>
                <w:lang w:val="en-US" w:eastAsia="zh-CN"/>
              </w:rPr>
              <w:t>期环</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 w:val="24"/>
                <w:szCs w:val="24"/>
                <w:lang w:val="en-US" w:eastAsia="zh-CN"/>
              </w:rPr>
            </w:pPr>
            <w:r>
              <w:rPr>
                <w:rFonts w:hint="default" w:ascii="Times New Roman" w:hAnsi="Times New Roman"/>
                <w:kern w:val="2"/>
                <w:sz w:val="24"/>
                <w:szCs w:val="24"/>
                <w:lang w:val="en-US" w:eastAsia="zh-CN"/>
              </w:rPr>
              <w:t>境保</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kern w:val="2"/>
                <w:sz w:val="24"/>
                <w:szCs w:val="24"/>
                <w:lang w:val="en-US" w:eastAsia="zh-CN"/>
              </w:rPr>
            </w:pPr>
            <w:r>
              <w:rPr>
                <w:rFonts w:hint="default" w:ascii="Times New Roman" w:hAnsi="Times New Roman"/>
                <w:kern w:val="2"/>
                <w:sz w:val="24"/>
                <w:szCs w:val="24"/>
                <w:lang w:val="en-US" w:eastAsia="zh-CN"/>
              </w:rPr>
              <w:t>护措</w:t>
            </w:r>
          </w:p>
          <w:p>
            <w:pPr>
              <w:pStyle w:val="18"/>
              <w:keepNext w:val="0"/>
              <w:keepLines w:val="0"/>
              <w:suppressLineNumbers w:val="0"/>
              <w:adjustRightInd w:val="0"/>
              <w:snapToGrid w:val="0"/>
              <w:spacing w:before="0" w:beforeAutospacing="0" w:after="0" w:afterAutospacing="0"/>
              <w:ind w:left="0" w:right="0"/>
              <w:jc w:val="center"/>
              <w:rPr>
                <w:rFonts w:hint="default" w:ascii="Times New Roman" w:hAnsi="Times New Roman"/>
                <w:bCs/>
                <w:kern w:val="2"/>
                <w:sz w:val="21"/>
                <w:szCs w:val="21"/>
                <w:lang w:val="en-US" w:eastAsia="zh-CN"/>
              </w:rPr>
            </w:pPr>
            <w:r>
              <w:rPr>
                <w:rFonts w:hint="default" w:ascii="Times New Roman" w:hAnsi="Times New Roman"/>
                <w:kern w:val="2"/>
                <w:sz w:val="24"/>
                <w:szCs w:val="24"/>
                <w:lang w:val="en-US" w:eastAsia="zh-CN"/>
              </w:rPr>
              <w:t>施</w:t>
            </w:r>
          </w:p>
        </w:tc>
        <w:tc>
          <w:tcPr>
            <w:tcW w:w="8832" w:type="dxa"/>
            <w:noWrap w:val="0"/>
            <w:vAlign w:val="center"/>
          </w:tcPr>
          <w:p>
            <w:pPr>
              <w:keepNext w:val="0"/>
              <w:keepLines w:val="0"/>
              <w:suppressLineNumbers w:val="0"/>
              <w:adjustRightInd w:val="0"/>
              <w:snapToGrid w:val="0"/>
              <w:spacing w:before="0" w:beforeAutospacing="0" w:after="0" w:afterAutospacing="0" w:line="440" w:lineRule="exact"/>
              <w:ind w:left="0" w:right="0" w:firstLine="480" w:firstLineChars="200"/>
              <w:rPr>
                <w:rFonts w:hint="default"/>
                <w:bCs/>
                <w:spacing w:val="-10"/>
                <w:sz w:val="24"/>
              </w:rPr>
            </w:pPr>
            <w:r>
              <w:rPr>
                <w:rFonts w:hint="default" w:ascii="宋体" w:hAnsi="宋体"/>
                <w:sz w:val="24"/>
              </w:rPr>
              <w:t>本项目</w:t>
            </w:r>
            <w:r>
              <w:rPr>
                <w:rFonts w:hint="eastAsia" w:ascii="宋体" w:hAnsi="宋体"/>
                <w:sz w:val="24"/>
              </w:rPr>
              <w:t>现有厂房进行建设</w:t>
            </w:r>
            <w:r>
              <w:rPr>
                <w:rFonts w:hint="default" w:ascii="宋体" w:hAnsi="宋体"/>
                <w:sz w:val="24"/>
              </w:rPr>
              <w:t>，不涉及建筑物的施工建设，只需要室内装修和安装设备，故本次评价不对施工期环境影响进行分析。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8" w:hRule="atLeast"/>
          <w:jc w:val="center"/>
        </w:trPr>
        <w:tc>
          <w:tcPr>
            <w:tcW w:w="807" w:type="dxa"/>
            <w:tcBorders>
              <w:right w:val="single" w:color="000000" w:sz="4" w:space="0"/>
            </w:tcBorders>
            <w:noWrap w:val="0"/>
            <w:tcMar>
              <w:left w:w="28" w:type="dxa"/>
              <w:right w:w="28"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 w:val="24"/>
                <w:szCs w:val="24"/>
              </w:rPr>
            </w:pPr>
            <w:r>
              <w:rPr>
                <w:rFonts w:hint="default"/>
                <w:bCs/>
                <w:sz w:val="24"/>
                <w:szCs w:val="24"/>
              </w:rPr>
              <w:t>运营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 w:val="24"/>
                <w:szCs w:val="24"/>
              </w:rPr>
            </w:pPr>
            <w:r>
              <w:rPr>
                <w:rFonts w:hint="default"/>
                <w:bCs/>
                <w:sz w:val="24"/>
                <w:szCs w:val="24"/>
              </w:rPr>
              <w:t>期环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 w:val="24"/>
                <w:szCs w:val="24"/>
              </w:rPr>
            </w:pPr>
            <w:r>
              <w:rPr>
                <w:rFonts w:hint="default"/>
                <w:bCs/>
                <w:sz w:val="24"/>
                <w:szCs w:val="24"/>
              </w:rPr>
              <w:t>境影</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 w:val="24"/>
                <w:szCs w:val="24"/>
              </w:rPr>
            </w:pPr>
            <w:r>
              <w:rPr>
                <w:rFonts w:hint="default"/>
                <w:bCs/>
                <w:sz w:val="24"/>
                <w:szCs w:val="24"/>
              </w:rPr>
              <w:t>响和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 w:val="24"/>
                <w:szCs w:val="24"/>
              </w:rPr>
            </w:pPr>
            <w:r>
              <w:rPr>
                <w:rFonts w:hint="default"/>
                <w:bCs/>
                <w:sz w:val="24"/>
                <w:szCs w:val="24"/>
              </w:rPr>
              <w:t>保护</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bCs/>
                <w:szCs w:val="21"/>
              </w:rPr>
            </w:pPr>
            <w:r>
              <w:rPr>
                <w:rFonts w:hint="default"/>
                <w:bCs/>
                <w:sz w:val="24"/>
                <w:szCs w:val="24"/>
              </w:rPr>
              <w:t>措施</w:t>
            </w:r>
          </w:p>
        </w:tc>
        <w:tc>
          <w:tcPr>
            <w:tcW w:w="8832" w:type="dxa"/>
            <w:tcBorders>
              <w:left w:val="single" w:color="000000" w:sz="4" w:space="0"/>
            </w:tcBorders>
            <w:noWrap w:val="0"/>
            <w:vAlign w:val="top"/>
          </w:tcPr>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宋体" w:hAnsi="宋体"/>
                <w:color w:val="auto"/>
                <w:sz w:val="24"/>
              </w:rPr>
            </w:pPr>
            <w:r>
              <w:rPr>
                <w:rFonts w:hint="eastAsia" w:ascii="宋体" w:hAnsi="宋体"/>
                <w:color w:val="auto"/>
                <w:sz w:val="24"/>
              </w:rPr>
              <w:t>该项目生产过程中主要污染因素为废气、废水、噪声和固废。</w:t>
            </w:r>
          </w:p>
          <w:p>
            <w:pPr>
              <w:keepNext w:val="0"/>
              <w:keepLines w:val="0"/>
              <w:suppressLineNumbers w:val="0"/>
              <w:adjustRightInd w:val="0"/>
              <w:snapToGrid w:val="0"/>
              <w:spacing w:before="0" w:beforeAutospacing="0" w:after="0" w:afterAutospacing="0" w:line="440" w:lineRule="exact"/>
              <w:ind w:left="0" w:right="0" w:firstLine="482" w:firstLineChars="200"/>
              <w:rPr>
                <w:rFonts w:hint="eastAsia" w:ascii="宋体" w:hAnsi="宋体" w:eastAsia="宋体"/>
                <w:b/>
                <w:color w:val="auto"/>
                <w:sz w:val="24"/>
                <w:lang w:eastAsia="zh-CN"/>
              </w:rPr>
            </w:pPr>
            <w:r>
              <w:rPr>
                <w:rFonts w:hint="eastAsia" w:ascii="宋体" w:hAnsi="宋体"/>
                <w:b/>
                <w:color w:val="auto"/>
                <w:sz w:val="24"/>
              </w:rPr>
              <w:t>一、废气</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hAnsi="宋体" w:eastAsia="宋体"/>
                <w:color w:val="auto"/>
                <w:sz w:val="24"/>
                <w:lang w:val="en-US" w:eastAsia="zh-CN"/>
              </w:rPr>
            </w:pPr>
            <w:r>
              <w:rPr>
                <w:rFonts w:hint="eastAsia" w:hAnsi="宋体"/>
                <w:color w:val="auto"/>
                <w:sz w:val="24"/>
                <w:lang w:val="en-US" w:eastAsia="zh-CN"/>
              </w:rPr>
              <w:t>本项目运营期间主要产生的废气为加热搅拌、挤出成形和拉条成形工序产生的非甲烷总烃。</w:t>
            </w:r>
          </w:p>
          <w:p>
            <w:pPr>
              <w:keepNext w:val="0"/>
              <w:keepLines w:val="0"/>
              <w:pageBreakBefore w:val="0"/>
              <w:suppressLineNumbers w:val="0"/>
              <w:kinsoku/>
              <w:wordWrap/>
              <w:overflowPunct/>
              <w:topLinePunct w:val="0"/>
              <w:bidi w:val="0"/>
              <w:adjustRightInd w:val="0"/>
              <w:snapToGrid w:val="0"/>
              <w:spacing w:before="0" w:beforeAutospacing="0" w:after="0" w:afterAutospacing="0" w:line="440" w:lineRule="exact"/>
              <w:ind w:left="0" w:right="0" w:firstLine="482" w:firstLineChars="200"/>
              <w:textAlignment w:val="auto"/>
              <w:rPr>
                <w:rFonts w:hint="default" w:hAnsi="宋体" w:eastAsia="宋体"/>
                <w:b/>
                <w:bCs/>
                <w:color w:val="auto"/>
                <w:sz w:val="24"/>
                <w:szCs w:val="24"/>
                <w:lang w:val="en-US" w:eastAsia="zh-CN"/>
              </w:rPr>
            </w:pPr>
            <w:r>
              <w:rPr>
                <w:rFonts w:hint="eastAsia" w:hAnsi="宋体"/>
                <w:b/>
                <w:bCs/>
                <w:color w:val="auto"/>
                <w:sz w:val="24"/>
                <w:szCs w:val="24"/>
                <w:lang w:val="en-US" w:eastAsia="zh-CN"/>
              </w:rPr>
              <w:t>1、废气源强分析</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color w:val="auto"/>
                <w:sz w:val="24"/>
              </w:rPr>
            </w:pPr>
            <w:r>
              <w:rPr>
                <w:rFonts w:hint="eastAsia"/>
                <w:color w:val="auto"/>
                <w:sz w:val="24"/>
              </w:rPr>
              <w:t>本项目所用石蜡、PE蜡沸点约为371</w:t>
            </w:r>
            <w:r>
              <w:rPr>
                <w:rFonts w:hint="default" w:ascii="Times New Roman" w:hAnsi="Times New Roman" w:cs="Times New Roman"/>
                <w:color w:val="auto"/>
                <w:sz w:val="24"/>
              </w:rPr>
              <w:t>℃</w:t>
            </w:r>
            <w:r>
              <w:rPr>
                <w:rFonts w:hint="eastAsia"/>
                <w:color w:val="auto"/>
                <w:sz w:val="24"/>
              </w:rPr>
              <w:t>，EVA树脂热分解温度为230-250</w:t>
            </w:r>
            <w:r>
              <w:rPr>
                <w:rFonts w:hint="default" w:ascii="Times New Roman" w:hAnsi="Times New Roman" w:cs="Times New Roman"/>
                <w:color w:val="auto"/>
                <w:sz w:val="24"/>
              </w:rPr>
              <w:t>℃</w:t>
            </w:r>
            <w:r>
              <w:rPr>
                <w:rFonts w:hint="eastAsia"/>
                <w:color w:val="auto"/>
                <w:sz w:val="24"/>
              </w:rPr>
              <w:t>，138#松香甘油树脂和加氢石油树脂沸点为300</w:t>
            </w:r>
            <w:r>
              <w:rPr>
                <w:rFonts w:hint="default" w:ascii="Times New Roman" w:hAnsi="Times New Roman" w:cs="Times New Roman"/>
                <w:color w:val="auto"/>
                <w:sz w:val="24"/>
              </w:rPr>
              <w:t>℃</w:t>
            </w:r>
            <w:r>
              <w:rPr>
                <w:rFonts w:hint="eastAsia"/>
                <w:color w:val="auto"/>
                <w:sz w:val="24"/>
              </w:rPr>
              <w:t>，</w:t>
            </w:r>
            <w:r>
              <w:rPr>
                <w:rFonts w:hint="eastAsia"/>
                <w:color w:val="auto"/>
                <w:sz w:val="24"/>
                <w:lang w:val="en-US" w:eastAsia="zh-CN"/>
              </w:rPr>
              <w:t>电加热搅拌罐</w:t>
            </w:r>
            <w:r>
              <w:rPr>
                <w:rFonts w:hint="eastAsia"/>
                <w:color w:val="auto"/>
                <w:sz w:val="24"/>
              </w:rPr>
              <w:t>温度在</w:t>
            </w:r>
            <w:r>
              <w:rPr>
                <w:rFonts w:hint="eastAsia"/>
                <w:color w:val="auto"/>
                <w:sz w:val="24"/>
                <w:lang w:val="en-US" w:eastAsia="zh-CN"/>
              </w:rPr>
              <w:t>180</w:t>
            </w:r>
            <w:r>
              <w:rPr>
                <w:rFonts w:hint="default" w:ascii="Times New Roman" w:hAnsi="Times New Roman" w:cs="Times New Roman"/>
                <w:color w:val="auto"/>
                <w:sz w:val="24"/>
              </w:rPr>
              <w:t>℃</w:t>
            </w:r>
            <w:r>
              <w:rPr>
                <w:rFonts w:hint="eastAsia"/>
                <w:color w:val="auto"/>
                <w:sz w:val="24"/>
              </w:rPr>
              <w:t>左右，均低于各原辅材料的热分解和沸点温度，根据原辅材料理化性质可知，混合搅拌过程不会发生化学反应，</w:t>
            </w:r>
            <w:r>
              <w:rPr>
                <w:rFonts w:hint="eastAsia"/>
                <w:color w:val="auto"/>
                <w:sz w:val="24"/>
                <w:lang w:val="en-US" w:eastAsia="zh-CN"/>
              </w:rPr>
              <w:t>但会有少量树脂单体挥发出来，</w:t>
            </w:r>
            <w:r>
              <w:rPr>
                <w:rFonts w:hint="eastAsia"/>
                <w:color w:val="auto"/>
                <w:sz w:val="24"/>
              </w:rPr>
              <w:t>同时甘油松香树脂也有一定的特殊气味产生，形成有机废气，以非甲烷总烃计。</w:t>
            </w:r>
          </w:p>
          <w:p>
            <w:pPr>
              <w:pStyle w:val="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宋体" w:hAnsi="宋体" w:eastAsia="宋体" w:cs="宋体"/>
                <w:color w:val="auto"/>
                <w:sz w:val="24"/>
                <w:lang w:val="en-US" w:eastAsia="zh-CN"/>
              </w:rPr>
            </w:pPr>
            <w:r>
              <w:rPr>
                <w:rFonts w:hint="eastAsia"/>
                <w:color w:val="auto"/>
                <w:sz w:val="24"/>
              </w:rPr>
              <w:t>本项目在密闭车间进行生产，经查阅《排放源统计调查产排污核算和系数手册》</w:t>
            </w:r>
            <w:r>
              <w:rPr>
                <w:rFonts w:hint="eastAsia"/>
                <w:color w:val="auto"/>
                <w:sz w:val="24"/>
                <w:lang w:eastAsia="zh-CN"/>
              </w:rPr>
              <w:t>（</w:t>
            </w:r>
            <w:r>
              <w:rPr>
                <w:rFonts w:hint="eastAsia"/>
                <w:color w:val="auto"/>
                <w:sz w:val="24"/>
                <w:lang w:val="en-US" w:eastAsia="zh-CN"/>
              </w:rPr>
              <w:t>《292塑料制品业系数手册》），以树脂和助剂为原料，通过配料—混合—挤出</w:t>
            </w:r>
            <w:r>
              <w:rPr>
                <w:rFonts w:hint="eastAsia" w:ascii="宋体" w:hAnsi="宋体" w:eastAsia="宋体" w:cs="宋体"/>
                <w:color w:val="auto"/>
                <w:sz w:val="24"/>
                <w:lang w:val="en-US" w:eastAsia="zh-CN"/>
              </w:rPr>
              <w:t>/注塑进行塑料制品生产企业非甲烷总烃产污系数为</w:t>
            </w:r>
            <w:r>
              <w:rPr>
                <w:rFonts w:hint="default" w:ascii="Times New Roman" w:hAnsi="Times New Roman" w:eastAsia="宋体" w:cs="Times New Roman"/>
                <w:color w:val="auto"/>
                <w:sz w:val="24"/>
                <w:lang w:val="en-US" w:eastAsia="zh-CN"/>
              </w:rPr>
              <w:t>2.7kg/t</w:t>
            </w:r>
            <w:r>
              <w:rPr>
                <w:rFonts w:hint="eastAsia" w:ascii="Times New Roman" w:hAnsi="Times New Roman" w:eastAsia="宋体" w:cs="Times New Roman"/>
                <w:color w:val="auto"/>
                <w:sz w:val="24"/>
                <w:lang w:val="en-US" w:eastAsia="zh-CN"/>
              </w:rPr>
              <w:t>·原材料。依据《污染源源强核算技术指南准则》（HJ884-2018），本项目源强核算可</w:t>
            </w:r>
            <w:r>
              <w:rPr>
                <w:rFonts w:hint="eastAsia" w:ascii="Times New Roman" w:hAnsi="Times New Roman" w:eastAsia="宋体" w:cs="Times New Roman"/>
                <w:color w:val="auto"/>
                <w:lang w:val="en-US" w:eastAsia="zh-CN"/>
              </w:rPr>
              <w:t>采用</w:t>
            </w:r>
            <w:r>
              <w:rPr>
                <w:rFonts w:hint="eastAsia" w:cs="Times New Roman"/>
                <w:color w:val="auto"/>
                <w:lang w:val="en-US" w:eastAsia="zh-CN"/>
              </w:rPr>
              <w:t>产物系数法。本</w:t>
            </w:r>
            <w:r>
              <w:rPr>
                <w:rFonts w:hint="eastAsia" w:cs="Times New Roman"/>
                <w:color w:val="auto"/>
                <w:highlight w:val="none"/>
                <w:lang w:val="en-US" w:eastAsia="zh-CN"/>
              </w:rPr>
              <w:t>项目分为两期进行建设，一期预计2023年8月完工；二期预计2024年8月开工，</w:t>
            </w:r>
            <w:r>
              <w:rPr>
                <w:rFonts w:hint="eastAsia" w:cs="Times New Roman"/>
                <w:color w:val="auto"/>
                <w:lang w:val="en-US" w:eastAsia="zh-CN"/>
              </w:rPr>
              <w:t>项目一期原材料使用量为300t/a，则项目一期非甲烷总烃产生量为0.81t/a；项目二期原材料使用量为600t/a，则项目二期非甲烷总烃产生量为1.62t/a。待项目全厂建成后，项目非甲烷总烃总产生量为2.43t/a。</w:t>
            </w:r>
          </w:p>
          <w:p>
            <w:pPr>
              <w:keepNext w:val="0"/>
              <w:keepLines w:val="0"/>
              <w:suppressLineNumbers w:val="0"/>
              <w:adjustRightInd w:val="0"/>
              <w:snapToGrid w:val="0"/>
              <w:spacing w:before="0" w:beforeAutospacing="0" w:after="0" w:afterAutospacing="0" w:line="440" w:lineRule="exact"/>
              <w:ind w:left="0" w:right="0" w:firstLine="482" w:firstLineChars="200"/>
              <w:rPr>
                <w:rFonts w:hint="eastAsia"/>
                <w:b/>
                <w:bCs/>
                <w:color w:val="auto"/>
                <w:sz w:val="24"/>
                <w:lang w:val="en-US" w:eastAsia="zh-CN"/>
              </w:rPr>
            </w:pPr>
            <w:r>
              <w:rPr>
                <w:rFonts w:hint="eastAsia"/>
                <w:b/>
                <w:bCs/>
                <w:color w:val="auto"/>
                <w:sz w:val="24"/>
                <w:lang w:val="en-US" w:eastAsia="zh-CN"/>
              </w:rPr>
              <w:t>2、废气处理措施</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eastAsia="宋体" w:cs="宋体"/>
                <w:b/>
                <w:bCs w:val="0"/>
                <w:color w:val="auto"/>
                <w:sz w:val="24"/>
                <w:szCs w:val="24"/>
                <w:lang w:val="en-US" w:eastAsia="zh-CN"/>
              </w:rPr>
            </w:pPr>
            <w:r>
              <w:rPr>
                <w:rFonts w:hint="eastAsia"/>
                <w:color w:val="auto"/>
                <w:sz w:val="24"/>
              </w:rPr>
              <w:t>本项目</w:t>
            </w:r>
            <w:r>
              <w:rPr>
                <w:rFonts w:hint="eastAsia"/>
                <w:color w:val="auto"/>
                <w:sz w:val="24"/>
                <w:lang w:val="en-US" w:eastAsia="zh-CN"/>
              </w:rPr>
              <w:t>两期建设三</w:t>
            </w:r>
            <w:r>
              <w:rPr>
                <w:rFonts w:hint="eastAsia" w:hAnsi="宋体"/>
                <w:color w:val="auto"/>
                <w:sz w:val="24"/>
              </w:rPr>
              <w:t>条生产线</w:t>
            </w:r>
            <w:r>
              <w:rPr>
                <w:rFonts w:hint="eastAsia"/>
                <w:color w:val="auto"/>
                <w:sz w:val="24"/>
              </w:rPr>
              <w:t>共用一套</w:t>
            </w:r>
            <w:r>
              <w:rPr>
                <w:rFonts w:hint="eastAsia"/>
                <w:color w:val="auto"/>
                <w:sz w:val="24"/>
                <w:lang w:val="en-US" w:eastAsia="zh-CN"/>
              </w:rPr>
              <w:t>废气处理措施</w:t>
            </w:r>
            <w:r>
              <w:rPr>
                <w:rFonts w:hint="eastAsia"/>
                <w:color w:val="auto"/>
                <w:sz w:val="24"/>
              </w:rPr>
              <w:t>。</w:t>
            </w:r>
            <w:r>
              <w:rPr>
                <w:rFonts w:hint="eastAsia"/>
                <w:bCs/>
                <w:color w:val="auto"/>
                <w:sz w:val="24"/>
                <w:szCs w:val="24"/>
                <w:lang w:val="en-US" w:eastAsia="zh-CN"/>
              </w:rPr>
              <w:t>本项目</w:t>
            </w:r>
            <w:r>
              <w:rPr>
                <w:rFonts w:hint="eastAsia"/>
                <w:color w:val="auto"/>
                <w:sz w:val="24"/>
                <w:szCs w:val="24"/>
              </w:rPr>
              <w:t>针对产生的有机废气</w:t>
            </w:r>
            <w:r>
              <w:rPr>
                <w:rFonts w:hint="eastAsia"/>
                <w:color w:val="auto"/>
                <w:sz w:val="24"/>
                <w:szCs w:val="24"/>
                <w:lang w:val="en-US" w:eastAsia="zh-CN"/>
              </w:rPr>
              <w:t>经密闭管道收集</w:t>
            </w:r>
            <w:r>
              <w:rPr>
                <w:rFonts w:hint="eastAsia"/>
                <w:color w:val="auto"/>
                <w:sz w:val="24"/>
                <w:szCs w:val="24"/>
              </w:rPr>
              <w:t>+活性炭吸附脱附</w:t>
            </w:r>
            <w:r>
              <w:rPr>
                <w:rFonts w:hint="eastAsia"/>
                <w:color w:val="auto"/>
                <w:sz w:val="24"/>
                <w:szCs w:val="24"/>
                <w:lang w:val="en-US" w:eastAsia="zh-CN"/>
              </w:rPr>
              <w:t>+</w:t>
            </w:r>
            <w:r>
              <w:rPr>
                <w:rFonts w:hint="eastAsia"/>
                <w:color w:val="auto"/>
                <w:sz w:val="24"/>
                <w:szCs w:val="24"/>
              </w:rPr>
              <w:t>催化燃烧装置处理+15m高排气筒</w:t>
            </w:r>
            <w:r>
              <w:rPr>
                <w:rFonts w:hint="eastAsia"/>
                <w:color w:val="auto"/>
                <w:sz w:val="24"/>
                <w:szCs w:val="24"/>
                <w:lang w:eastAsia="zh-CN"/>
              </w:rPr>
              <w:t>（</w:t>
            </w:r>
            <w:r>
              <w:rPr>
                <w:rFonts w:hint="eastAsia"/>
                <w:color w:val="auto"/>
                <w:sz w:val="24"/>
                <w:szCs w:val="24"/>
                <w:lang w:val="en-US" w:eastAsia="zh-CN"/>
              </w:rPr>
              <w:t>DA001</w:t>
            </w:r>
            <w:r>
              <w:rPr>
                <w:rFonts w:hint="eastAsia"/>
                <w:color w:val="auto"/>
                <w:sz w:val="24"/>
                <w:szCs w:val="24"/>
                <w:lang w:eastAsia="zh-CN"/>
              </w:rPr>
              <w:t>）</w:t>
            </w:r>
            <w:r>
              <w:rPr>
                <w:rFonts w:hint="eastAsia"/>
                <w:color w:val="auto"/>
                <w:sz w:val="24"/>
                <w:szCs w:val="24"/>
              </w:rPr>
              <w:t>排放。</w:t>
            </w:r>
          </w:p>
          <w:p>
            <w:pPr>
              <w:pStyle w:val="70"/>
              <w:keepNext w:val="0"/>
              <w:keepLines w:val="0"/>
              <w:widowControl/>
              <w:numPr>
                <w:ilvl w:val="0"/>
                <w:numId w:val="0"/>
              </w:numPr>
              <w:suppressLineNumbers w:val="0"/>
              <w:spacing w:before="0" w:beforeAutospacing="0" w:after="0" w:afterAutospacing="0" w:line="440" w:lineRule="exact"/>
              <w:ind w:left="0" w:right="0" w:firstLine="482" w:firstLineChars="200"/>
              <w:rPr>
                <w:rFonts w:hint="eastAsia" w:eastAsia="宋体" w:cs="宋体"/>
                <w:b/>
                <w:bCs w:val="0"/>
                <w:color w:val="auto"/>
                <w:sz w:val="24"/>
                <w:szCs w:val="24"/>
                <w:lang w:val="en-US" w:eastAsia="zh-CN"/>
              </w:rPr>
            </w:pPr>
          </w:p>
          <w:p>
            <w:pPr>
              <w:pStyle w:val="70"/>
              <w:keepNext w:val="0"/>
              <w:keepLines w:val="0"/>
              <w:widowControl/>
              <w:numPr>
                <w:ilvl w:val="0"/>
                <w:numId w:val="0"/>
              </w:numPr>
              <w:suppressLineNumbers w:val="0"/>
              <w:spacing w:before="0" w:beforeAutospacing="0" w:after="0" w:afterAutospacing="0" w:line="440" w:lineRule="exact"/>
              <w:ind w:left="0" w:right="0" w:firstLine="482" w:firstLineChars="200"/>
              <w:rPr>
                <w:rFonts w:hint="eastAsia" w:eastAsia="宋体" w:cs="宋体"/>
                <w:b/>
                <w:bCs w:val="0"/>
                <w:color w:val="auto"/>
                <w:sz w:val="24"/>
                <w:szCs w:val="24"/>
                <w:lang w:val="en-US" w:eastAsia="zh-CN"/>
              </w:rPr>
            </w:pPr>
          </w:p>
          <w:p>
            <w:pPr>
              <w:pStyle w:val="70"/>
              <w:keepNext w:val="0"/>
              <w:keepLines w:val="0"/>
              <w:widowControl/>
              <w:numPr>
                <w:ilvl w:val="0"/>
                <w:numId w:val="0"/>
              </w:numPr>
              <w:suppressLineNumbers w:val="0"/>
              <w:spacing w:before="0" w:beforeAutospacing="0" w:after="0" w:afterAutospacing="0" w:line="440" w:lineRule="exact"/>
              <w:ind w:left="0" w:right="0" w:firstLine="482" w:firstLineChars="200"/>
              <w:rPr>
                <w:rFonts w:hint="eastAsia" w:eastAsia="宋体"/>
                <w:color w:val="FF0000"/>
                <w:sz w:val="24"/>
                <w:lang w:val="en-US" w:eastAsia="zh-CN"/>
              </w:rPr>
            </w:pPr>
            <w:r>
              <w:rPr>
                <w:rFonts w:hint="eastAsia" w:eastAsia="宋体" w:cs="宋体"/>
                <w:b/>
                <w:bCs w:val="0"/>
                <w:color w:val="auto"/>
                <w:sz w:val="24"/>
                <w:szCs w:val="24"/>
                <w:lang w:val="en-US" w:eastAsia="zh-CN"/>
              </w:rPr>
              <w:t>活性炭</w:t>
            </w:r>
            <w:r>
              <w:rPr>
                <w:rFonts w:hint="eastAsia" w:ascii="Times New Roman" w:hAnsi="Times New Roman" w:eastAsia="宋体" w:cs="宋体"/>
                <w:b/>
                <w:bCs w:val="0"/>
                <w:color w:val="auto"/>
                <w:sz w:val="24"/>
                <w:szCs w:val="24"/>
              </w:rPr>
              <w:t>吸附</w:t>
            </w:r>
            <w:r>
              <w:rPr>
                <w:rFonts w:hint="eastAsia" w:eastAsia="宋体" w:cs="宋体"/>
                <w:b/>
                <w:bCs w:val="0"/>
                <w:color w:val="auto"/>
                <w:sz w:val="24"/>
                <w:szCs w:val="24"/>
                <w:lang w:val="en-US" w:eastAsia="zh-CN"/>
              </w:rPr>
              <w:t>脱附</w:t>
            </w:r>
            <w:r>
              <w:rPr>
                <w:rFonts w:hint="eastAsia" w:cs="宋体"/>
                <w:b/>
                <w:bCs w:val="0"/>
                <w:color w:val="auto"/>
                <w:sz w:val="24"/>
                <w:szCs w:val="24"/>
                <w:lang w:val="en-US" w:eastAsia="zh-CN"/>
              </w:rPr>
              <w:t>+</w:t>
            </w:r>
            <w:r>
              <w:rPr>
                <w:rFonts w:hint="eastAsia" w:ascii="Times New Roman" w:hAnsi="Times New Roman" w:eastAsia="宋体" w:cs="宋体"/>
                <w:b/>
                <w:bCs w:val="0"/>
                <w:color w:val="auto"/>
                <w:sz w:val="24"/>
                <w:szCs w:val="24"/>
              </w:rPr>
              <w:t>催化燃烧法的工作原理</w:t>
            </w:r>
            <w:r>
              <w:rPr>
                <w:rFonts w:hint="eastAsia" w:eastAsia="宋体" w:cs="宋体"/>
                <w:b/>
                <w:bCs w:val="0"/>
                <w:color w:val="auto"/>
                <w:sz w:val="24"/>
                <w:szCs w:val="24"/>
                <w:lang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r>
              <w:rPr>
                <w:rFonts w:hint="default"/>
                <w:color w:val="FF0000"/>
                <w:sz w:val="24"/>
              </w:rPr>
              <w:drawing>
                <wp:anchor distT="0" distB="0" distL="114300" distR="114300" simplePos="0" relativeHeight="251661312" behindDoc="0" locked="0" layoutInCell="1" allowOverlap="1">
                  <wp:simplePos x="0" y="0"/>
                  <wp:positionH relativeFrom="column">
                    <wp:posOffset>154940</wp:posOffset>
                  </wp:positionH>
                  <wp:positionV relativeFrom="paragraph">
                    <wp:posOffset>635</wp:posOffset>
                  </wp:positionV>
                  <wp:extent cx="5161915" cy="2804795"/>
                  <wp:effectExtent l="0" t="0" r="635" b="1460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161915" cy="2804795"/>
                          </a:xfrm>
                          <a:prstGeom prst="rect">
                            <a:avLst/>
                          </a:prstGeom>
                          <a:noFill/>
                          <a:ln>
                            <a:noFill/>
                          </a:ln>
                        </pic:spPr>
                      </pic:pic>
                    </a:graphicData>
                  </a:graphic>
                </wp:anchor>
              </w:drawing>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FF0000"/>
                <w:sz w:val="24"/>
              </w:rPr>
            </w:pPr>
          </w:p>
          <w:p>
            <w:pPr>
              <w:keepNext w:val="0"/>
              <w:keepLines w:val="0"/>
              <w:widowControl w:val="0"/>
              <w:suppressLineNumbers w:val="0"/>
              <w:tabs>
                <w:tab w:val="left" w:pos="2940"/>
              </w:tabs>
              <w:spacing w:before="0" w:beforeAutospacing="0" w:after="0" w:afterAutospacing="0" w:line="440" w:lineRule="exact"/>
              <w:ind w:left="0" w:right="0"/>
              <w:jc w:val="both"/>
              <w:rPr>
                <w:rFonts w:hint="eastAsia" w:ascii="Times New Roman" w:hAnsi="Times New Roman" w:eastAsia="宋体" w:cs="宋体"/>
                <w:b/>
                <w:bCs w:val="0"/>
                <w:color w:val="FF0000"/>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ascii="Times New Roman" w:hAnsi="Times New Roman" w:eastAsia="宋体" w:cs="宋体"/>
                <w:b/>
                <w:bCs w:val="0"/>
                <w:color w:val="FF0000"/>
                <w:kern w:val="2"/>
                <w:sz w:val="24"/>
                <w:szCs w:val="24"/>
                <w:lang w:val="en-US" w:eastAsia="zh-CN" w:bidi="ar"/>
              </w:rPr>
            </w:pPr>
          </w:p>
          <w:p>
            <w:pPr>
              <w:keepNext w:val="0"/>
              <w:keepLines w:val="0"/>
              <w:widowControl w:val="0"/>
              <w:suppressLineNumbers w:val="0"/>
              <w:tabs>
                <w:tab w:val="left" w:pos="2940"/>
              </w:tabs>
              <w:spacing w:before="0" w:beforeAutospacing="0" w:after="0" w:afterAutospacing="0" w:line="440" w:lineRule="exact"/>
              <w:ind w:left="0" w:right="0"/>
              <w:jc w:val="center"/>
              <w:rPr>
                <w:rFonts w:hint="eastAsia"/>
                <w:color w:val="auto"/>
                <w:sz w:val="24"/>
              </w:rPr>
            </w:pPr>
            <w:r>
              <w:rPr>
                <w:rFonts w:hint="eastAsia" w:ascii="Times New Roman" w:hAnsi="Times New Roman" w:eastAsia="宋体" w:cs="宋体"/>
                <w:b/>
                <w:bCs w:val="0"/>
                <w:color w:val="auto"/>
                <w:kern w:val="2"/>
                <w:sz w:val="24"/>
                <w:szCs w:val="24"/>
                <w:lang w:val="en-US" w:eastAsia="zh-CN" w:bidi="ar"/>
              </w:rPr>
              <w:t>图</w:t>
            </w:r>
            <w:r>
              <w:rPr>
                <w:rFonts w:hint="default" w:ascii="Times New Roman" w:hAnsi="Times New Roman" w:eastAsia="宋体" w:cs="Times New Roman"/>
                <w:b/>
                <w:bCs w:val="0"/>
                <w:color w:val="auto"/>
                <w:kern w:val="2"/>
                <w:sz w:val="24"/>
                <w:szCs w:val="24"/>
                <w:lang w:val="en-US" w:eastAsia="zh-CN" w:bidi="ar"/>
              </w:rPr>
              <w:t xml:space="preserve"> </w:t>
            </w:r>
            <w:r>
              <w:rPr>
                <w:rFonts w:hint="eastAsia" w:cs="Times New Roman"/>
                <w:b/>
                <w:bCs w:val="0"/>
                <w:color w:val="auto"/>
                <w:kern w:val="2"/>
                <w:sz w:val="24"/>
                <w:szCs w:val="24"/>
                <w:lang w:val="en-US" w:eastAsia="zh-CN" w:bidi="ar"/>
              </w:rPr>
              <w:t>3</w:t>
            </w:r>
            <w:r>
              <w:rPr>
                <w:rFonts w:hint="default" w:ascii="Times New Roman" w:hAnsi="Times New Roman" w:eastAsia="宋体" w:cs="Times New Roman"/>
                <w:b/>
                <w:bCs w:val="0"/>
                <w:color w:val="auto"/>
                <w:kern w:val="2"/>
                <w:sz w:val="24"/>
                <w:szCs w:val="24"/>
                <w:lang w:val="en-US" w:eastAsia="zh-CN" w:bidi="ar"/>
              </w:rPr>
              <w:t xml:space="preserve">   </w:t>
            </w:r>
            <w:r>
              <w:rPr>
                <w:rFonts w:hint="eastAsia" w:ascii="Times New Roman" w:hAnsi="Times New Roman" w:eastAsia="宋体" w:cs="Times New Roman"/>
                <w:b/>
                <w:bCs w:val="0"/>
                <w:color w:val="auto"/>
                <w:kern w:val="2"/>
                <w:sz w:val="24"/>
                <w:szCs w:val="24"/>
                <w:lang w:val="en-US" w:eastAsia="zh-CN" w:bidi="ar"/>
              </w:rPr>
              <w:t>活性炭</w:t>
            </w:r>
            <w:r>
              <w:rPr>
                <w:rFonts w:hint="eastAsia" w:ascii="Times New Roman" w:hAnsi="Times New Roman" w:eastAsia="宋体" w:cs="宋体"/>
                <w:b/>
                <w:bCs w:val="0"/>
                <w:color w:val="auto"/>
                <w:kern w:val="2"/>
                <w:sz w:val="24"/>
                <w:szCs w:val="24"/>
                <w:lang w:val="en-US" w:eastAsia="zh-CN" w:bidi="ar"/>
              </w:rPr>
              <w:t>吸附脱附</w:t>
            </w:r>
            <w:r>
              <w:rPr>
                <w:rFonts w:hint="eastAsia" w:cs="宋体"/>
                <w:b/>
                <w:bCs w:val="0"/>
                <w:color w:val="auto"/>
                <w:kern w:val="2"/>
                <w:sz w:val="24"/>
                <w:szCs w:val="24"/>
                <w:lang w:val="en-US" w:eastAsia="zh-CN" w:bidi="ar"/>
              </w:rPr>
              <w:t>+</w:t>
            </w:r>
            <w:r>
              <w:rPr>
                <w:rFonts w:hint="eastAsia" w:ascii="Times New Roman" w:hAnsi="Times New Roman" w:eastAsia="宋体" w:cs="宋体"/>
                <w:b/>
                <w:bCs w:val="0"/>
                <w:color w:val="auto"/>
                <w:kern w:val="2"/>
                <w:sz w:val="24"/>
                <w:szCs w:val="24"/>
                <w:lang w:val="en-US" w:eastAsia="zh-CN" w:bidi="ar"/>
              </w:rPr>
              <w:t>催化燃烧装置处理有机废气工艺流程图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eastAsia="宋体" w:cs="Times New Roman"/>
                <w:bCs/>
                <w:color w:val="auto"/>
                <w:sz w:val="24"/>
                <w:szCs w:val="24"/>
              </w:rPr>
              <w:t>活性炭吸附脱附</w:t>
            </w:r>
            <w:r>
              <w:rPr>
                <w:rFonts w:hint="default" w:ascii="Times New Roman" w:hAnsi="Times New Roman" w:cs="Times New Roman"/>
                <w:bCs/>
                <w:color w:val="auto"/>
                <w:sz w:val="24"/>
                <w:szCs w:val="24"/>
                <w:lang w:val="en-US" w:eastAsia="zh-CN"/>
              </w:rPr>
              <w:t>+</w:t>
            </w:r>
            <w:r>
              <w:rPr>
                <w:rFonts w:hint="default" w:ascii="Times New Roman" w:hAnsi="Times New Roman" w:eastAsia="宋体" w:cs="Times New Roman"/>
                <w:bCs/>
                <w:color w:val="auto"/>
                <w:sz w:val="24"/>
                <w:szCs w:val="24"/>
              </w:rPr>
              <w:t>催化燃烧工艺连续运行，整个系统集吸附、脱附、催化燃烧于一体。为保证系统的连续运行，采用2套活性炭吸附单元（每套活性炭吸附床为0.5m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的蜂窝状活性炭，重量约0.2</w:t>
            </w:r>
            <w:r>
              <w:rPr>
                <w:rFonts w:hint="default" w:ascii="Times New Roman" w:hAnsi="Times New Roman" w:cs="Times New Roman"/>
                <w:bCs/>
                <w:color w:val="auto"/>
                <w:sz w:val="24"/>
                <w:szCs w:val="24"/>
                <w:lang w:val="en-US" w:eastAsia="zh-CN"/>
              </w:rPr>
              <w:t>75</w:t>
            </w:r>
            <w:r>
              <w:rPr>
                <w:rFonts w:hint="default" w:ascii="Times New Roman" w:hAnsi="Times New Roman" w:eastAsia="宋体" w:cs="Times New Roman"/>
                <w:bCs/>
                <w:color w:val="auto"/>
                <w:sz w:val="24"/>
                <w:szCs w:val="24"/>
              </w:rPr>
              <w:t>t</w:t>
            </w:r>
            <w:r>
              <w:rPr>
                <w:rFonts w:hint="default" w:ascii="Times New Roman" w:hAnsi="Times New Roman" w:cs="Times New Roman"/>
                <w:bCs/>
                <w:color w:val="auto"/>
                <w:sz w:val="24"/>
                <w:szCs w:val="24"/>
                <w:lang w:eastAsia="zh-CN"/>
              </w:rPr>
              <w:t>，</w:t>
            </w:r>
            <w:r>
              <w:rPr>
                <w:rFonts w:hint="eastAsia" w:cs="Times New Roman"/>
                <w:bCs/>
                <w:color w:val="auto"/>
                <w:sz w:val="24"/>
                <w:szCs w:val="24"/>
                <w:lang w:val="en-US" w:eastAsia="zh-CN"/>
              </w:rPr>
              <w:t>项目一期</w:t>
            </w:r>
            <w:r>
              <w:rPr>
                <w:rFonts w:hint="default" w:ascii="Times New Roman" w:hAnsi="Times New Roman" w:cs="Times New Roman"/>
                <w:bCs/>
                <w:color w:val="auto"/>
                <w:sz w:val="24"/>
                <w:szCs w:val="24"/>
                <w:lang w:val="en-US" w:eastAsia="zh-CN"/>
              </w:rPr>
              <w:t>每3年更换一次，</w:t>
            </w:r>
            <w:r>
              <w:rPr>
                <w:rFonts w:hint="eastAsia" w:cs="Times New Roman"/>
                <w:bCs/>
                <w:color w:val="auto"/>
                <w:sz w:val="24"/>
                <w:szCs w:val="24"/>
                <w:lang w:val="en-US" w:eastAsia="zh-CN"/>
              </w:rPr>
              <w:t>待项目全厂建成后，每1年更换一次，每次</w:t>
            </w:r>
            <w:r>
              <w:rPr>
                <w:rFonts w:hint="default" w:ascii="Times New Roman" w:hAnsi="Times New Roman" w:cs="Times New Roman"/>
                <w:bCs/>
                <w:color w:val="auto"/>
                <w:sz w:val="24"/>
                <w:szCs w:val="24"/>
                <w:lang w:val="en-US" w:eastAsia="zh-CN"/>
              </w:rPr>
              <w:t>更换量为</w:t>
            </w:r>
            <w:r>
              <w:rPr>
                <w:rFonts w:hint="default" w:ascii="Times New Roman" w:hAnsi="Times New Roman" w:eastAsia="宋体" w:cs="Times New Roman"/>
                <w:bCs/>
                <w:color w:val="auto"/>
                <w:sz w:val="24"/>
                <w:szCs w:val="24"/>
              </w:rPr>
              <w:t>0.2</w:t>
            </w:r>
            <w:r>
              <w:rPr>
                <w:rFonts w:hint="default" w:ascii="Times New Roman" w:hAnsi="Times New Roman" w:cs="Times New Roman"/>
                <w:bCs/>
                <w:color w:val="auto"/>
                <w:sz w:val="24"/>
                <w:szCs w:val="24"/>
                <w:lang w:val="en-US" w:eastAsia="zh-CN"/>
              </w:rPr>
              <w:t>75</w:t>
            </w:r>
            <w:r>
              <w:rPr>
                <w:rFonts w:hint="default" w:ascii="Times New Roman" w:hAnsi="Times New Roman" w:eastAsia="宋体" w:cs="Times New Roman"/>
                <w:bCs/>
                <w:color w:val="auto"/>
                <w:sz w:val="24"/>
                <w:szCs w:val="24"/>
              </w:rPr>
              <w:t>t），正常运行时，1个单元处于吸附状态，1个单元处于脱附状态；当一个活性炭吸附床吸附达到预定时间后，打开脱附阀门，利用电加热器将气体加热，热风进行脱附，脱附出来的高浓度有机废气经热交换器和电加热箱预热到250℃，进到催化床燃烧氧化分解为C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和H</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O，催化反应后的高温气体约350℃，燃烧余热再通过热交换器传递给后面脱附的气体，脱附出来的高浓度有机废气经热交换器和电加热箱预热到250℃左右进入催化燃烧室，排出的净化气体CO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和H</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O，少部分与新鲜空气（约20℃）混合后成80℃脱附热风返回吸附床进行脱附</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其余的净化气体换热后经排气筒排放。</w:t>
            </w:r>
            <w:r>
              <w:rPr>
                <w:rFonts w:hint="eastAsia" w:ascii="Times New Roman" w:hAnsi="Times New Roman" w:eastAsia="宋体" w:cs="Times New Roman"/>
                <w:b w:val="0"/>
                <w:bCs w:val="0"/>
                <w:color w:val="auto"/>
                <w:sz w:val="24"/>
                <w:szCs w:val="24"/>
                <w:highlight w:val="none"/>
                <w:u w:val="none"/>
                <w:lang w:val="en-US" w:eastAsia="zh-CN"/>
              </w:rPr>
              <w:t>经查阅《排污许可证申请与核发技术规范 总则》（HJ942-2018）本项目采用的</w:t>
            </w:r>
            <w:r>
              <w:rPr>
                <w:rFonts w:hint="default" w:ascii="Times New Roman" w:hAnsi="Times New Roman" w:eastAsia="宋体" w:cs="Times New Roman"/>
                <w:b w:val="0"/>
                <w:bCs w:val="0"/>
                <w:color w:val="auto"/>
                <w:sz w:val="24"/>
                <w:szCs w:val="24"/>
                <w:highlight w:val="none"/>
                <w:u w:val="none"/>
                <w:lang w:val="en-US" w:eastAsia="zh-CN"/>
              </w:rPr>
              <w:t>活性炭吸附-脱附+催化燃烧装置</w:t>
            </w:r>
            <w:r>
              <w:rPr>
                <w:rFonts w:hint="eastAsia" w:ascii="Times New Roman" w:hAnsi="Times New Roman" w:eastAsia="宋体" w:cs="Times New Roman"/>
                <w:b w:val="0"/>
                <w:bCs w:val="0"/>
                <w:color w:val="auto"/>
                <w:sz w:val="24"/>
                <w:szCs w:val="24"/>
                <w:highlight w:val="none"/>
                <w:u w:val="none"/>
                <w:lang w:val="en-US" w:eastAsia="zh-CN"/>
              </w:rPr>
              <w:t>属于规范中废气污染物治理的可行技术。</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textAlignment w:val="auto"/>
              <w:rPr>
                <w:rFonts w:hint="default"/>
                <w:color w:val="FF0000"/>
                <w:sz w:val="24"/>
                <w:lang w:val="en-US"/>
              </w:rPr>
            </w:pPr>
            <w:r>
              <w:rPr>
                <w:rFonts w:hint="eastAsia"/>
                <w:b/>
                <w:bCs/>
                <w:color w:val="auto"/>
                <w:sz w:val="24"/>
                <w:lang w:val="en-US" w:eastAsia="zh-CN"/>
              </w:rPr>
              <w:t>3、废气排放情况</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color w:val="auto"/>
                <w:sz w:val="24"/>
                <w:lang w:val="en-US" w:eastAsia="zh-CN"/>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lang w:val="en-US" w:eastAsia="zh-CN"/>
              </w:rPr>
              <w:t>有组织废气</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lang w:val="en-US" w:eastAsia="zh-CN"/>
              </w:rPr>
            </w:pPr>
            <w:r>
              <w:rPr>
                <w:rFonts w:hint="eastAsia"/>
                <w:color w:val="auto"/>
                <w:sz w:val="24"/>
              </w:rPr>
              <w:t>本项目</w:t>
            </w:r>
            <w:r>
              <w:rPr>
                <w:rFonts w:hint="eastAsia"/>
                <w:color w:val="auto"/>
                <w:sz w:val="24"/>
                <w:lang w:val="en-US" w:eastAsia="zh-CN"/>
              </w:rPr>
              <w:t>生产设备全密闭，有机废气经密闭负压管道收集，收集效率为95%，</w:t>
            </w:r>
            <w:r>
              <w:rPr>
                <w:rFonts w:hint="eastAsia" w:ascii="宋体" w:hAnsi="宋体" w:eastAsia="宋体" w:cs="宋体"/>
                <w:color w:val="auto"/>
                <w:sz w:val="24"/>
                <w:szCs w:val="24"/>
                <w:lang w:val="en-US" w:eastAsia="zh-CN"/>
              </w:rPr>
              <w:t>有机废气处理效率（</w:t>
            </w:r>
            <w:r>
              <w:rPr>
                <w:rFonts w:hint="eastAsia" w:hAnsi="宋体"/>
                <w:color w:val="auto"/>
                <w:sz w:val="24"/>
              </w:rPr>
              <w:t>活性炭吸附脱附+催化燃烧</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为95%</w:t>
            </w:r>
            <w:r>
              <w:rPr>
                <w:rFonts w:hint="eastAsia" w:ascii="Times New Roman" w:hAnsi="Times New Roman" w:eastAsia="宋体" w:cs="Times New Roman"/>
                <w:color w:val="auto"/>
                <w:sz w:val="24"/>
                <w:szCs w:val="24"/>
                <w:lang w:val="en-US" w:eastAsia="zh-CN"/>
              </w:rPr>
              <w:t>。</w:t>
            </w:r>
            <w:r>
              <w:rPr>
                <w:rFonts w:hint="eastAsia"/>
                <w:color w:val="auto"/>
                <w:sz w:val="24"/>
                <w:lang w:val="en-US" w:eastAsia="zh-CN"/>
              </w:rPr>
              <w:t>本项目分为两期进行建设，均为单班8小时工作制，年工作日300天，则年工作2400小时，以下对废气排放情况进行分析：</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vertAlign w:val="baseline"/>
                <w:lang w:val="en-US" w:eastAsia="zh-CN"/>
              </w:rPr>
            </w:pPr>
            <w:r>
              <w:rPr>
                <w:rFonts w:hint="eastAsia"/>
                <w:color w:val="auto"/>
                <w:sz w:val="24"/>
                <w:lang w:val="en-US" w:eastAsia="zh-CN"/>
              </w:rPr>
              <w:t>①由上文可知，一期非甲烷总烃产生量为0.81t/a，风机设计风量为5000</w:t>
            </w:r>
            <w:r>
              <w:rPr>
                <w:rFonts w:hint="default"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en-US" w:eastAsia="zh-CN"/>
              </w:rPr>
              <w:t>，</w:t>
            </w:r>
            <w:r>
              <w:rPr>
                <w:rFonts w:hint="eastAsia"/>
                <w:color w:val="auto"/>
                <w:sz w:val="24"/>
                <w:lang w:val="en-US" w:eastAsia="zh-CN"/>
              </w:rPr>
              <w:t>经计算可得，本项目一期非甲烷总烃有组织产生量为0.7695t/a、产生速率为0.3206kg/h、产生浓度为64.1mg/m</w:t>
            </w:r>
            <w:r>
              <w:rPr>
                <w:rFonts w:hint="eastAsia"/>
                <w:color w:val="auto"/>
                <w:sz w:val="24"/>
                <w:vertAlign w:val="superscript"/>
                <w:lang w:val="en-US" w:eastAsia="zh-CN"/>
              </w:rPr>
              <w:t>3</w:t>
            </w:r>
            <w:r>
              <w:rPr>
                <w:rFonts w:hint="eastAsia"/>
                <w:color w:val="auto"/>
                <w:sz w:val="24"/>
                <w:lang w:val="en-US" w:eastAsia="zh-CN"/>
              </w:rPr>
              <w:t>，排放量为0.0385t/a、排放速率为0.0161kg/h、排放浓度为3.2mg/m</w:t>
            </w:r>
            <w:r>
              <w:rPr>
                <w:rFonts w:hint="eastAsia"/>
                <w:color w:val="auto"/>
                <w:sz w:val="24"/>
                <w:vertAlign w:val="superscript"/>
                <w:lang w:val="en-US" w:eastAsia="zh-CN"/>
              </w:rPr>
              <w:t>3</w:t>
            </w:r>
            <w:r>
              <w:rPr>
                <w:rFonts w:hint="eastAsia"/>
                <w:color w:val="auto"/>
                <w:sz w:val="24"/>
                <w:vertAlign w:val="baseline"/>
                <w:lang w:val="en-US"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FF0000"/>
                <w:sz w:val="24"/>
                <w:vertAlign w:val="baseline"/>
                <w:lang w:val="en-US" w:eastAsia="zh-CN"/>
              </w:rPr>
            </w:pPr>
            <w:r>
              <w:rPr>
                <w:rFonts w:hint="eastAsia"/>
                <w:color w:val="auto"/>
                <w:sz w:val="24"/>
                <w:lang w:val="en-US" w:eastAsia="zh-CN"/>
              </w:rPr>
              <w:t>②由上文可知，二期非甲烷总烃产生量为1.62t/a，风机设计风量为10000</w:t>
            </w:r>
            <w:r>
              <w:rPr>
                <w:rFonts w:hint="default" w:ascii="Times New Roman" w:hAnsi="Times New Roman"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r>
              <w:rPr>
                <w:rFonts w:hint="eastAsia" w:ascii="Times New Roman" w:hAnsi="Times New Roman" w:eastAsia="宋体" w:cs="Times New Roman"/>
                <w:color w:val="auto"/>
                <w:sz w:val="24"/>
                <w:szCs w:val="24"/>
                <w:lang w:val="en-US" w:eastAsia="zh-CN"/>
              </w:rPr>
              <w:t>，</w:t>
            </w:r>
            <w:r>
              <w:rPr>
                <w:rFonts w:hint="eastAsia"/>
                <w:color w:val="auto"/>
                <w:sz w:val="24"/>
                <w:lang w:val="en-US" w:eastAsia="zh-CN"/>
              </w:rPr>
              <w:t>经计算可得，本项目二期非甲烷总烃有组织产生量为1.539t/a、产生速率为0.6413kg/h、产生浓度为64.1mg/m</w:t>
            </w:r>
            <w:r>
              <w:rPr>
                <w:rFonts w:hint="eastAsia"/>
                <w:color w:val="auto"/>
                <w:sz w:val="24"/>
                <w:vertAlign w:val="superscript"/>
                <w:lang w:val="en-US" w:eastAsia="zh-CN"/>
              </w:rPr>
              <w:t>3</w:t>
            </w:r>
            <w:r>
              <w:rPr>
                <w:rFonts w:hint="eastAsia"/>
                <w:color w:val="auto"/>
                <w:sz w:val="24"/>
                <w:lang w:val="en-US" w:eastAsia="zh-CN"/>
              </w:rPr>
              <w:t>，排放量为0.0769t/a、排放速率为0.0321kg/h、排放浓度为3.2mg/m</w:t>
            </w:r>
            <w:r>
              <w:rPr>
                <w:rFonts w:hint="eastAsia"/>
                <w:color w:val="auto"/>
                <w:sz w:val="24"/>
                <w:vertAlign w:val="superscript"/>
                <w:lang w:val="en-US" w:eastAsia="zh-CN"/>
              </w:rPr>
              <w:t>3</w:t>
            </w:r>
            <w:r>
              <w:rPr>
                <w:rFonts w:hint="eastAsia"/>
                <w:color w:val="auto"/>
                <w:sz w:val="24"/>
                <w:vertAlign w:val="baseline"/>
                <w:lang w:val="en-US"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lang w:val="en-US" w:eastAsia="zh-CN"/>
              </w:rPr>
            </w:pPr>
            <w:r>
              <w:rPr>
                <w:rFonts w:hint="eastAsia"/>
                <w:color w:val="auto"/>
                <w:sz w:val="24"/>
                <w:lang w:val="en-US" w:eastAsia="zh-CN"/>
              </w:rPr>
              <w:t>项目完全建成后，项目非甲烷总烃有组织产生量为2.3085t/a、风机设计总量为15000m</w:t>
            </w:r>
            <w:r>
              <w:rPr>
                <w:rFonts w:hint="eastAsia"/>
                <w:color w:val="auto"/>
                <w:sz w:val="24"/>
                <w:vertAlign w:val="superscript"/>
                <w:lang w:val="en-US" w:eastAsia="zh-CN"/>
              </w:rPr>
              <w:t>3</w:t>
            </w:r>
            <w:r>
              <w:rPr>
                <w:rFonts w:hint="eastAsia"/>
                <w:color w:val="auto"/>
                <w:sz w:val="24"/>
                <w:lang w:val="en-US" w:eastAsia="zh-CN"/>
              </w:rPr>
              <w:t>/h产生速率为0.9619kg/h、产生浓度为64.1mg/m</w:t>
            </w:r>
            <w:r>
              <w:rPr>
                <w:rFonts w:hint="eastAsia"/>
                <w:color w:val="auto"/>
                <w:sz w:val="24"/>
                <w:vertAlign w:val="superscript"/>
                <w:lang w:val="en-US" w:eastAsia="zh-CN"/>
              </w:rPr>
              <w:t>3</w:t>
            </w:r>
            <w:r>
              <w:rPr>
                <w:rFonts w:hint="eastAsia"/>
                <w:color w:val="auto"/>
                <w:sz w:val="24"/>
                <w:lang w:val="en-US" w:eastAsia="zh-CN"/>
              </w:rPr>
              <w:t>，排放量为0.1154t/a、排放速率为0.0481kg/h、排放浓度为3.2mg/m</w:t>
            </w:r>
            <w:r>
              <w:rPr>
                <w:rFonts w:hint="eastAsia"/>
                <w:color w:val="auto"/>
                <w:sz w:val="24"/>
                <w:vertAlign w:val="superscript"/>
                <w:lang w:val="en-US" w:eastAsia="zh-CN"/>
              </w:rPr>
              <w:t>3</w:t>
            </w:r>
            <w:r>
              <w:rPr>
                <w:rFonts w:hint="eastAsia"/>
                <w:color w:val="auto"/>
                <w:sz w:val="24"/>
                <w:vertAlign w:val="baseline"/>
                <w:lang w:val="en-US"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color w:val="auto"/>
                <w:sz w:val="24"/>
                <w:szCs w:val="24"/>
                <w:lang w:val="en-US" w:eastAsia="zh-CN"/>
              </w:rPr>
            </w:pPr>
            <w:r>
              <w:rPr>
                <w:rFonts w:hint="eastAsia"/>
                <w:color w:val="auto"/>
                <w:sz w:val="24"/>
                <w:szCs w:val="24"/>
                <w:lang w:val="en-US" w:eastAsia="zh-CN"/>
              </w:rPr>
              <w:t>经计算，本项目单位产品非甲烷总烃排放量为0.13kg/t。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宋体" w:hAnsi="宋体" w:eastAsia="宋体" w:cs="宋体"/>
                <w:color w:val="auto"/>
                <w:sz w:val="24"/>
                <w:szCs w:val="24"/>
                <w:vertAlign w:val="baseline"/>
                <w:lang w:val="en-US" w:eastAsia="zh-CN"/>
              </w:rPr>
            </w:pPr>
            <w:r>
              <w:rPr>
                <w:rFonts w:hint="eastAsia"/>
                <w:color w:val="auto"/>
                <w:sz w:val="24"/>
                <w:szCs w:val="24"/>
                <w:lang w:val="en-US" w:eastAsia="zh-CN"/>
              </w:rPr>
              <w:t>项目有机废气（非甲烷总烃）</w:t>
            </w:r>
            <w:r>
              <w:rPr>
                <w:rFonts w:hint="eastAsia"/>
                <w:color w:val="auto"/>
                <w:sz w:val="24"/>
                <w:szCs w:val="24"/>
              </w:rPr>
              <w:t>排放浓度、排放速率均满足</w:t>
            </w:r>
            <w:r>
              <w:rPr>
                <w:rFonts w:hint="default"/>
                <w:color w:val="auto"/>
                <w:sz w:val="24"/>
                <w:szCs w:val="24"/>
              </w:rPr>
              <w:t>《大气污染物综合排放标准》（GB16297-1996）表2二级排放速率</w:t>
            </w:r>
            <w:r>
              <w:rPr>
                <w:rFonts w:hint="eastAsia"/>
                <w:color w:val="auto"/>
                <w:sz w:val="24"/>
                <w:szCs w:val="24"/>
                <w:lang w:val="en-US" w:eastAsia="zh-CN"/>
              </w:rPr>
              <w:t>10</w:t>
            </w:r>
            <w:r>
              <w:rPr>
                <w:rFonts w:hint="default"/>
                <w:color w:val="auto"/>
                <w:sz w:val="24"/>
                <w:szCs w:val="24"/>
              </w:rPr>
              <w:t>kg/h及排放浓度120mg/</w:t>
            </w:r>
            <w:r>
              <w:rPr>
                <w:rFonts w:hint="eastAsia"/>
                <w:color w:val="auto"/>
                <w:sz w:val="24"/>
                <w:szCs w:val="24"/>
              </w:rPr>
              <w:t>m</w:t>
            </w:r>
            <w:r>
              <w:rPr>
                <w:rFonts w:hint="eastAsia"/>
                <w:color w:val="auto"/>
                <w:sz w:val="24"/>
                <w:szCs w:val="24"/>
                <w:vertAlign w:val="superscript"/>
              </w:rPr>
              <w:t>3</w:t>
            </w:r>
            <w:r>
              <w:rPr>
                <w:rFonts w:hint="default"/>
                <w:color w:val="auto"/>
                <w:sz w:val="24"/>
                <w:szCs w:val="24"/>
              </w:rPr>
              <w:t>的要求</w:t>
            </w:r>
            <w:r>
              <w:rPr>
                <w:rFonts w:hint="eastAsia"/>
                <w:color w:val="auto"/>
                <w:sz w:val="24"/>
                <w:szCs w:val="24"/>
              </w:rPr>
              <w:t>，同时满足</w:t>
            </w:r>
            <w:r>
              <w:rPr>
                <w:rFonts w:hint="default" w:ascii="Times New Roman" w:hAnsi="Times New Roman" w:eastAsia="宋体" w:cs="Times New Roman"/>
                <w:b w:val="0"/>
                <w:bCs/>
                <w:color w:val="auto"/>
                <w:kern w:val="2"/>
                <w:sz w:val="24"/>
                <w:szCs w:val="24"/>
                <w:lang w:val="en-US" w:eastAsia="zh-CN" w:bidi="ar-SA"/>
              </w:rPr>
              <w:t>《关于全省开展工业企业挥发性有机物专项治理工作中排放建议值的通知》（豫环攻坚办[2017]162号）</w:t>
            </w:r>
            <w:r>
              <w:rPr>
                <w:rFonts w:hint="eastAsia"/>
                <w:color w:val="auto"/>
                <w:sz w:val="24"/>
                <w:szCs w:val="24"/>
              </w:rPr>
              <w:t>中</w:t>
            </w:r>
            <w:r>
              <w:rPr>
                <w:rFonts w:hint="eastAsia"/>
                <w:color w:val="auto"/>
                <w:sz w:val="24"/>
                <w:szCs w:val="24"/>
                <w:lang w:val="en-US" w:eastAsia="zh-CN"/>
              </w:rPr>
              <w:t>非甲烷总烃</w:t>
            </w:r>
            <w:r>
              <w:rPr>
                <w:rFonts w:hint="eastAsia"/>
                <w:color w:val="auto"/>
                <w:sz w:val="24"/>
                <w:szCs w:val="24"/>
              </w:rPr>
              <w:t>有组织排放浓度</w:t>
            </w:r>
            <w:r>
              <w:rPr>
                <w:rFonts w:hint="eastAsia"/>
                <w:color w:val="auto"/>
                <w:sz w:val="24"/>
                <w:szCs w:val="24"/>
                <w:lang w:val="en-US" w:eastAsia="zh-CN"/>
              </w:rPr>
              <w:t>80</w:t>
            </w:r>
            <w:r>
              <w:rPr>
                <w:rFonts w:hint="default"/>
                <w:color w:val="auto"/>
                <w:sz w:val="24"/>
                <w:szCs w:val="24"/>
              </w:rPr>
              <w:t>mg/m</w:t>
            </w:r>
            <w:r>
              <w:rPr>
                <w:rFonts w:hint="default"/>
                <w:color w:val="auto"/>
                <w:sz w:val="24"/>
                <w:szCs w:val="24"/>
                <w:vertAlign w:val="superscript"/>
              </w:rPr>
              <w:t>3</w:t>
            </w:r>
            <w:r>
              <w:rPr>
                <w:rFonts w:hint="eastAsia"/>
                <w:color w:val="auto"/>
                <w:sz w:val="24"/>
                <w:szCs w:val="24"/>
                <w:vertAlign w:val="baseline"/>
                <w:lang w:eastAsia="zh-CN"/>
              </w:rPr>
              <w:t>，</w:t>
            </w:r>
            <w:r>
              <w:rPr>
                <w:rFonts w:hint="eastAsia"/>
                <w:color w:val="auto"/>
                <w:sz w:val="24"/>
                <w:szCs w:val="24"/>
                <w:vertAlign w:val="baseline"/>
                <w:lang w:val="en-US" w:eastAsia="zh-CN"/>
              </w:rPr>
              <w:t>去除效率</w:t>
            </w:r>
            <w:r>
              <w:rPr>
                <w:rFonts w:hint="default" w:ascii="Times New Roman" w:hAnsi="Times New Roman" w:eastAsia="宋体" w:cs="Times New Roman"/>
                <w:color w:val="auto"/>
                <w:sz w:val="24"/>
                <w:szCs w:val="24"/>
              </w:rPr>
              <w:t>≥70%</w:t>
            </w:r>
            <w:r>
              <w:rPr>
                <w:rFonts w:hint="eastAsia"/>
                <w:color w:val="auto"/>
                <w:sz w:val="24"/>
                <w:szCs w:val="24"/>
              </w:rPr>
              <w:t>标准要求</w:t>
            </w:r>
            <w:r>
              <w:rPr>
                <w:rFonts w:hint="eastAsia"/>
                <w:color w:val="auto"/>
                <w:sz w:val="24"/>
                <w:szCs w:val="24"/>
                <w:lang w:eastAsia="zh-CN"/>
              </w:rPr>
              <w:t>，</w:t>
            </w:r>
            <w:r>
              <w:rPr>
                <w:rFonts w:hint="eastAsia"/>
                <w:color w:val="auto"/>
                <w:sz w:val="24"/>
                <w:szCs w:val="24"/>
                <w:lang w:val="en-US" w:eastAsia="zh-CN"/>
              </w:rPr>
              <w:t>以及</w:t>
            </w:r>
            <w:r>
              <w:rPr>
                <w:rFonts w:hint="eastAsia"/>
                <w:color w:val="auto"/>
                <w:sz w:val="24"/>
                <w:szCs w:val="24"/>
                <w:highlight w:val="none"/>
              </w:rPr>
              <w:t>《合成树脂工业污染物排放标准》（GB31572-2015）表5</w:t>
            </w:r>
            <w:r>
              <w:rPr>
                <w:rFonts w:hint="eastAsia"/>
                <w:color w:val="auto"/>
                <w:sz w:val="24"/>
                <w:szCs w:val="24"/>
                <w:highlight w:val="none"/>
                <w:lang w:val="en-US" w:eastAsia="zh-CN"/>
              </w:rPr>
              <w:t>中要求的</w:t>
            </w:r>
            <w:r>
              <w:rPr>
                <w:rFonts w:hint="default" w:hAnsi="宋体"/>
                <w:color w:val="auto"/>
                <w:sz w:val="24"/>
                <w:szCs w:val="24"/>
                <w:highlight w:val="none"/>
              </w:rPr>
              <w:t>有组织排放限值</w:t>
            </w:r>
            <w:r>
              <w:rPr>
                <w:rFonts w:hint="eastAsia" w:hAnsi="宋体"/>
                <w:color w:val="auto"/>
                <w:sz w:val="24"/>
                <w:szCs w:val="24"/>
                <w:highlight w:val="none"/>
              </w:rPr>
              <w:t>：</w:t>
            </w:r>
            <w:r>
              <w:rPr>
                <w:rFonts w:hint="eastAsia"/>
                <w:bCs/>
                <w:color w:val="auto"/>
                <w:sz w:val="24"/>
                <w:szCs w:val="24"/>
                <w:highlight w:val="none"/>
              </w:rPr>
              <w:t>60</w:t>
            </w:r>
            <w:r>
              <w:rPr>
                <w:rFonts w:hint="default"/>
                <w:bCs/>
                <w:color w:val="auto"/>
                <w:sz w:val="24"/>
                <w:szCs w:val="24"/>
                <w:highlight w:val="none"/>
              </w:rPr>
              <w:t>mg/m</w:t>
            </w:r>
            <w:r>
              <w:rPr>
                <w:rFonts w:hint="default"/>
                <w:bCs/>
                <w:color w:val="auto"/>
                <w:sz w:val="24"/>
                <w:szCs w:val="24"/>
                <w:highlight w:val="none"/>
                <w:vertAlign w:val="superscript"/>
              </w:rPr>
              <w:t>3</w:t>
            </w:r>
            <w:r>
              <w:rPr>
                <w:rFonts w:hint="eastAsia" w:ascii="宋体" w:hAnsi="宋体" w:eastAsia="宋体" w:cs="宋体"/>
                <w:bCs/>
                <w:color w:val="auto"/>
                <w:sz w:val="24"/>
                <w:szCs w:val="24"/>
                <w:highlight w:val="none"/>
                <w:vertAlign w:val="baseline"/>
                <w:lang w:val="en-US" w:eastAsia="zh-CN"/>
              </w:rPr>
              <w:t>,同时满足</w:t>
            </w:r>
            <w:r>
              <w:rPr>
                <w:rFonts w:hint="eastAsia"/>
                <w:bCs/>
                <w:color w:val="000000"/>
                <w:sz w:val="24"/>
                <w:szCs w:val="24"/>
                <w:highlight w:val="none"/>
                <w:vertAlign w:val="baseline"/>
                <w:lang w:val="en-US" w:eastAsia="zh-CN"/>
              </w:rPr>
              <w:t>单位产品非甲烷总烃排放量0.3kg/t产品。</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rPr>
              <w:t>无组织废气</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eastAsia="宋体"/>
                <w:color w:val="auto"/>
                <w:sz w:val="24"/>
                <w:lang w:val="en-US" w:eastAsia="zh-CN"/>
              </w:rPr>
            </w:pPr>
            <w:r>
              <w:rPr>
                <w:rFonts w:hint="eastAsia"/>
                <w:color w:val="auto"/>
                <w:sz w:val="24"/>
              </w:rPr>
              <w:t>本项目无组织废气主要为未收集的</w:t>
            </w:r>
            <w:r>
              <w:rPr>
                <w:rFonts w:hint="eastAsia"/>
                <w:color w:val="auto"/>
                <w:sz w:val="24"/>
                <w:lang w:val="en-US" w:eastAsia="zh-CN"/>
              </w:rPr>
              <w:t>有机废气</w:t>
            </w:r>
            <w:r>
              <w:rPr>
                <w:rFonts w:hint="eastAsia"/>
                <w:color w:val="auto"/>
                <w:sz w:val="24"/>
              </w:rPr>
              <w:t>。经计算可得，</w:t>
            </w:r>
            <w:r>
              <w:rPr>
                <w:rFonts w:hint="eastAsia"/>
                <w:color w:val="auto"/>
                <w:sz w:val="24"/>
                <w:lang w:val="en-US" w:eastAsia="zh-CN"/>
              </w:rPr>
              <w:t>有机废气无组织</w:t>
            </w:r>
            <w:r>
              <w:rPr>
                <w:rFonts w:hint="eastAsia"/>
                <w:color w:val="auto"/>
                <w:sz w:val="24"/>
              </w:rPr>
              <w:t>产生量为</w:t>
            </w:r>
            <w:r>
              <w:rPr>
                <w:rFonts w:hint="eastAsia"/>
                <w:color w:val="auto"/>
                <w:sz w:val="24"/>
                <w:lang w:val="en-US" w:eastAsia="zh-CN"/>
              </w:rPr>
              <w:t>0.1215</w:t>
            </w:r>
            <w:r>
              <w:rPr>
                <w:rFonts w:hint="eastAsia"/>
                <w:color w:val="auto"/>
                <w:sz w:val="24"/>
              </w:rPr>
              <w:t>t/a</w:t>
            </w:r>
            <w:r>
              <w:rPr>
                <w:rFonts w:hint="eastAsia"/>
                <w:color w:val="auto"/>
                <w:sz w:val="24"/>
                <w:lang w:eastAsia="zh-CN"/>
              </w:rPr>
              <w:t>（</w:t>
            </w:r>
            <w:r>
              <w:rPr>
                <w:rFonts w:hint="eastAsia"/>
                <w:color w:val="auto"/>
                <w:sz w:val="24"/>
                <w:lang w:val="en-US" w:eastAsia="zh-CN"/>
              </w:rPr>
              <w:t>一期：0.0405</w:t>
            </w:r>
            <w:r>
              <w:rPr>
                <w:rFonts w:hint="eastAsia"/>
                <w:color w:val="auto"/>
                <w:sz w:val="24"/>
              </w:rPr>
              <w:t>t/a</w:t>
            </w:r>
            <w:r>
              <w:rPr>
                <w:rFonts w:hint="eastAsia"/>
                <w:color w:val="auto"/>
                <w:sz w:val="24"/>
                <w:lang w:val="en-US" w:eastAsia="zh-CN"/>
              </w:rPr>
              <w:t>；二期：0.081</w:t>
            </w:r>
            <w:r>
              <w:rPr>
                <w:rFonts w:hint="eastAsia"/>
                <w:color w:val="auto"/>
                <w:sz w:val="24"/>
              </w:rPr>
              <w:t>t/a</w:t>
            </w:r>
            <w:r>
              <w:rPr>
                <w:rFonts w:hint="eastAsia"/>
                <w:color w:val="auto"/>
                <w:sz w:val="24"/>
                <w:lang w:eastAsia="zh-CN"/>
              </w:rPr>
              <w:t>）</w:t>
            </w:r>
            <w:r>
              <w:rPr>
                <w:rFonts w:hint="eastAsia"/>
                <w:color w:val="auto"/>
                <w:sz w:val="24"/>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3</w:t>
            </w:r>
            <w:r>
              <w:rPr>
                <w:rFonts w:hint="eastAsia" w:hAnsi="宋体"/>
                <w:color w:val="auto"/>
                <w:sz w:val="24"/>
                <w:lang w:eastAsia="zh-CN"/>
              </w:rPr>
              <w:t>）</w:t>
            </w:r>
            <w:r>
              <w:rPr>
                <w:rFonts w:hint="eastAsia" w:hAnsi="宋体"/>
                <w:color w:val="auto"/>
                <w:sz w:val="24"/>
              </w:rPr>
              <w:t>污染源排放口情况及排放量分析</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hAnsi="宋体"/>
                <w:color w:val="auto"/>
                <w:sz w:val="24"/>
              </w:rPr>
            </w:pPr>
            <w:r>
              <w:rPr>
                <w:rFonts w:hint="eastAsia" w:hAnsi="宋体"/>
                <w:color w:val="auto"/>
                <w:sz w:val="24"/>
              </w:rPr>
              <w:t>①本项目污染源排放口情况</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hAnsi="宋体"/>
                <w:color w:val="auto"/>
                <w:sz w:val="24"/>
              </w:rPr>
            </w:pPr>
            <w:r>
              <w:rPr>
                <w:rFonts w:hint="eastAsia" w:hAnsi="宋体"/>
                <w:color w:val="auto"/>
                <w:sz w:val="24"/>
              </w:rPr>
              <w:t>本项目有组织排放口基本情况见下表。</w:t>
            </w:r>
          </w:p>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ascii="宋体" w:hAnsi="宋体"/>
                <w:b/>
                <w:color w:val="auto"/>
                <w:sz w:val="24"/>
              </w:rPr>
            </w:pPr>
            <w:r>
              <w:rPr>
                <w:rFonts w:hint="default" w:ascii="宋体" w:hAnsi="宋体"/>
                <w:b/>
                <w:color w:val="auto"/>
                <w:sz w:val="24"/>
              </w:rPr>
              <w:t>表</w:t>
            </w:r>
            <w:r>
              <w:rPr>
                <w:rFonts w:hint="eastAsia" w:ascii="宋体" w:hAnsi="宋体"/>
                <w:b/>
                <w:color w:val="auto"/>
                <w:sz w:val="24"/>
              </w:rPr>
              <w:t>2</w:t>
            </w:r>
            <w:r>
              <w:rPr>
                <w:rFonts w:hint="eastAsia" w:ascii="宋体" w:hAnsi="宋体"/>
                <w:b/>
                <w:color w:val="auto"/>
                <w:sz w:val="24"/>
                <w:lang w:val="en-US" w:eastAsia="zh-CN"/>
              </w:rPr>
              <w:t xml:space="preserve">3  </w:t>
            </w:r>
            <w:r>
              <w:rPr>
                <w:rFonts w:hint="default" w:ascii="宋体" w:hAnsi="宋体"/>
                <w:b/>
                <w:color w:val="auto"/>
                <w:sz w:val="24"/>
              </w:rPr>
              <w:t>本项目有组织排放</w:t>
            </w:r>
            <w:r>
              <w:rPr>
                <w:rFonts w:hint="eastAsia" w:ascii="宋体" w:hAnsi="宋体"/>
                <w:b/>
                <w:color w:val="auto"/>
                <w:sz w:val="24"/>
              </w:rPr>
              <w:t>源</w:t>
            </w:r>
            <w:r>
              <w:rPr>
                <w:rFonts w:hint="default" w:ascii="宋体" w:hAnsi="宋体"/>
                <w:b/>
                <w:color w:val="auto"/>
                <w:sz w:val="24"/>
              </w:rPr>
              <w:t>基本情况</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396"/>
              <w:gridCol w:w="585"/>
              <w:gridCol w:w="945"/>
              <w:gridCol w:w="840"/>
              <w:gridCol w:w="645"/>
              <w:gridCol w:w="600"/>
              <w:gridCol w:w="554"/>
              <w:gridCol w:w="674"/>
              <w:gridCol w:w="569"/>
              <w:gridCol w:w="280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230"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编号</w:t>
                  </w:r>
                </w:p>
              </w:tc>
              <w:tc>
                <w:tcPr>
                  <w:tcW w:w="339"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名称</w:t>
                  </w:r>
                </w:p>
              </w:tc>
              <w:tc>
                <w:tcPr>
                  <w:tcW w:w="1035" w:type="pct"/>
                  <w:gridSpan w:val="2"/>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b/>
                      <w:color w:val="auto"/>
                      <w:sz w:val="21"/>
                      <w:szCs w:val="21"/>
                    </w:rPr>
                  </w:pPr>
                  <w:r>
                    <w:rPr>
                      <w:rFonts w:hint="default"/>
                      <w:b/>
                      <w:color w:val="auto"/>
                      <w:sz w:val="21"/>
                      <w:szCs w:val="21"/>
                    </w:rPr>
                    <w:t>排气筒底部</w:t>
                  </w:r>
                </w:p>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中心坐标</w:t>
                  </w:r>
                </w:p>
              </w:tc>
              <w:tc>
                <w:tcPr>
                  <w:tcW w:w="374"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排气筒高度/m</w:t>
                  </w:r>
                </w:p>
              </w:tc>
              <w:tc>
                <w:tcPr>
                  <w:tcW w:w="348"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出口内径/m</w:t>
                  </w:r>
                </w:p>
              </w:tc>
              <w:tc>
                <w:tcPr>
                  <w:tcW w:w="321"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eastAsia"/>
                      <w:b/>
                      <w:color w:val="auto"/>
                      <w:sz w:val="21"/>
                      <w:szCs w:val="21"/>
                    </w:rPr>
                    <w:t>类型</w:t>
                  </w:r>
                </w:p>
              </w:tc>
              <w:tc>
                <w:tcPr>
                  <w:tcW w:w="391"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烟气温度/</w:t>
                  </w:r>
                  <w:r>
                    <w:rPr>
                      <w:rFonts w:hint="eastAsia" w:ascii="宋体" w:hAnsi="宋体" w:cs="宋体"/>
                      <w:b/>
                      <w:color w:val="auto"/>
                      <w:sz w:val="21"/>
                      <w:szCs w:val="21"/>
                    </w:rPr>
                    <w:t>℃</w:t>
                  </w:r>
                </w:p>
              </w:tc>
              <w:tc>
                <w:tcPr>
                  <w:tcW w:w="330"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排放污染物</w:t>
                  </w:r>
                </w:p>
              </w:tc>
              <w:tc>
                <w:tcPr>
                  <w:tcW w:w="1628" w:type="pct"/>
                  <w:vMerge w:val="restar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执行标准</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230"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339"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548"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X</w:t>
                  </w:r>
                </w:p>
              </w:tc>
              <w:tc>
                <w:tcPr>
                  <w:tcW w:w="487" w:type="pct"/>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r>
                    <w:rPr>
                      <w:rFonts w:hint="default"/>
                      <w:b/>
                      <w:color w:val="auto"/>
                      <w:sz w:val="21"/>
                      <w:szCs w:val="21"/>
                    </w:rPr>
                    <w:t>Y</w:t>
                  </w:r>
                </w:p>
              </w:tc>
              <w:tc>
                <w:tcPr>
                  <w:tcW w:w="374"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348"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321"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391"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330"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c>
                <w:tcPr>
                  <w:tcW w:w="1628" w:type="pct"/>
                  <w:vMerge w:val="continue"/>
                  <w:tcBorders>
                    <w:tl2br w:val="nil"/>
                    <w:tr2bl w:val="nil"/>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b/>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230" w:type="pct"/>
                  <w:tcBorders>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DA001</w:t>
                  </w:r>
                </w:p>
              </w:tc>
              <w:tc>
                <w:tcPr>
                  <w:tcW w:w="339"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废气排放口</w:t>
                  </w:r>
                </w:p>
              </w:tc>
              <w:tc>
                <w:tcPr>
                  <w:tcW w:w="548"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113</w:t>
                  </w:r>
                  <w:r>
                    <w:rPr>
                      <w:rFonts w:hint="default" w:ascii="Times New Roman" w:hAnsi="Times New Roman" w:cs="Times New Roman"/>
                      <w:color w:val="auto"/>
                      <w:sz w:val="21"/>
                      <w:szCs w:val="21"/>
                    </w:rPr>
                    <w:t>°4</w:t>
                  </w:r>
                  <w:r>
                    <w:rPr>
                      <w:rFonts w:hint="eastAsia" w:cs="Times New Roman"/>
                      <w:color w:val="auto"/>
                      <w:sz w:val="21"/>
                      <w:szCs w:val="21"/>
                      <w:lang w:val="en-US" w:eastAsia="zh-CN"/>
                    </w:rPr>
                    <w:t>7</w:t>
                  </w:r>
                  <w:r>
                    <w:rPr>
                      <w:rFonts w:hint="default" w:ascii="Times New Roman" w:hAnsi="Times New Roman" w:cs="Times New Roman"/>
                      <w:color w:val="auto"/>
                      <w:sz w:val="21"/>
                      <w:szCs w:val="21"/>
                    </w:rPr>
                    <w:t>′</w:t>
                  </w:r>
                  <w:r>
                    <w:rPr>
                      <w:rFonts w:hint="eastAsia" w:cs="Times New Roman"/>
                      <w:color w:val="auto"/>
                      <w:sz w:val="21"/>
                      <w:szCs w:val="21"/>
                      <w:lang w:val="en-US" w:eastAsia="zh-CN"/>
                    </w:rPr>
                    <w:t>38</w:t>
                  </w:r>
                  <w:r>
                    <w:rPr>
                      <w:rFonts w:hint="default" w:ascii="Times New Roman" w:hAnsi="Times New Roman" w:cs="Times New Roman"/>
                      <w:color w:val="auto"/>
                      <w:sz w:val="21"/>
                      <w:szCs w:val="21"/>
                    </w:rPr>
                    <w:t>.</w:t>
                  </w:r>
                  <w:r>
                    <w:rPr>
                      <w:rFonts w:hint="eastAsia" w:cs="Times New Roman"/>
                      <w:color w:val="auto"/>
                      <w:sz w:val="21"/>
                      <w:szCs w:val="21"/>
                      <w:lang w:val="en-US" w:eastAsia="zh-CN"/>
                    </w:rPr>
                    <w:t>630</w:t>
                  </w:r>
                  <w:r>
                    <w:rPr>
                      <w:rFonts w:hint="default" w:ascii="Times New Roman" w:hAnsi="Times New Roman" w:cs="Times New Roman"/>
                      <w:color w:val="auto"/>
                      <w:sz w:val="21"/>
                      <w:szCs w:val="21"/>
                    </w:rPr>
                    <w:t>″</w:t>
                  </w:r>
                </w:p>
              </w:tc>
              <w:tc>
                <w:tcPr>
                  <w:tcW w:w="487"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35°</w:t>
                  </w:r>
                  <w:r>
                    <w:rPr>
                      <w:rFonts w:hint="eastAsia" w:cs="Times New Roman"/>
                      <w:color w:val="auto"/>
                      <w:sz w:val="21"/>
                      <w:szCs w:val="21"/>
                      <w:lang w:val="en-US" w:eastAsia="zh-CN"/>
                    </w:rPr>
                    <w:t>8</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37</w:t>
                  </w:r>
                  <w:r>
                    <w:rPr>
                      <w:rFonts w:hint="default" w:ascii="Times New Roman" w:hAnsi="Times New Roman" w:cs="Times New Roman"/>
                      <w:color w:val="auto"/>
                      <w:sz w:val="21"/>
                      <w:szCs w:val="21"/>
                    </w:rPr>
                    <w:t>.</w:t>
                  </w:r>
                  <w:r>
                    <w:rPr>
                      <w:rFonts w:hint="eastAsia" w:cs="Times New Roman"/>
                      <w:color w:val="auto"/>
                      <w:sz w:val="21"/>
                      <w:szCs w:val="21"/>
                      <w:lang w:val="en-US" w:eastAsia="zh-CN"/>
                    </w:rPr>
                    <w:t>999</w:t>
                  </w:r>
                  <w:r>
                    <w:rPr>
                      <w:rFonts w:hint="default" w:ascii="Times New Roman" w:hAnsi="Times New Roman" w:cs="Times New Roman"/>
                      <w:color w:val="auto"/>
                      <w:sz w:val="21"/>
                      <w:szCs w:val="21"/>
                    </w:rPr>
                    <w:t>″</w:t>
                  </w:r>
                </w:p>
              </w:tc>
              <w:tc>
                <w:tcPr>
                  <w:tcW w:w="374"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default"/>
                      <w:color w:val="auto"/>
                      <w:sz w:val="21"/>
                      <w:szCs w:val="21"/>
                    </w:rPr>
                    <w:t>15</w:t>
                  </w:r>
                </w:p>
              </w:tc>
              <w:tc>
                <w:tcPr>
                  <w:tcW w:w="348"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0.6</w:t>
                  </w:r>
                </w:p>
              </w:tc>
              <w:tc>
                <w:tcPr>
                  <w:tcW w:w="321"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eastAsia"/>
                      <w:color w:val="auto"/>
                      <w:sz w:val="21"/>
                      <w:szCs w:val="21"/>
                    </w:rPr>
                    <w:t>一般排放口</w:t>
                  </w:r>
                </w:p>
              </w:tc>
              <w:tc>
                <w:tcPr>
                  <w:tcW w:w="391"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default"/>
                      <w:color w:val="auto"/>
                      <w:sz w:val="21"/>
                      <w:szCs w:val="21"/>
                    </w:rPr>
                    <w:t>25</w:t>
                  </w:r>
                </w:p>
              </w:tc>
              <w:tc>
                <w:tcPr>
                  <w:tcW w:w="330" w:type="pct"/>
                  <w:tcBorders>
                    <w:left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lang w:val="en-US" w:eastAsia="zh-CN"/>
                    </w:rPr>
                  </w:pPr>
                  <w:r>
                    <w:rPr>
                      <w:rFonts w:hint="eastAsia"/>
                      <w:color w:val="auto"/>
                      <w:sz w:val="21"/>
                      <w:szCs w:val="21"/>
                      <w:lang w:val="en-US" w:eastAsia="zh-CN"/>
                    </w:rPr>
                    <w:t>非甲烷总烃</w:t>
                  </w:r>
                </w:p>
              </w:tc>
              <w:tc>
                <w:tcPr>
                  <w:tcW w:w="1628" w:type="pct"/>
                  <w:tcBorders>
                    <w:lef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eastAsia"/>
                      <w:color w:val="auto"/>
                      <w:sz w:val="21"/>
                      <w:szCs w:val="21"/>
                    </w:rPr>
                  </w:pPr>
                  <w:r>
                    <w:rPr>
                      <w:rFonts w:hint="default"/>
                      <w:color w:val="auto"/>
                      <w:sz w:val="21"/>
                      <w:szCs w:val="21"/>
                    </w:rPr>
                    <w:t>《大气污染物综合排放</w:t>
                  </w:r>
                  <w:r>
                    <w:rPr>
                      <w:rFonts w:hint="eastAsia"/>
                      <w:color w:val="auto"/>
                      <w:sz w:val="21"/>
                      <w:szCs w:val="21"/>
                      <w:lang w:val="en-US" w:eastAsia="zh-CN"/>
                    </w:rPr>
                    <w:t>标</w:t>
                  </w:r>
                  <w:r>
                    <w:rPr>
                      <w:rFonts w:hint="default"/>
                      <w:color w:val="auto"/>
                      <w:sz w:val="21"/>
                      <w:szCs w:val="21"/>
                    </w:rPr>
                    <w:t>准</w:t>
                  </w:r>
                  <w:r>
                    <w:rPr>
                      <w:rFonts w:hint="eastAsia"/>
                      <w:color w:val="auto"/>
                      <w:sz w:val="21"/>
                      <w:szCs w:val="21"/>
                      <w:lang w:eastAsia="zh-CN"/>
                    </w:rPr>
                    <w:t>》</w:t>
                  </w:r>
                  <w:r>
                    <w:rPr>
                      <w:rFonts w:hint="default"/>
                      <w:color w:val="auto"/>
                      <w:sz w:val="21"/>
                      <w:szCs w:val="21"/>
                    </w:rPr>
                    <w:t>（GB16297-1996）表2二级</w:t>
                  </w:r>
                  <w:r>
                    <w:rPr>
                      <w:rFonts w:hint="eastAsia"/>
                      <w:color w:val="auto"/>
                      <w:sz w:val="21"/>
                      <w:szCs w:val="21"/>
                      <w:lang w:eastAsia="zh-CN"/>
                    </w:rPr>
                    <w:t>；</w:t>
                  </w:r>
                  <w:r>
                    <w:rPr>
                      <w:rFonts w:hint="eastAsia"/>
                      <w:color w:val="auto"/>
                      <w:sz w:val="21"/>
                      <w:szCs w:val="21"/>
                    </w:rPr>
                    <w:t>《关于全省开展工业企业挥发性有机物专项治理工作中排放建议值的通知》（豫环攻坚办[2017]162号）</w:t>
                  </w:r>
                  <w:r>
                    <w:rPr>
                      <w:rFonts w:hint="eastAsia"/>
                      <w:color w:val="auto"/>
                      <w:sz w:val="21"/>
                      <w:szCs w:val="21"/>
                      <w:lang w:eastAsia="zh-CN"/>
                    </w:rPr>
                    <w:t>；</w:t>
                  </w:r>
                  <w:r>
                    <w:rPr>
                      <w:rFonts w:hint="eastAsia"/>
                      <w:color w:val="auto"/>
                      <w:sz w:val="21"/>
                      <w:szCs w:val="21"/>
                      <w:highlight w:val="none"/>
                    </w:rPr>
                    <w:t>《合成树脂工业污染物排放标准》（GB31572-2015）表5</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ascii="宋体" w:hAnsi="宋体"/>
                <w:color w:val="FF0000"/>
                <w:sz w:val="24"/>
              </w:rPr>
            </w:pPr>
            <w:r>
              <w:rPr>
                <w:rFonts w:hint="eastAsia" w:ascii="宋体" w:hAnsi="宋体"/>
                <w:color w:val="auto"/>
                <w:sz w:val="24"/>
              </w:rPr>
              <w:t>本项目无组织排放源基本情况见下表。</w:t>
            </w:r>
          </w:p>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ascii="宋体" w:hAnsi="宋体"/>
                <w:b/>
                <w:color w:val="auto"/>
                <w:sz w:val="24"/>
              </w:rPr>
            </w:pPr>
            <w:r>
              <w:rPr>
                <w:rFonts w:hint="default" w:ascii="宋体" w:hAnsi="宋体"/>
                <w:b/>
                <w:color w:val="auto"/>
                <w:sz w:val="24"/>
              </w:rPr>
              <w:t>表</w:t>
            </w:r>
            <w:r>
              <w:rPr>
                <w:rFonts w:hint="eastAsia" w:ascii="宋体" w:hAnsi="宋体"/>
                <w:b/>
                <w:color w:val="auto"/>
                <w:sz w:val="24"/>
              </w:rPr>
              <w:t>2</w:t>
            </w:r>
            <w:r>
              <w:rPr>
                <w:rFonts w:hint="eastAsia" w:ascii="宋体" w:hAnsi="宋体"/>
                <w:b/>
                <w:color w:val="auto"/>
                <w:sz w:val="24"/>
                <w:lang w:val="en-US" w:eastAsia="zh-CN"/>
              </w:rPr>
              <w:t xml:space="preserve">4  </w:t>
            </w:r>
            <w:r>
              <w:rPr>
                <w:rFonts w:hint="default" w:ascii="宋体" w:hAnsi="宋体"/>
                <w:b/>
                <w:color w:val="auto"/>
                <w:sz w:val="24"/>
              </w:rPr>
              <w:t>本项目无组织排放</w:t>
            </w:r>
            <w:r>
              <w:rPr>
                <w:rFonts w:hint="eastAsia" w:ascii="宋体" w:hAnsi="宋体"/>
                <w:b/>
                <w:color w:val="auto"/>
                <w:sz w:val="24"/>
              </w:rPr>
              <w:t>源</w:t>
            </w:r>
            <w:r>
              <w:rPr>
                <w:rFonts w:hint="default" w:ascii="宋体" w:hAnsi="宋体"/>
                <w:b/>
                <w:color w:val="auto"/>
                <w:sz w:val="24"/>
              </w:rPr>
              <w:t>基本情况</w:t>
            </w:r>
          </w:p>
          <w:tbl>
            <w:tblPr>
              <w:tblStyle w:val="22"/>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764"/>
              <w:gridCol w:w="810"/>
              <w:gridCol w:w="1110"/>
              <w:gridCol w:w="660"/>
              <w:gridCol w:w="764"/>
              <w:gridCol w:w="3829"/>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4"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名称</w:t>
                  </w:r>
                </w:p>
              </w:tc>
              <w:tc>
                <w:tcPr>
                  <w:tcW w:w="443"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面源长度</w:t>
                  </w:r>
                  <w:r>
                    <w:rPr>
                      <w:rFonts w:hint="default"/>
                      <w:b/>
                      <w:color w:val="auto"/>
                      <w:sz w:val="21"/>
                      <w:szCs w:val="21"/>
                    </w:rPr>
                    <w:t>/m</w:t>
                  </w:r>
                </w:p>
              </w:tc>
              <w:tc>
                <w:tcPr>
                  <w:tcW w:w="470"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面源宽度</w:t>
                  </w:r>
                  <w:r>
                    <w:rPr>
                      <w:rFonts w:hint="default"/>
                      <w:b/>
                      <w:color w:val="auto"/>
                      <w:sz w:val="21"/>
                      <w:szCs w:val="21"/>
                    </w:rPr>
                    <w:t>/m</w:t>
                  </w:r>
                </w:p>
              </w:tc>
              <w:tc>
                <w:tcPr>
                  <w:tcW w:w="644"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面源有效排放高度</w:t>
                  </w:r>
                  <w:r>
                    <w:rPr>
                      <w:rFonts w:hint="default"/>
                      <w:b/>
                      <w:color w:val="auto"/>
                      <w:sz w:val="21"/>
                      <w:szCs w:val="21"/>
                    </w:rPr>
                    <w:t>/m</w:t>
                  </w:r>
                </w:p>
              </w:tc>
              <w:tc>
                <w:tcPr>
                  <w:tcW w:w="383"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类型</w:t>
                  </w:r>
                </w:p>
              </w:tc>
              <w:tc>
                <w:tcPr>
                  <w:tcW w:w="443"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排放的污染物</w:t>
                  </w:r>
                </w:p>
              </w:tc>
              <w:tc>
                <w:tcPr>
                  <w:tcW w:w="2220" w:type="pct"/>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执行标准</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4"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443"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470"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644"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383"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443"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2220" w:type="pct"/>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394" w:type="pct"/>
                  <w:tcBorders>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生产车间</w:t>
                  </w:r>
                </w:p>
              </w:tc>
              <w:tc>
                <w:tcPr>
                  <w:tcW w:w="443" w:type="pct"/>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470" w:type="pct"/>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644" w:type="pct"/>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383" w:type="pct"/>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无组织</w:t>
                  </w:r>
                </w:p>
              </w:tc>
              <w:tc>
                <w:tcPr>
                  <w:tcW w:w="443" w:type="pct"/>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color w:val="auto"/>
                      <w:sz w:val="21"/>
                      <w:szCs w:val="21"/>
                      <w:lang w:val="en-US" w:eastAsia="zh-CN"/>
                    </w:rPr>
                  </w:pPr>
                  <w:r>
                    <w:rPr>
                      <w:rFonts w:hint="eastAsia" w:hAnsi="宋体"/>
                      <w:color w:val="auto"/>
                      <w:sz w:val="21"/>
                      <w:szCs w:val="21"/>
                      <w:lang w:val="en-US" w:eastAsia="zh-CN"/>
                    </w:rPr>
                    <w:t>非甲烷总烃</w:t>
                  </w:r>
                </w:p>
              </w:tc>
              <w:tc>
                <w:tcPr>
                  <w:tcW w:w="2220" w:type="pct"/>
                  <w:tcBorders>
                    <w:lef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rPr>
                    <w:t>《关于全省开展工业企业挥发性有机物专项治理工作中排放建议值的通知》（豫环攻坚办[2017]162号）</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ascii="宋体" w:hAnsi="宋体"/>
                <w:color w:val="auto"/>
                <w:sz w:val="24"/>
              </w:rPr>
            </w:pPr>
            <w:r>
              <w:rPr>
                <w:rFonts w:hint="default" w:ascii="宋体" w:hAnsi="宋体"/>
                <w:color w:val="auto"/>
                <w:sz w:val="24"/>
              </w:rPr>
              <w:t>②</w:t>
            </w:r>
            <w:r>
              <w:rPr>
                <w:rFonts w:hint="eastAsia" w:ascii="宋体" w:hAnsi="宋体"/>
                <w:color w:val="auto"/>
                <w:sz w:val="24"/>
              </w:rPr>
              <w:t>本项目污染物排放量分析</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ascii="宋体" w:hAnsi="宋体"/>
                <w:color w:val="auto"/>
                <w:sz w:val="24"/>
              </w:rPr>
            </w:pPr>
            <w:r>
              <w:rPr>
                <w:rFonts w:hint="eastAsia" w:ascii="宋体" w:hAnsi="宋体"/>
                <w:color w:val="auto"/>
                <w:sz w:val="24"/>
              </w:rPr>
              <w:t>本项目建成后全厂污染物排放情况见下表。</w:t>
            </w:r>
          </w:p>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ascii="宋体" w:hAnsi="宋体"/>
                <w:b/>
                <w:color w:val="auto"/>
                <w:sz w:val="24"/>
              </w:rPr>
            </w:pPr>
            <w:r>
              <w:rPr>
                <w:rFonts w:hint="default" w:ascii="宋体" w:hAnsi="宋体"/>
                <w:b/>
                <w:color w:val="auto"/>
                <w:sz w:val="24"/>
              </w:rPr>
              <w:t>表2</w:t>
            </w:r>
            <w:r>
              <w:rPr>
                <w:rFonts w:hint="eastAsia" w:ascii="宋体" w:hAnsi="宋体"/>
                <w:b/>
                <w:color w:val="auto"/>
                <w:sz w:val="24"/>
                <w:lang w:val="en-US" w:eastAsia="zh-CN"/>
              </w:rPr>
              <w:t xml:space="preserve">5  </w:t>
            </w:r>
            <w:r>
              <w:rPr>
                <w:rFonts w:hint="default" w:ascii="宋体" w:hAnsi="宋体"/>
                <w:b/>
                <w:color w:val="auto"/>
                <w:sz w:val="24"/>
              </w:rPr>
              <w:t>本项目污染物排放源情况一览表</w:t>
            </w:r>
          </w:p>
          <w:tbl>
            <w:tblPr>
              <w:tblStyle w:val="22"/>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378"/>
              <w:gridCol w:w="645"/>
              <w:gridCol w:w="927"/>
              <w:gridCol w:w="870"/>
              <w:gridCol w:w="1110"/>
              <w:gridCol w:w="1247"/>
              <w:gridCol w:w="883"/>
              <w:gridCol w:w="1005"/>
              <w:gridCol w:w="12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tcBorders>
                    <w:top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编号</w:t>
                  </w:r>
                </w:p>
              </w:tc>
              <w:tc>
                <w:tcPr>
                  <w:tcW w:w="378"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排放源</w:t>
                  </w:r>
                </w:p>
              </w:tc>
              <w:tc>
                <w:tcPr>
                  <w:tcW w:w="64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污染物名称</w:t>
                  </w:r>
                </w:p>
              </w:tc>
              <w:tc>
                <w:tcPr>
                  <w:tcW w:w="92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lang w:val="en-US" w:eastAsia="zh-CN"/>
                    </w:rPr>
                  </w:pPr>
                  <w:r>
                    <w:rPr>
                      <w:rFonts w:hint="eastAsia" w:ascii="Times New Roman" w:hAnsi="宋体" w:eastAsia="宋体" w:cs="Times New Roman"/>
                      <w:b/>
                      <w:color w:val="auto"/>
                      <w:sz w:val="21"/>
                      <w:szCs w:val="21"/>
                      <w:lang w:val="en-US" w:eastAsia="zh-CN"/>
                    </w:rPr>
                    <w:t>项目建设情况</w:t>
                  </w:r>
                </w:p>
              </w:tc>
              <w:tc>
                <w:tcPr>
                  <w:tcW w:w="87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产生量</w:t>
                  </w:r>
                </w:p>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（t/a）</w:t>
                  </w:r>
                </w:p>
              </w:tc>
              <w:tc>
                <w:tcPr>
                  <w:tcW w:w="111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产生速率</w:t>
                  </w:r>
                </w:p>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（kg/h）</w:t>
                  </w:r>
                </w:p>
              </w:tc>
              <w:tc>
                <w:tcPr>
                  <w:tcW w:w="1247"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产生浓度（mg/m3）</w:t>
                  </w:r>
                </w:p>
              </w:tc>
              <w:tc>
                <w:tcPr>
                  <w:tcW w:w="88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排放量（t/a）</w:t>
                  </w:r>
                </w:p>
              </w:tc>
              <w:tc>
                <w:tcPr>
                  <w:tcW w:w="1005"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排放</w:t>
                  </w:r>
                </w:p>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速率（kg/h）</w:t>
                  </w:r>
                </w:p>
              </w:tc>
              <w:tc>
                <w:tcPr>
                  <w:tcW w:w="1201" w:type="dxa"/>
                  <w:tcBorders>
                    <w:top w:val="single" w:color="000000" w:sz="8" w:space="0"/>
                    <w:left w:val="single" w:color="000000" w:sz="8" w:space="0"/>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color w:val="auto"/>
                      <w:sz w:val="21"/>
                      <w:szCs w:val="21"/>
                    </w:rPr>
                  </w:pPr>
                  <w:r>
                    <w:rPr>
                      <w:rFonts w:hint="default" w:ascii="Times New Roman" w:hAnsi="宋体" w:eastAsia="宋体" w:cs="Times New Roman"/>
                      <w:b/>
                      <w:color w:val="auto"/>
                      <w:sz w:val="21"/>
                      <w:szCs w:val="21"/>
                    </w:rPr>
                    <w:t>排放浓度（mg/m3）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restart"/>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DA001</w:t>
                  </w:r>
                </w:p>
              </w:tc>
              <w:tc>
                <w:tcPr>
                  <w:tcW w:w="378" w:type="dxa"/>
                  <w:vMerge w:val="restart"/>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废气排放口</w:t>
                  </w:r>
                </w:p>
              </w:tc>
              <w:tc>
                <w:tcPr>
                  <w:tcW w:w="645" w:type="dxa"/>
                  <w:vMerge w:val="restart"/>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非甲烷总烃</w:t>
                  </w:r>
                </w:p>
              </w:tc>
              <w:tc>
                <w:tcPr>
                  <w:tcW w:w="927"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一期</w:t>
                  </w:r>
                </w:p>
              </w:tc>
              <w:tc>
                <w:tcPr>
                  <w:tcW w:w="870"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0.</w:t>
                  </w:r>
                  <w:r>
                    <w:rPr>
                      <w:rFonts w:hint="eastAsia" w:hAnsi="宋体" w:cs="Times New Roman"/>
                      <w:b w:val="0"/>
                      <w:bCs/>
                      <w:color w:val="auto"/>
                      <w:sz w:val="21"/>
                      <w:szCs w:val="21"/>
                      <w:lang w:val="en-US" w:eastAsia="zh-CN"/>
                    </w:rPr>
                    <w:t>7695</w:t>
                  </w:r>
                </w:p>
              </w:tc>
              <w:tc>
                <w:tcPr>
                  <w:tcW w:w="1110"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0.3206</w:t>
                  </w:r>
                </w:p>
              </w:tc>
              <w:tc>
                <w:tcPr>
                  <w:tcW w:w="1247"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64.1</w:t>
                  </w:r>
                </w:p>
              </w:tc>
              <w:tc>
                <w:tcPr>
                  <w:tcW w:w="883"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0.0385</w:t>
                  </w:r>
                </w:p>
              </w:tc>
              <w:tc>
                <w:tcPr>
                  <w:tcW w:w="1005"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0.0161</w:t>
                  </w:r>
                </w:p>
              </w:tc>
              <w:tc>
                <w:tcPr>
                  <w:tcW w:w="1201" w:type="dxa"/>
                  <w:tcBorders>
                    <w:top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378"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64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p>
              </w:tc>
              <w:tc>
                <w:tcPr>
                  <w:tcW w:w="927"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建成后合计</w:t>
                  </w:r>
                </w:p>
              </w:tc>
              <w:tc>
                <w:tcPr>
                  <w:tcW w:w="87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2.3085</w:t>
                  </w:r>
                </w:p>
              </w:tc>
              <w:tc>
                <w:tcPr>
                  <w:tcW w:w="111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0.9619</w:t>
                  </w:r>
                </w:p>
              </w:tc>
              <w:tc>
                <w:tcPr>
                  <w:tcW w:w="1247"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64.1</w:t>
                  </w:r>
                </w:p>
              </w:tc>
              <w:tc>
                <w:tcPr>
                  <w:tcW w:w="883"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0.1154</w:t>
                  </w:r>
                </w:p>
              </w:tc>
              <w:tc>
                <w:tcPr>
                  <w:tcW w:w="1005"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0.0481</w:t>
                  </w:r>
                </w:p>
              </w:tc>
              <w:tc>
                <w:tcPr>
                  <w:tcW w:w="1201"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w:t>
                  </w:r>
                </w:p>
              </w:tc>
              <w:tc>
                <w:tcPr>
                  <w:tcW w:w="378"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车间无组织</w:t>
                  </w:r>
                </w:p>
              </w:tc>
              <w:tc>
                <w:tcPr>
                  <w:tcW w:w="645"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非甲烷总烃</w:t>
                  </w:r>
                </w:p>
              </w:tc>
              <w:tc>
                <w:tcPr>
                  <w:tcW w:w="927"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一期</w:t>
                  </w:r>
                </w:p>
              </w:tc>
              <w:tc>
                <w:tcPr>
                  <w:tcW w:w="87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0.0405</w:t>
                  </w:r>
                </w:p>
              </w:tc>
              <w:tc>
                <w:tcPr>
                  <w:tcW w:w="111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w:t>
                  </w:r>
                </w:p>
              </w:tc>
              <w:tc>
                <w:tcPr>
                  <w:tcW w:w="1247"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w:t>
                  </w:r>
                </w:p>
              </w:tc>
              <w:tc>
                <w:tcPr>
                  <w:tcW w:w="883"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0.0405</w:t>
                  </w:r>
                </w:p>
              </w:tc>
              <w:tc>
                <w:tcPr>
                  <w:tcW w:w="1005"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0.0169</w:t>
                  </w:r>
                </w:p>
              </w:tc>
              <w:tc>
                <w:tcPr>
                  <w:tcW w:w="1201"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0" w:type="dxa"/>
                  <w:vMerge w:val="continue"/>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p>
              </w:tc>
              <w:tc>
                <w:tcPr>
                  <w:tcW w:w="378" w:type="dxa"/>
                  <w:vMerge w:val="continue"/>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p>
              </w:tc>
              <w:tc>
                <w:tcPr>
                  <w:tcW w:w="645" w:type="dxa"/>
                  <w:vMerge w:val="continue"/>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p>
              </w:tc>
              <w:tc>
                <w:tcPr>
                  <w:tcW w:w="927"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lang w:val="en-US" w:eastAsia="zh-CN"/>
                    </w:rPr>
                  </w:pPr>
                  <w:r>
                    <w:rPr>
                      <w:rFonts w:hint="eastAsia" w:ascii="Times New Roman" w:hAnsi="宋体" w:eastAsia="宋体" w:cs="Times New Roman"/>
                      <w:b w:val="0"/>
                      <w:bCs/>
                      <w:color w:val="auto"/>
                      <w:sz w:val="21"/>
                      <w:szCs w:val="21"/>
                      <w:lang w:val="en-US" w:eastAsia="zh-CN"/>
                    </w:rPr>
                    <w:t>建成后合计</w:t>
                  </w:r>
                </w:p>
              </w:tc>
              <w:tc>
                <w:tcPr>
                  <w:tcW w:w="870"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0.1215</w:t>
                  </w:r>
                </w:p>
              </w:tc>
              <w:tc>
                <w:tcPr>
                  <w:tcW w:w="1110"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w:t>
                  </w:r>
                </w:p>
              </w:tc>
              <w:tc>
                <w:tcPr>
                  <w:tcW w:w="1247"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w:t>
                  </w:r>
                </w:p>
              </w:tc>
              <w:tc>
                <w:tcPr>
                  <w:tcW w:w="883"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0.1215</w:t>
                  </w:r>
                </w:p>
              </w:tc>
              <w:tc>
                <w:tcPr>
                  <w:tcW w:w="1005"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lang w:val="en-US" w:eastAsia="zh-CN"/>
                    </w:rPr>
                  </w:pPr>
                  <w:r>
                    <w:rPr>
                      <w:rFonts w:hint="eastAsia" w:hAnsi="宋体" w:cs="Times New Roman"/>
                      <w:b w:val="0"/>
                      <w:bCs/>
                      <w:color w:val="auto"/>
                      <w:sz w:val="21"/>
                      <w:szCs w:val="21"/>
                      <w:lang w:val="en-US" w:eastAsia="zh-CN"/>
                    </w:rPr>
                    <w:t>0.0506</w:t>
                  </w:r>
                </w:p>
              </w:tc>
              <w:tc>
                <w:tcPr>
                  <w:tcW w:w="1201" w:type="dxa"/>
                  <w:tcBorders>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ascii="Times New Roman" w:hAnsi="宋体" w:eastAsia="宋体" w:cs="Times New Roman"/>
                      <w:b w:val="0"/>
                      <w:bCs/>
                      <w:color w:val="auto"/>
                      <w:sz w:val="21"/>
                      <w:szCs w:val="21"/>
                    </w:rPr>
                  </w:pPr>
                  <w:r>
                    <w:rPr>
                      <w:rFonts w:hint="eastAsia" w:ascii="Times New Roman" w:hAnsi="宋体" w:eastAsia="宋体" w:cs="Times New Roman"/>
                      <w:b w:val="0"/>
                      <w:bCs/>
                      <w:color w:val="auto"/>
                      <w:sz w:val="21"/>
                      <w:szCs w:val="21"/>
                    </w:rPr>
                    <w:t>/</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hAnsi="宋体"/>
                <w:color w:val="auto"/>
                <w:sz w:val="24"/>
              </w:rPr>
            </w:pPr>
            <w:r>
              <w:rPr>
                <w:rFonts w:hint="eastAsia" w:hAnsi="宋体"/>
                <w:color w:val="auto"/>
                <w:sz w:val="24"/>
                <w:lang w:eastAsia="zh-CN"/>
              </w:rPr>
              <w:t>（</w:t>
            </w:r>
            <w:r>
              <w:rPr>
                <w:rFonts w:hint="eastAsia" w:hAnsi="宋体"/>
                <w:color w:val="auto"/>
                <w:sz w:val="24"/>
                <w:lang w:val="en-US" w:eastAsia="zh-CN"/>
              </w:rPr>
              <w:t>4</w:t>
            </w:r>
            <w:r>
              <w:rPr>
                <w:rFonts w:hint="eastAsia" w:hAnsi="宋体"/>
                <w:color w:val="auto"/>
                <w:sz w:val="24"/>
                <w:lang w:eastAsia="zh-CN"/>
              </w:rPr>
              <w:t>）</w:t>
            </w:r>
            <w:r>
              <w:rPr>
                <w:rFonts w:hint="eastAsia" w:hAnsi="宋体"/>
                <w:color w:val="auto"/>
                <w:sz w:val="24"/>
              </w:rPr>
              <w:t>无组织达标分析</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hAnsi="宋体"/>
                <w:color w:val="auto"/>
                <w:sz w:val="24"/>
              </w:rPr>
            </w:pPr>
            <w:r>
              <w:rPr>
                <w:rFonts w:hint="eastAsia" w:hAnsi="宋体"/>
                <w:color w:val="auto"/>
                <w:sz w:val="24"/>
              </w:rPr>
              <w:t>根据工程分析，本项目排放的无组织废气主要为</w:t>
            </w:r>
            <w:r>
              <w:rPr>
                <w:rFonts w:hint="eastAsia" w:hAnsi="宋体"/>
                <w:color w:val="auto"/>
                <w:sz w:val="24"/>
                <w:lang w:val="en-US" w:eastAsia="zh-CN"/>
              </w:rPr>
              <w:t>非甲烷总烃</w:t>
            </w:r>
            <w:r>
              <w:rPr>
                <w:rFonts w:hint="eastAsia" w:hAnsi="宋体"/>
                <w:color w:val="auto"/>
                <w:sz w:val="24"/>
              </w:rPr>
              <w:t>。采用估算模型，分析无组织废气厂界达标情况，估算模型参数见表2</w:t>
            </w:r>
            <w:r>
              <w:rPr>
                <w:rFonts w:hint="eastAsia" w:hAnsi="宋体"/>
                <w:color w:val="auto"/>
                <w:sz w:val="24"/>
                <w:lang w:val="en-US" w:eastAsia="zh-CN"/>
              </w:rPr>
              <w:t>6</w:t>
            </w:r>
            <w:r>
              <w:rPr>
                <w:rFonts w:hint="eastAsia" w:hAnsi="宋体"/>
                <w:color w:val="auto"/>
                <w:sz w:val="24"/>
              </w:rPr>
              <w:t>，污染源参数见表2</w:t>
            </w:r>
            <w:r>
              <w:rPr>
                <w:rFonts w:hint="eastAsia" w:hAnsi="宋体"/>
                <w:color w:val="auto"/>
                <w:sz w:val="24"/>
                <w:lang w:val="en-US" w:eastAsia="zh-CN"/>
              </w:rPr>
              <w:t>7</w:t>
            </w:r>
            <w:r>
              <w:rPr>
                <w:rFonts w:hint="eastAsia" w:hAnsi="宋体"/>
                <w:color w:val="auto"/>
                <w:sz w:val="24"/>
              </w:rPr>
              <w:t>。</w:t>
            </w:r>
          </w:p>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ascii="宋体" w:hAnsi="宋体"/>
                <w:b/>
                <w:color w:val="auto"/>
                <w:sz w:val="24"/>
              </w:rPr>
            </w:pPr>
            <w:r>
              <w:rPr>
                <w:rFonts w:hint="eastAsia" w:ascii="宋体" w:hAnsi="宋体"/>
                <w:b/>
                <w:color w:val="auto"/>
                <w:sz w:val="24"/>
              </w:rPr>
              <w:t>表2</w:t>
            </w:r>
            <w:r>
              <w:rPr>
                <w:rFonts w:hint="eastAsia" w:ascii="宋体" w:hAnsi="宋体"/>
                <w:b/>
                <w:color w:val="auto"/>
                <w:sz w:val="24"/>
                <w:lang w:val="en-US" w:eastAsia="zh-CN"/>
              </w:rPr>
              <w:t xml:space="preserve">6  </w:t>
            </w:r>
            <w:r>
              <w:rPr>
                <w:rFonts w:hint="eastAsia" w:ascii="宋体" w:hAnsi="宋体"/>
                <w:b/>
                <w:color w:val="auto"/>
                <w:sz w:val="24"/>
              </w:rPr>
              <w:t>估算模型参数表</w:t>
            </w:r>
          </w:p>
          <w:tbl>
            <w:tblPr>
              <w:tblStyle w:val="22"/>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2327"/>
              <w:gridCol w:w="2682"/>
              <w:gridCol w:w="3607"/>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9" w:type="dxa"/>
                  <w:gridSpan w:val="2"/>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bCs w:val="0"/>
                      <w:color w:val="auto"/>
                      <w:sz w:val="21"/>
                      <w:szCs w:val="21"/>
                    </w:rPr>
                  </w:pPr>
                  <w:r>
                    <w:rPr>
                      <w:rFonts w:hint="default" w:ascii="Times New Roman" w:hAnsi="宋体" w:eastAsia="宋体" w:cs="Times New Roman"/>
                      <w:b/>
                      <w:bCs w:val="0"/>
                      <w:color w:val="auto"/>
                      <w:sz w:val="21"/>
                      <w:szCs w:val="21"/>
                    </w:rPr>
                    <w:t>参数</w:t>
                  </w:r>
                </w:p>
              </w:tc>
              <w:tc>
                <w:tcPr>
                  <w:tcW w:w="3607"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bCs w:val="0"/>
                      <w:color w:val="auto"/>
                      <w:sz w:val="21"/>
                      <w:szCs w:val="21"/>
                    </w:rPr>
                  </w:pPr>
                  <w:r>
                    <w:rPr>
                      <w:rFonts w:hint="default" w:ascii="Times New Roman" w:hAnsi="宋体" w:eastAsia="宋体" w:cs="Times New Roman"/>
                      <w:b/>
                      <w:bCs w:val="0"/>
                      <w:color w:val="auto"/>
                      <w:sz w:val="21"/>
                      <w:szCs w:val="21"/>
                    </w:rPr>
                    <w:t>取值</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restart"/>
                  <w:tcBorders>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城市农村/选项</w:t>
                  </w:r>
                </w:p>
              </w:tc>
              <w:tc>
                <w:tcPr>
                  <w:tcW w:w="2682" w:type="dxa"/>
                  <w:tcBorders>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城市/农村</w:t>
                  </w:r>
                </w:p>
              </w:tc>
              <w:tc>
                <w:tcPr>
                  <w:tcW w:w="3607" w:type="dxa"/>
                  <w:tcBorders>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农村</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continue"/>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2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人口数(城市选项时)</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9" w:type="dxa"/>
                  <w:gridSpan w:val="2"/>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最高环境温度</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42.0°C</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9" w:type="dxa"/>
                  <w:gridSpan w:val="2"/>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最低环境温度</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-19.2℃</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9" w:type="dxa"/>
                  <w:gridSpan w:val="2"/>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土地利用类型</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建设用地</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5009" w:type="dxa"/>
                  <w:gridSpan w:val="2"/>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区域湿度条件</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中等湿度</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restart"/>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是否考虑地形</w:t>
                  </w:r>
                </w:p>
              </w:tc>
              <w:tc>
                <w:tcPr>
                  <w:tcW w:w="2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考虑地形</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否</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continue"/>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2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地形数据分辨率(m)</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restart"/>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是否考虑海岸线熏烟</w:t>
                  </w:r>
                </w:p>
              </w:tc>
              <w:tc>
                <w:tcPr>
                  <w:tcW w:w="2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考虑海岸线熏烟</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否</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continue"/>
                  <w:tcBorders>
                    <w:top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26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海岸线距离/km</w:t>
                  </w:r>
                </w:p>
              </w:tc>
              <w:tc>
                <w:tcPr>
                  <w:tcW w:w="3607" w:type="dxa"/>
                  <w:tcBorders>
                    <w:top w:val="single" w:color="000000" w:sz="4"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2327" w:type="dxa"/>
                  <w:vMerge w:val="continue"/>
                  <w:tcBorders>
                    <w:top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p>
              </w:tc>
              <w:tc>
                <w:tcPr>
                  <w:tcW w:w="2682" w:type="dxa"/>
                  <w:tcBorders>
                    <w:top w:val="single" w:color="000000" w:sz="4" w:space="0"/>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海岸线方向/o</w:t>
                  </w:r>
                </w:p>
              </w:tc>
              <w:tc>
                <w:tcPr>
                  <w:tcW w:w="3607" w:type="dxa"/>
                  <w:tcBorders>
                    <w:top w:val="single" w:color="000000" w:sz="4" w:space="0"/>
                    <w:lef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ascii="Times New Roman" w:hAnsi="宋体" w:eastAsia="宋体" w:cs="Times New Roman"/>
                      <w:b w:val="0"/>
                      <w:bCs/>
                      <w:color w:val="auto"/>
                      <w:sz w:val="21"/>
                      <w:szCs w:val="21"/>
                    </w:rPr>
                  </w:pPr>
                  <w:r>
                    <w:rPr>
                      <w:rFonts w:hint="default" w:ascii="Times New Roman" w:hAnsi="宋体" w:eastAsia="宋体" w:cs="Times New Roman"/>
                      <w:b w:val="0"/>
                      <w:bCs/>
                      <w:color w:val="auto"/>
                      <w:sz w:val="21"/>
                      <w:szCs w:val="21"/>
                    </w:rPr>
                    <w:t>/</w:t>
                  </w:r>
                </w:p>
              </w:tc>
            </w:tr>
          </w:tbl>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表2</w:t>
            </w:r>
            <w:r>
              <w:rPr>
                <w:rFonts w:hint="eastAsia" w:ascii="宋体" w:hAnsi="宋体"/>
                <w:b/>
                <w:color w:val="000000" w:themeColor="text1"/>
                <w:sz w:val="24"/>
                <w:lang w:val="en-US" w:eastAsia="zh-CN"/>
                <w14:textFill>
                  <w14:solidFill>
                    <w14:schemeClr w14:val="tx1"/>
                  </w14:solidFill>
                </w14:textFill>
              </w:rPr>
              <w:t xml:space="preserve">7  </w:t>
            </w:r>
            <w:r>
              <w:rPr>
                <w:rFonts w:hint="eastAsia" w:ascii="宋体" w:hAnsi="宋体"/>
                <w:b/>
                <w:color w:val="000000" w:themeColor="text1"/>
                <w:sz w:val="24"/>
                <w14:textFill>
                  <w14:solidFill>
                    <w14:schemeClr w14:val="tx1"/>
                  </w14:solidFill>
                </w14:textFill>
              </w:rPr>
              <w:t>本项目面源参数表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80"/>
              <w:gridCol w:w="900"/>
              <w:gridCol w:w="840"/>
              <w:gridCol w:w="765"/>
              <w:gridCol w:w="795"/>
              <w:gridCol w:w="690"/>
              <w:gridCol w:w="857"/>
              <w:gridCol w:w="851"/>
              <w:gridCol w:w="852"/>
              <w:gridCol w:w="682"/>
              <w:gridCol w:w="70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名称</w:t>
                  </w:r>
                </w:p>
              </w:tc>
              <w:tc>
                <w:tcPr>
                  <w:tcW w:w="1740" w:type="dxa"/>
                  <w:gridSpan w:val="2"/>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面源</w:t>
                  </w:r>
                  <w:r>
                    <w:rPr>
                      <w:rFonts w:hint="eastAsia" w:hAnsi="宋体"/>
                      <w:b/>
                      <w:bCs/>
                      <w:color w:val="auto"/>
                      <w:sz w:val="21"/>
                      <w:szCs w:val="21"/>
                      <w:lang w:val="en-US" w:eastAsia="zh-CN"/>
                    </w:rPr>
                    <w:t>中心</w:t>
                  </w:r>
                  <w:r>
                    <w:rPr>
                      <w:rFonts w:hint="default" w:hAnsi="宋体"/>
                      <w:b/>
                      <w:bCs/>
                      <w:color w:val="auto"/>
                      <w:sz w:val="21"/>
                      <w:szCs w:val="21"/>
                    </w:rPr>
                    <w:t>坐标</w:t>
                  </w:r>
                  <w:r>
                    <w:rPr>
                      <w:rFonts w:hint="default"/>
                      <w:b/>
                      <w:bCs/>
                      <w:color w:val="auto"/>
                      <w:sz w:val="21"/>
                      <w:szCs w:val="21"/>
                    </w:rPr>
                    <w:t>/m</w:t>
                  </w:r>
                </w:p>
              </w:tc>
              <w:tc>
                <w:tcPr>
                  <w:tcW w:w="765"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海拔高度</w:t>
                  </w:r>
                  <w:r>
                    <w:rPr>
                      <w:rFonts w:hint="default"/>
                      <w:b/>
                      <w:bCs/>
                      <w:color w:val="auto"/>
                      <w:sz w:val="21"/>
                      <w:szCs w:val="21"/>
                    </w:rPr>
                    <w:t>/m</w:t>
                  </w:r>
                </w:p>
              </w:tc>
              <w:tc>
                <w:tcPr>
                  <w:tcW w:w="795"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面源长度</w:t>
                  </w:r>
                  <w:r>
                    <w:rPr>
                      <w:rFonts w:hint="default"/>
                      <w:b/>
                      <w:bCs/>
                      <w:color w:val="auto"/>
                      <w:sz w:val="21"/>
                      <w:szCs w:val="21"/>
                    </w:rPr>
                    <w:t>/m</w:t>
                  </w:r>
                </w:p>
              </w:tc>
              <w:tc>
                <w:tcPr>
                  <w:tcW w:w="69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面源宽度</w:t>
                  </w:r>
                  <w:r>
                    <w:rPr>
                      <w:rFonts w:hint="default"/>
                      <w:b/>
                      <w:bCs/>
                      <w:color w:val="auto"/>
                      <w:sz w:val="21"/>
                      <w:szCs w:val="21"/>
                    </w:rPr>
                    <w:t>/m</w:t>
                  </w:r>
                </w:p>
              </w:tc>
              <w:tc>
                <w:tcPr>
                  <w:tcW w:w="857"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与正北向夹角</w:t>
                  </w:r>
                  <w:r>
                    <w:rPr>
                      <w:rFonts w:hint="default"/>
                      <w:b/>
                      <w:bCs/>
                      <w:color w:val="auto"/>
                      <w:sz w:val="21"/>
                      <w:szCs w:val="21"/>
                    </w:rPr>
                    <w:t>/°</w:t>
                  </w:r>
                </w:p>
              </w:tc>
              <w:tc>
                <w:tcPr>
                  <w:tcW w:w="851"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面源有效排放高度</w:t>
                  </w:r>
                </w:p>
              </w:tc>
              <w:tc>
                <w:tcPr>
                  <w:tcW w:w="852"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年排放小时数</w:t>
                  </w:r>
                  <w:r>
                    <w:rPr>
                      <w:rFonts w:hint="default"/>
                      <w:b/>
                      <w:bCs/>
                      <w:color w:val="auto"/>
                      <w:sz w:val="21"/>
                      <w:szCs w:val="21"/>
                    </w:rPr>
                    <w:t>/h</w:t>
                  </w:r>
                </w:p>
              </w:tc>
              <w:tc>
                <w:tcPr>
                  <w:tcW w:w="682"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排放工况</w:t>
                  </w:r>
                </w:p>
              </w:tc>
              <w:tc>
                <w:tcPr>
                  <w:tcW w:w="704"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hAnsi="宋体"/>
                      <w:b/>
                      <w:bCs/>
                      <w:color w:val="auto"/>
                      <w:sz w:val="21"/>
                      <w:szCs w:val="21"/>
                    </w:rPr>
                    <w:t>污染物</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90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X</w:t>
                  </w:r>
                </w:p>
              </w:tc>
              <w:tc>
                <w:tcPr>
                  <w:tcW w:w="840"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r>
                    <w:rPr>
                      <w:rFonts w:hint="default"/>
                      <w:b/>
                      <w:bCs/>
                      <w:color w:val="auto"/>
                      <w:sz w:val="21"/>
                      <w:szCs w:val="21"/>
                    </w:rPr>
                    <w:t>Y</w:t>
                  </w:r>
                </w:p>
              </w:tc>
              <w:tc>
                <w:tcPr>
                  <w:tcW w:w="76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79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69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857"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851"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85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68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c>
                <w:tcPr>
                  <w:tcW w:w="704"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
                      <w:bCs/>
                      <w:color w:val="auto"/>
                      <w:sz w:val="21"/>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Cs/>
                      <w:color w:val="auto"/>
                      <w:sz w:val="21"/>
                      <w:szCs w:val="21"/>
                    </w:rPr>
                  </w:pPr>
                  <w:r>
                    <w:rPr>
                      <w:rFonts w:hint="default" w:hAnsi="宋体"/>
                      <w:bCs/>
                      <w:color w:val="auto"/>
                      <w:sz w:val="21"/>
                      <w:szCs w:val="21"/>
                    </w:rPr>
                    <w:t>生产车间</w:t>
                  </w:r>
                </w:p>
              </w:tc>
              <w:tc>
                <w:tcPr>
                  <w:tcW w:w="90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113°</w:t>
                  </w:r>
                  <w:r>
                    <w:rPr>
                      <w:rFonts w:hint="eastAsia"/>
                      <w:color w:val="auto"/>
                      <w:sz w:val="21"/>
                      <w:szCs w:val="21"/>
                    </w:rPr>
                    <w:t>4</w:t>
                  </w:r>
                  <w:r>
                    <w:rPr>
                      <w:rFonts w:hint="eastAsia"/>
                      <w:color w:val="auto"/>
                      <w:sz w:val="21"/>
                      <w:szCs w:val="21"/>
                      <w:lang w:val="en-US" w:eastAsia="zh-CN"/>
                    </w:rPr>
                    <w:t>7</w:t>
                  </w:r>
                  <w:r>
                    <w:rPr>
                      <w:rFonts w:hint="default"/>
                      <w:color w:val="auto"/>
                      <w:sz w:val="21"/>
                      <w:szCs w:val="21"/>
                    </w:rPr>
                    <w:t>′</w:t>
                  </w:r>
                  <w:r>
                    <w:rPr>
                      <w:rFonts w:hint="eastAsia"/>
                      <w:color w:val="auto"/>
                      <w:sz w:val="21"/>
                      <w:szCs w:val="21"/>
                      <w:lang w:val="en-US" w:eastAsia="zh-CN"/>
                    </w:rPr>
                    <w:t>38</w:t>
                  </w:r>
                  <w:r>
                    <w:rPr>
                      <w:rFonts w:hint="eastAsia"/>
                      <w:color w:val="auto"/>
                      <w:sz w:val="21"/>
                      <w:szCs w:val="21"/>
                    </w:rPr>
                    <w:t>.</w:t>
                  </w:r>
                  <w:r>
                    <w:rPr>
                      <w:rFonts w:hint="eastAsia"/>
                      <w:color w:val="auto"/>
                      <w:sz w:val="21"/>
                      <w:szCs w:val="21"/>
                      <w:lang w:val="en-US" w:eastAsia="zh-CN"/>
                    </w:rPr>
                    <w:t>630</w:t>
                  </w:r>
                  <w:r>
                    <w:rPr>
                      <w:rFonts w:hint="default"/>
                      <w:color w:val="auto"/>
                      <w:sz w:val="21"/>
                      <w:szCs w:val="21"/>
                    </w:rPr>
                    <w:t>″</w:t>
                  </w:r>
                </w:p>
              </w:tc>
              <w:tc>
                <w:tcPr>
                  <w:tcW w:w="84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color w:val="auto"/>
                      <w:sz w:val="21"/>
                      <w:szCs w:val="21"/>
                    </w:rPr>
                  </w:pPr>
                  <w:r>
                    <w:rPr>
                      <w:rFonts w:hint="default"/>
                      <w:color w:val="auto"/>
                      <w:sz w:val="21"/>
                      <w:szCs w:val="21"/>
                    </w:rPr>
                    <w:t>35°</w:t>
                  </w:r>
                  <w:r>
                    <w:rPr>
                      <w:rFonts w:hint="eastAsia"/>
                      <w:color w:val="auto"/>
                      <w:sz w:val="21"/>
                      <w:szCs w:val="21"/>
                      <w:lang w:val="en-US" w:eastAsia="zh-CN"/>
                    </w:rPr>
                    <w:t>8</w:t>
                  </w:r>
                  <w:r>
                    <w:rPr>
                      <w:rFonts w:hint="default"/>
                      <w:color w:val="auto"/>
                      <w:sz w:val="21"/>
                      <w:szCs w:val="21"/>
                    </w:rPr>
                    <w:t>′</w:t>
                  </w:r>
                  <w:r>
                    <w:rPr>
                      <w:rFonts w:hint="eastAsia"/>
                      <w:color w:val="auto"/>
                      <w:sz w:val="21"/>
                      <w:szCs w:val="21"/>
                      <w:lang w:val="en-US" w:eastAsia="zh-CN"/>
                    </w:rPr>
                    <w:t>31</w:t>
                  </w:r>
                  <w:r>
                    <w:rPr>
                      <w:rFonts w:hint="eastAsia"/>
                      <w:color w:val="auto"/>
                      <w:sz w:val="21"/>
                      <w:szCs w:val="21"/>
                    </w:rPr>
                    <w:t>.</w:t>
                  </w:r>
                  <w:r>
                    <w:rPr>
                      <w:rFonts w:hint="eastAsia"/>
                      <w:color w:val="auto"/>
                      <w:sz w:val="21"/>
                      <w:szCs w:val="21"/>
                      <w:lang w:val="en-US" w:eastAsia="zh-CN"/>
                    </w:rPr>
                    <w:t>999</w:t>
                  </w:r>
                  <w:r>
                    <w:rPr>
                      <w:rFonts w:hint="default"/>
                      <w:color w:val="auto"/>
                      <w:sz w:val="21"/>
                      <w:szCs w:val="21"/>
                    </w:rPr>
                    <w:t>″</w:t>
                  </w:r>
                </w:p>
              </w:tc>
              <w:tc>
                <w:tcPr>
                  <w:tcW w:w="765"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76</w:t>
                  </w:r>
                </w:p>
              </w:tc>
              <w:tc>
                <w:tcPr>
                  <w:tcW w:w="795"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60</w:t>
                  </w:r>
                </w:p>
              </w:tc>
              <w:tc>
                <w:tcPr>
                  <w:tcW w:w="69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20</w:t>
                  </w:r>
                </w:p>
              </w:tc>
              <w:tc>
                <w:tcPr>
                  <w:tcW w:w="857"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Cs/>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0</w:t>
                  </w:r>
                </w:p>
              </w:tc>
              <w:tc>
                <w:tcPr>
                  <w:tcW w:w="851"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8</w:t>
                  </w:r>
                </w:p>
              </w:tc>
              <w:tc>
                <w:tcPr>
                  <w:tcW w:w="852"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eastAsia="宋体"/>
                      <w:bCs/>
                      <w:color w:val="auto"/>
                      <w:sz w:val="21"/>
                      <w:szCs w:val="21"/>
                      <w:lang w:val="en-US" w:eastAsia="zh-CN"/>
                    </w:rPr>
                  </w:pPr>
                  <w:r>
                    <w:rPr>
                      <w:rFonts w:hint="eastAsia"/>
                      <w:bCs/>
                      <w:color w:val="auto"/>
                      <w:sz w:val="21"/>
                      <w:szCs w:val="21"/>
                      <w:lang w:val="en-US" w:eastAsia="zh-CN"/>
                    </w:rPr>
                    <w:t>2400</w:t>
                  </w:r>
                </w:p>
              </w:tc>
              <w:tc>
                <w:tcPr>
                  <w:tcW w:w="682"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bCs/>
                      <w:color w:val="auto"/>
                      <w:sz w:val="21"/>
                      <w:szCs w:val="21"/>
                    </w:rPr>
                  </w:pPr>
                  <w:r>
                    <w:rPr>
                      <w:rFonts w:hint="default" w:hAnsi="宋体"/>
                      <w:bCs/>
                      <w:color w:val="auto"/>
                      <w:sz w:val="21"/>
                      <w:szCs w:val="21"/>
                    </w:rPr>
                    <w:t>正常</w:t>
                  </w:r>
                </w:p>
              </w:tc>
              <w:tc>
                <w:tcPr>
                  <w:tcW w:w="704"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line="240" w:lineRule="auto"/>
                    <w:ind w:left="0" w:right="0"/>
                    <w:jc w:val="center"/>
                    <w:rPr>
                      <w:rFonts w:hint="default" w:hAnsi="宋体"/>
                      <w:bCs/>
                      <w:color w:val="auto"/>
                      <w:sz w:val="21"/>
                      <w:szCs w:val="21"/>
                      <w:lang w:val="en-US" w:eastAsia="zh-CN"/>
                    </w:rPr>
                  </w:pPr>
                  <w:r>
                    <w:rPr>
                      <w:rFonts w:hint="eastAsia" w:hAnsi="宋体"/>
                      <w:bCs/>
                      <w:color w:val="auto"/>
                      <w:sz w:val="21"/>
                      <w:szCs w:val="21"/>
                      <w:lang w:val="en-US" w:eastAsia="zh-CN"/>
                    </w:rPr>
                    <w:t>非甲烷总烃</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90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84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76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79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69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857"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851"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85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68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c>
                <w:tcPr>
                  <w:tcW w:w="704"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90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84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76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795"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69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857"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851"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85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682"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c>
                <w:tcPr>
                  <w:tcW w:w="704"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bCs/>
                      <w:color w:val="auto"/>
                      <w:sz w:val="21"/>
                      <w:szCs w:val="21"/>
                      <w:lang w:val="en-US" w:eastAsia="zh-CN"/>
                    </w:rPr>
                  </w:pP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hAnsi="宋体"/>
                <w:color w:val="000000" w:themeColor="text1"/>
                <w:sz w:val="24"/>
                <w14:textFill>
                  <w14:solidFill>
                    <w14:schemeClr w14:val="tx1"/>
                  </w14:solidFill>
                </w14:textFill>
              </w:rPr>
            </w:pPr>
            <w:r>
              <w:rPr>
                <w:rFonts w:hint="default" w:hAnsi="宋体"/>
                <w:color w:val="000000" w:themeColor="text1"/>
                <w:sz w:val="24"/>
                <w:lang w:val="en-GB"/>
                <w14:textFill>
                  <w14:solidFill>
                    <w14:schemeClr w14:val="tx1"/>
                  </w14:solidFill>
                </w14:textFill>
              </w:rPr>
              <w:t>根据</w:t>
            </w:r>
            <w:r>
              <w:rPr>
                <w:rFonts w:hint="eastAsia" w:hAnsi="宋体"/>
                <w:color w:val="000000" w:themeColor="text1"/>
                <w:sz w:val="24"/>
                <w:lang w:val="en-GB"/>
                <w14:textFill>
                  <w14:solidFill>
                    <w14:schemeClr w14:val="tx1"/>
                  </w14:solidFill>
                </w14:textFill>
              </w:rPr>
              <w:t>估算</w:t>
            </w:r>
            <w:r>
              <w:rPr>
                <w:rFonts w:hint="default" w:hAnsi="宋体"/>
                <w:color w:val="000000" w:themeColor="text1"/>
                <w:sz w:val="24"/>
                <w14:textFill>
                  <w14:solidFill>
                    <w14:schemeClr w14:val="tx1"/>
                  </w14:solidFill>
                </w14:textFill>
              </w:rPr>
              <w:t>结果，</w:t>
            </w:r>
            <w:r>
              <w:rPr>
                <w:rFonts w:hint="eastAsia" w:hAnsi="宋体"/>
                <w:color w:val="000000" w:themeColor="text1"/>
                <w:sz w:val="24"/>
                <w14:textFill>
                  <w14:solidFill>
                    <w14:schemeClr w14:val="tx1"/>
                  </w14:solidFill>
                </w14:textFill>
              </w:rPr>
              <w:t>本项目污染物厂界</w:t>
            </w:r>
            <w:r>
              <w:rPr>
                <w:rFonts w:hint="eastAsia" w:hAnsi="宋体"/>
                <w:color w:val="000000" w:themeColor="text1"/>
                <w:sz w:val="24"/>
                <w:lang w:val="en-US" w:eastAsia="zh-CN"/>
                <w14:textFill>
                  <w14:solidFill>
                    <w14:schemeClr w14:val="tx1"/>
                  </w14:solidFill>
                </w14:textFill>
              </w:rPr>
              <w:t>排放</w:t>
            </w:r>
            <w:r>
              <w:rPr>
                <w:rFonts w:hint="eastAsia" w:hAnsi="宋体"/>
                <w:color w:val="000000" w:themeColor="text1"/>
                <w:sz w:val="24"/>
                <w14:textFill>
                  <w14:solidFill>
                    <w14:schemeClr w14:val="tx1"/>
                  </w14:solidFill>
                </w14:textFill>
              </w:rPr>
              <w:t>浓度见下表。</w:t>
            </w:r>
          </w:p>
          <w:p>
            <w:pPr>
              <w:keepNext w:val="0"/>
              <w:keepLines w:val="0"/>
              <w:suppressLineNumbers w:val="0"/>
              <w:autoSpaceDE w:val="0"/>
              <w:autoSpaceDN w:val="0"/>
              <w:adjustRightInd w:val="0"/>
              <w:spacing w:before="0" w:beforeAutospacing="0" w:after="0" w:afterAutospacing="0" w:line="440" w:lineRule="exact"/>
              <w:ind w:left="0" w:right="0"/>
              <w:jc w:val="center"/>
              <w:rPr>
                <w:rFonts w:hint="default" w:hAnsi="黑体" w:eastAsia="黑体"/>
                <w:color w:val="000000" w:themeColor="text1"/>
                <w:sz w:val="24"/>
                <w14:textFill>
                  <w14:solidFill>
                    <w14:schemeClr w14:val="tx1"/>
                  </w14:solidFill>
                </w14:textFill>
              </w:rPr>
            </w:pPr>
            <w:r>
              <w:rPr>
                <w:rFonts w:hint="default" w:ascii="宋体" w:hAnsi="宋体"/>
                <w:b/>
                <w:color w:val="000000" w:themeColor="text1"/>
                <w:sz w:val="24"/>
                <w14:textFill>
                  <w14:solidFill>
                    <w14:schemeClr w14:val="tx1"/>
                  </w14:solidFill>
                </w14:textFill>
              </w:rPr>
              <w:t>表</w:t>
            </w:r>
            <w:r>
              <w:rPr>
                <w:rFonts w:hint="eastAsia" w:ascii="宋体" w:hAnsi="宋体"/>
                <w:b/>
                <w:color w:val="000000" w:themeColor="text1"/>
                <w:sz w:val="24"/>
                <w14:textFill>
                  <w14:solidFill>
                    <w14:schemeClr w14:val="tx1"/>
                  </w14:solidFill>
                </w14:textFill>
              </w:rPr>
              <w:t>2</w:t>
            </w:r>
            <w:r>
              <w:rPr>
                <w:rFonts w:hint="eastAsia" w:ascii="宋体" w:hAnsi="宋体"/>
                <w:b/>
                <w:color w:val="000000" w:themeColor="text1"/>
                <w:sz w:val="24"/>
                <w:lang w:val="en-US" w:eastAsia="zh-CN"/>
                <w14:textFill>
                  <w14:solidFill>
                    <w14:schemeClr w14:val="tx1"/>
                  </w14:solidFill>
                </w14:textFill>
              </w:rPr>
              <w:t xml:space="preserve">8  </w:t>
            </w:r>
            <w:r>
              <w:rPr>
                <w:rFonts w:hint="default" w:ascii="宋体" w:hAnsi="宋体"/>
                <w:b/>
                <w:color w:val="000000" w:themeColor="text1"/>
                <w:sz w:val="24"/>
                <w14:textFill>
                  <w14:solidFill>
                    <w14:schemeClr w14:val="tx1"/>
                  </w14:solidFill>
                </w14:textFill>
              </w:rPr>
              <w:t>本项目污染物厂界无组织</w:t>
            </w:r>
            <w:r>
              <w:rPr>
                <w:rFonts w:hint="eastAsia" w:ascii="宋体" w:hAnsi="宋体"/>
                <w:b/>
                <w:color w:val="000000" w:themeColor="text1"/>
                <w:sz w:val="24"/>
                <w:lang w:val="en-US" w:eastAsia="zh-CN"/>
                <w14:textFill>
                  <w14:solidFill>
                    <w14:schemeClr w14:val="tx1"/>
                  </w14:solidFill>
                </w14:textFill>
              </w:rPr>
              <w:t>排放</w:t>
            </w:r>
            <w:r>
              <w:rPr>
                <w:rFonts w:hint="default" w:ascii="宋体" w:hAnsi="宋体"/>
                <w:b/>
                <w:color w:val="000000" w:themeColor="text1"/>
                <w:sz w:val="24"/>
                <w14:textFill>
                  <w14:solidFill>
                    <w14:schemeClr w14:val="tx1"/>
                  </w14:solidFill>
                </w14:textFill>
              </w:rPr>
              <w:t>浓度一览表</w:t>
            </w:r>
            <w:r>
              <w:rPr>
                <w:rFonts w:hint="eastAsia" w:ascii="宋体" w:hAnsi="宋体"/>
                <w:b/>
                <w:color w:val="000000" w:themeColor="text1"/>
                <w:sz w:val="24"/>
                <w14:textFill>
                  <w14:solidFill>
                    <w14:schemeClr w14:val="tx1"/>
                  </w14:solidFill>
                </w14:textFill>
              </w:rPr>
              <w:t xml:space="preserve">  单位：</w:t>
            </w:r>
            <w:r>
              <w:rPr>
                <w:rFonts w:hint="default" w:ascii="宋体" w:hAnsi="宋体"/>
                <w:b/>
                <w:color w:val="000000" w:themeColor="text1"/>
                <w:sz w:val="24"/>
                <w14:textFill>
                  <w14:solidFill>
                    <w14:schemeClr w14:val="tx1"/>
                  </w14:solidFill>
                </w14:textFill>
              </w:rPr>
              <w:t>（mg/m</w:t>
            </w:r>
            <w:r>
              <w:rPr>
                <w:rFonts w:hint="default" w:ascii="宋体" w:hAnsi="宋体"/>
                <w:b/>
                <w:color w:val="000000" w:themeColor="text1"/>
                <w:sz w:val="24"/>
                <w:vertAlign w:val="superscript"/>
                <w14:textFill>
                  <w14:solidFill>
                    <w14:schemeClr w14:val="tx1"/>
                  </w14:solidFill>
                </w14:textFill>
              </w:rPr>
              <w:t>3</w:t>
            </w:r>
            <w:r>
              <w:rPr>
                <w:rFonts w:hint="default" w:ascii="宋体" w:hAnsi="宋体"/>
                <w:b/>
                <w:color w:val="000000" w:themeColor="text1"/>
                <w:sz w:val="24"/>
                <w14:textFill>
                  <w14:solidFill>
                    <w14:schemeClr w14:val="tx1"/>
                  </w14:solidFill>
                </w14:textFill>
              </w:rPr>
              <w:t>）</w:t>
            </w:r>
          </w:p>
          <w:tbl>
            <w:tblPr>
              <w:tblStyle w:val="22"/>
              <w:tblW w:w="861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5"/>
              <w:gridCol w:w="900"/>
              <w:gridCol w:w="990"/>
              <w:gridCol w:w="1463"/>
              <w:gridCol w:w="1463"/>
              <w:gridCol w:w="1463"/>
              <w:gridCol w:w="14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dxa"/>
                  <w:tcBorders>
                    <w:top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eastAsia" w:hAnsi="宋体"/>
                      <w:b/>
                      <w:color w:val="auto"/>
                      <w:sz w:val="21"/>
                      <w:szCs w:val="21"/>
                    </w:rPr>
                    <w:t>预测源</w:t>
                  </w:r>
                </w:p>
              </w:tc>
              <w:tc>
                <w:tcPr>
                  <w:tcW w:w="90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eastAsia" w:hAnsi="宋体"/>
                      <w:b/>
                      <w:color w:val="auto"/>
                      <w:sz w:val="21"/>
                      <w:szCs w:val="21"/>
                    </w:rPr>
                    <w:t>污染物</w:t>
                  </w:r>
                </w:p>
              </w:tc>
              <w:tc>
                <w:tcPr>
                  <w:tcW w:w="990"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eastAsia="宋体"/>
                      <w:b/>
                      <w:color w:val="auto"/>
                      <w:sz w:val="21"/>
                      <w:szCs w:val="21"/>
                      <w:lang w:val="en-US" w:eastAsia="zh-CN"/>
                    </w:rPr>
                  </w:pPr>
                  <w:r>
                    <w:rPr>
                      <w:rFonts w:hint="eastAsia" w:hAnsi="宋体"/>
                      <w:b/>
                      <w:color w:val="auto"/>
                      <w:sz w:val="21"/>
                      <w:szCs w:val="21"/>
                      <w:lang w:val="en-US" w:eastAsia="zh-CN"/>
                    </w:rPr>
                    <w:t>项目建设情况</w:t>
                  </w:r>
                </w:p>
              </w:tc>
              <w:tc>
                <w:tcPr>
                  <w:tcW w:w="146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highlight w:val="yellow"/>
                    </w:rPr>
                  </w:pPr>
                  <w:r>
                    <w:rPr>
                      <w:rFonts w:hint="default" w:hAnsi="宋体"/>
                      <w:b/>
                      <w:color w:val="auto"/>
                      <w:sz w:val="21"/>
                      <w:szCs w:val="21"/>
                    </w:rPr>
                    <w:t>东厂界（</w:t>
                  </w:r>
                  <w:r>
                    <w:rPr>
                      <w:rFonts w:hint="eastAsia" w:hAnsi="宋体"/>
                      <w:b/>
                      <w:color w:val="auto"/>
                      <w:sz w:val="21"/>
                      <w:szCs w:val="21"/>
                      <w:lang w:val="en-US" w:eastAsia="zh-CN"/>
                    </w:rPr>
                    <w:t>80</w:t>
                  </w:r>
                  <w:r>
                    <w:rPr>
                      <w:rFonts w:hint="default" w:hAnsi="宋体"/>
                      <w:b/>
                      <w:color w:val="auto"/>
                      <w:sz w:val="21"/>
                      <w:szCs w:val="21"/>
                    </w:rPr>
                    <w:t>m）</w:t>
                  </w:r>
                </w:p>
              </w:tc>
              <w:tc>
                <w:tcPr>
                  <w:tcW w:w="146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default" w:hAnsi="宋体"/>
                      <w:b/>
                      <w:color w:val="auto"/>
                      <w:sz w:val="21"/>
                      <w:szCs w:val="21"/>
                    </w:rPr>
                    <w:t>南厂界（</w:t>
                  </w:r>
                  <w:r>
                    <w:rPr>
                      <w:rFonts w:hint="eastAsia" w:hAnsi="宋体"/>
                      <w:b/>
                      <w:color w:val="auto"/>
                      <w:sz w:val="21"/>
                      <w:szCs w:val="21"/>
                      <w:lang w:val="en-US" w:eastAsia="zh-CN"/>
                    </w:rPr>
                    <w:t>20</w:t>
                  </w:r>
                  <w:r>
                    <w:rPr>
                      <w:rFonts w:hint="default" w:hAnsi="宋体"/>
                      <w:b/>
                      <w:color w:val="auto"/>
                      <w:sz w:val="21"/>
                      <w:szCs w:val="21"/>
                    </w:rPr>
                    <w:t>m）</w:t>
                  </w:r>
                </w:p>
              </w:tc>
              <w:tc>
                <w:tcPr>
                  <w:tcW w:w="1463" w:type="dxa"/>
                  <w:tcBorders>
                    <w:top w:val="single" w:color="000000" w:sz="8" w:space="0"/>
                    <w:left w:val="single" w:color="000000" w:sz="8" w:space="0"/>
                    <w:bottom w:val="single" w:color="000000" w:sz="8" w:space="0"/>
                    <w:right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default" w:hAnsi="宋体"/>
                      <w:b/>
                      <w:color w:val="auto"/>
                      <w:sz w:val="21"/>
                      <w:szCs w:val="21"/>
                    </w:rPr>
                    <w:t>西厂界（</w:t>
                  </w:r>
                  <w:r>
                    <w:rPr>
                      <w:rFonts w:hint="eastAsia" w:hAnsi="宋体"/>
                      <w:b/>
                      <w:color w:val="auto"/>
                      <w:sz w:val="21"/>
                      <w:szCs w:val="21"/>
                      <w:lang w:val="en-US" w:eastAsia="zh-CN"/>
                    </w:rPr>
                    <w:t>10</w:t>
                  </w:r>
                  <w:r>
                    <w:rPr>
                      <w:rFonts w:hint="default" w:hAnsi="宋体"/>
                      <w:b/>
                      <w:color w:val="auto"/>
                      <w:sz w:val="21"/>
                      <w:szCs w:val="21"/>
                    </w:rPr>
                    <w:t>m）</w:t>
                  </w:r>
                </w:p>
              </w:tc>
              <w:tc>
                <w:tcPr>
                  <w:tcW w:w="1463" w:type="dxa"/>
                  <w:tcBorders>
                    <w:top w:val="single" w:color="000000" w:sz="8" w:space="0"/>
                    <w:left w:val="single" w:color="000000" w:sz="8" w:space="0"/>
                    <w:bottom w:val="single" w:color="000000" w:sz="8" w:space="0"/>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default" w:hAnsi="宋体"/>
                      <w:b/>
                      <w:color w:val="auto"/>
                      <w:sz w:val="21"/>
                      <w:szCs w:val="21"/>
                    </w:rPr>
                    <w:t>北厂界（</w:t>
                  </w:r>
                  <w:r>
                    <w:rPr>
                      <w:rFonts w:hint="eastAsia" w:hAnsi="宋体"/>
                      <w:b/>
                      <w:color w:val="auto"/>
                      <w:sz w:val="21"/>
                      <w:szCs w:val="21"/>
                      <w:lang w:val="en-US" w:eastAsia="zh-CN"/>
                    </w:rPr>
                    <w:t>90</w:t>
                  </w:r>
                  <w:r>
                    <w:rPr>
                      <w:rFonts w:hint="default" w:hAnsi="宋体"/>
                      <w:b/>
                      <w:color w:val="auto"/>
                      <w:sz w:val="21"/>
                      <w:szCs w:val="21"/>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dxa"/>
                  <w:vMerge w:val="restart"/>
                  <w:tcBorders>
                    <w:top w:val="single" w:color="000000" w:sz="8"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color w:val="auto"/>
                      <w:sz w:val="21"/>
                      <w:szCs w:val="21"/>
                    </w:rPr>
                  </w:pPr>
                  <w:r>
                    <w:rPr>
                      <w:rFonts w:hint="eastAsia" w:hAnsi="宋体"/>
                      <w:color w:val="auto"/>
                      <w:sz w:val="21"/>
                      <w:szCs w:val="21"/>
                    </w:rPr>
                    <w:t>生产</w:t>
                  </w:r>
                </w:p>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rPr>
                  </w:pPr>
                  <w:r>
                    <w:rPr>
                      <w:rFonts w:hint="eastAsia" w:hAnsi="宋体"/>
                      <w:color w:val="auto"/>
                      <w:sz w:val="21"/>
                      <w:szCs w:val="21"/>
                    </w:rPr>
                    <w:t>车间</w:t>
                  </w:r>
                </w:p>
              </w:tc>
              <w:tc>
                <w:tcPr>
                  <w:tcW w:w="900" w:type="dxa"/>
                  <w:vMerge w:val="restart"/>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eastAsia="宋体"/>
                      <w:color w:val="auto"/>
                      <w:sz w:val="21"/>
                      <w:szCs w:val="21"/>
                      <w:lang w:eastAsia="zh-CN"/>
                    </w:rPr>
                  </w:pPr>
                  <w:r>
                    <w:rPr>
                      <w:rFonts w:hint="eastAsia" w:hAnsi="宋体"/>
                      <w:color w:val="auto"/>
                      <w:sz w:val="21"/>
                      <w:szCs w:val="21"/>
                      <w:lang w:val="en-US" w:eastAsia="zh-CN"/>
                    </w:rPr>
                    <w:t>非甲烷总烃</w:t>
                  </w:r>
                </w:p>
              </w:tc>
              <w:tc>
                <w:tcPr>
                  <w:tcW w:w="990"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一期</w:t>
                  </w:r>
                </w:p>
              </w:tc>
              <w:tc>
                <w:tcPr>
                  <w:tcW w:w="146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0.0195</w:t>
                  </w:r>
                </w:p>
              </w:tc>
              <w:tc>
                <w:tcPr>
                  <w:tcW w:w="146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0.0091</w:t>
                  </w:r>
                </w:p>
              </w:tc>
              <w:tc>
                <w:tcPr>
                  <w:tcW w:w="1463" w:type="dxa"/>
                  <w:tcBorders>
                    <w:top w:val="single" w:color="000000" w:sz="8" w:space="0"/>
                    <w:left w:val="single" w:color="000000" w:sz="4" w:space="0"/>
                    <w:bottom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0.0061</w:t>
                  </w:r>
                </w:p>
              </w:tc>
              <w:tc>
                <w:tcPr>
                  <w:tcW w:w="1463" w:type="dxa"/>
                  <w:tcBorders>
                    <w:top w:val="single" w:color="000000" w:sz="8" w:space="0"/>
                    <w:left w:val="single" w:color="000000" w:sz="4" w:space="0"/>
                    <w:bottom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0.0166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5" w:type="dxa"/>
                  <w:vMerge w:val="continue"/>
                  <w:tcBorders>
                    <w:top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rPr>
                  </w:pPr>
                </w:p>
              </w:tc>
              <w:tc>
                <w:tcPr>
                  <w:tcW w:w="900" w:type="dxa"/>
                  <w:vMerge w:val="continue"/>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eastAsia="宋体"/>
                      <w:color w:val="auto"/>
                      <w:sz w:val="21"/>
                      <w:szCs w:val="21"/>
                      <w:lang w:eastAsia="zh-CN"/>
                    </w:rPr>
                  </w:pPr>
                </w:p>
              </w:tc>
              <w:tc>
                <w:tcPr>
                  <w:tcW w:w="990"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eastAsia="宋体"/>
                      <w:color w:val="auto"/>
                      <w:sz w:val="21"/>
                      <w:szCs w:val="21"/>
                      <w:lang w:val="en-US" w:eastAsia="zh-CN"/>
                    </w:rPr>
                  </w:pPr>
                  <w:r>
                    <w:rPr>
                      <w:rFonts w:hint="eastAsia" w:hAnsi="宋体"/>
                      <w:color w:val="auto"/>
                      <w:sz w:val="21"/>
                      <w:szCs w:val="21"/>
                      <w:lang w:val="en-US" w:eastAsia="zh-CN"/>
                    </w:rPr>
                    <w:t>建成后合计</w:t>
                  </w:r>
                </w:p>
              </w:tc>
              <w:tc>
                <w:tcPr>
                  <w:tcW w:w="1463"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eastAsia="宋体"/>
                      <w:color w:val="auto"/>
                      <w:sz w:val="21"/>
                      <w:szCs w:val="21"/>
                      <w:lang w:val="en-US" w:eastAsia="zh-CN"/>
                    </w:rPr>
                  </w:pPr>
                  <w:r>
                    <w:rPr>
                      <w:rFonts w:hint="eastAsia" w:hAnsi="宋体"/>
                      <w:color w:val="auto"/>
                      <w:sz w:val="21"/>
                      <w:szCs w:val="21"/>
                      <w:lang w:val="en-US" w:eastAsia="zh-CN"/>
                    </w:rPr>
                    <w:t>0.0585</w:t>
                  </w:r>
                </w:p>
              </w:tc>
              <w:tc>
                <w:tcPr>
                  <w:tcW w:w="1463"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eastAsia="宋体"/>
                      <w:color w:val="auto"/>
                      <w:sz w:val="21"/>
                      <w:szCs w:val="21"/>
                      <w:lang w:val="en-US" w:eastAsia="zh-CN"/>
                    </w:rPr>
                  </w:pPr>
                  <w:r>
                    <w:rPr>
                      <w:rFonts w:hint="eastAsia" w:hAnsi="宋体"/>
                      <w:color w:val="auto"/>
                      <w:sz w:val="21"/>
                      <w:szCs w:val="21"/>
                      <w:lang w:val="en-US" w:eastAsia="zh-CN"/>
                    </w:rPr>
                    <w:t>0.0273</w:t>
                  </w:r>
                </w:p>
              </w:tc>
              <w:tc>
                <w:tcPr>
                  <w:tcW w:w="1463" w:type="dxa"/>
                  <w:tcBorders>
                    <w:top w:val="single" w:color="000000" w:sz="4" w:space="0"/>
                    <w:left w:val="single" w:color="000000" w:sz="4" w:space="0"/>
                    <w:bottom w:val="single" w:color="000000" w:sz="8"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eastAsia="宋体"/>
                      <w:color w:val="auto"/>
                      <w:sz w:val="21"/>
                      <w:szCs w:val="21"/>
                      <w:lang w:val="en-US" w:eastAsia="zh-CN"/>
                    </w:rPr>
                  </w:pPr>
                  <w:r>
                    <w:rPr>
                      <w:rFonts w:hint="eastAsia" w:hAnsi="宋体"/>
                      <w:color w:val="auto"/>
                      <w:sz w:val="21"/>
                      <w:szCs w:val="21"/>
                      <w:lang w:val="en-US" w:eastAsia="zh-CN"/>
                    </w:rPr>
                    <w:t>0.0183</w:t>
                  </w:r>
                </w:p>
              </w:tc>
              <w:tc>
                <w:tcPr>
                  <w:tcW w:w="1463" w:type="dxa"/>
                  <w:tcBorders>
                    <w:top w:val="single" w:color="000000" w:sz="4" w:space="0"/>
                    <w:left w:val="single" w:color="000000" w:sz="4" w:space="0"/>
                    <w:bottom w:val="single" w:color="000000"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eastAsia="宋体"/>
                      <w:color w:val="auto"/>
                      <w:sz w:val="21"/>
                      <w:szCs w:val="21"/>
                      <w:lang w:val="en-US" w:eastAsia="zh-CN"/>
                    </w:rPr>
                  </w:pPr>
                  <w:r>
                    <w:rPr>
                      <w:rFonts w:hint="eastAsia" w:hAnsi="宋体"/>
                      <w:color w:val="auto"/>
                      <w:sz w:val="21"/>
                      <w:szCs w:val="21"/>
                      <w:lang w:val="en-US" w:eastAsia="zh-CN"/>
                    </w:rPr>
                    <w:t>0.0498</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hAnsi="宋体"/>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由上表可知：</w:t>
            </w:r>
            <w:r>
              <w:rPr>
                <w:rFonts w:hint="eastAsia" w:hAnsi="宋体"/>
                <w:bCs/>
                <w:color w:val="000000" w:themeColor="text1"/>
                <w:sz w:val="24"/>
                <w:szCs w:val="24"/>
                <w:lang w:val="en-US" w:eastAsia="zh-CN"/>
                <w14:textFill>
                  <w14:solidFill>
                    <w14:schemeClr w14:val="tx1"/>
                  </w14:solidFill>
                </w14:textFill>
              </w:rPr>
              <w:t>非甲烷总烃</w:t>
            </w:r>
            <w:r>
              <w:rPr>
                <w:rFonts w:hint="eastAsia" w:hAnsi="宋体"/>
                <w:bCs/>
                <w:color w:val="000000" w:themeColor="text1"/>
                <w:sz w:val="24"/>
                <w:szCs w:val="24"/>
                <w14:textFill>
                  <w14:solidFill>
                    <w14:schemeClr w14:val="tx1"/>
                  </w14:solidFill>
                </w14:textFill>
              </w:rPr>
              <w:t>厂界浓度</w:t>
            </w:r>
            <w:r>
              <w:rPr>
                <w:rFonts w:hint="eastAsia" w:hAnsi="宋体"/>
                <w:color w:val="000000" w:themeColor="text1"/>
                <w:sz w:val="24"/>
                <w14:textFill>
                  <w14:solidFill>
                    <w14:schemeClr w14:val="tx1"/>
                  </w14:solidFill>
                </w14:textFill>
              </w:rPr>
              <w:t>满足《关于全省开展工业企业挥发性有机物专项治理工作中排放建议值的通知》中</w:t>
            </w:r>
            <w:r>
              <w:rPr>
                <w:rFonts w:hint="eastAsia" w:hAnsi="宋体"/>
                <w:color w:val="000000" w:themeColor="text1"/>
                <w:sz w:val="24"/>
                <w:lang w:val="en-US" w:eastAsia="zh-CN"/>
                <w14:textFill>
                  <w14:solidFill>
                    <w14:schemeClr w14:val="tx1"/>
                  </w14:solidFill>
                </w14:textFill>
              </w:rPr>
              <w:t>非甲烷总烃厂界</w:t>
            </w:r>
            <w:r>
              <w:rPr>
                <w:rFonts w:hint="eastAsia" w:hAnsi="宋体"/>
                <w:color w:val="000000" w:themeColor="text1"/>
                <w:sz w:val="24"/>
                <w14:textFill>
                  <w14:solidFill>
                    <w14:schemeClr w14:val="tx1"/>
                  </w14:solidFill>
                </w14:textFill>
              </w:rPr>
              <w:t>浓度</w:t>
            </w:r>
            <w:r>
              <w:rPr>
                <w:rFonts w:hint="eastAsia" w:hAnsi="宋体"/>
                <w:color w:val="000000" w:themeColor="text1"/>
                <w:sz w:val="24"/>
                <w:lang w:val="en-US" w:eastAsia="zh-CN"/>
                <w14:textFill>
                  <w14:solidFill>
                    <w14:schemeClr w14:val="tx1"/>
                  </w14:solidFill>
                </w14:textFill>
              </w:rPr>
              <w:t>2.0</w:t>
            </w:r>
            <w:r>
              <w:rPr>
                <w:rFonts w:hint="default" w:hAnsi="宋体"/>
                <w:color w:val="000000" w:themeColor="text1"/>
                <w:sz w:val="24"/>
                <w14:textFill>
                  <w14:solidFill>
                    <w14:schemeClr w14:val="tx1"/>
                  </w14:solidFill>
                </w14:textFill>
              </w:rPr>
              <w:t>mg/m</w:t>
            </w:r>
            <w:r>
              <w:rPr>
                <w:rFonts w:hint="default" w:hAnsi="宋体"/>
                <w:color w:val="000000" w:themeColor="text1"/>
                <w:sz w:val="24"/>
                <w:vertAlign w:val="superscript"/>
                <w14:textFill>
                  <w14:solidFill>
                    <w14:schemeClr w14:val="tx1"/>
                  </w14:solidFill>
                </w14:textFill>
              </w:rPr>
              <w:t>3</w:t>
            </w:r>
            <w:r>
              <w:rPr>
                <w:rFonts w:hint="eastAsia" w:hAnsi="宋体"/>
                <w:color w:val="000000" w:themeColor="text1"/>
                <w:sz w:val="24"/>
                <w14:textFill>
                  <w14:solidFill>
                    <w14:schemeClr w14:val="tx1"/>
                  </w14:solidFill>
                </w14:textFill>
              </w:rPr>
              <w:t>标准要求。</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hAnsi="宋体"/>
                <w:color w:val="000000" w:themeColor="text1"/>
                <w:sz w:val="24"/>
                <w14:textFill>
                  <w14:solidFill>
                    <w14:schemeClr w14:val="tx1"/>
                  </w14:solidFill>
                </w14:textFill>
              </w:rPr>
            </w:pPr>
            <w:r>
              <w:rPr>
                <w:rFonts w:hint="eastAsia" w:hAnsi="宋体"/>
                <w:bCs/>
                <w:color w:val="000000" w:themeColor="text1"/>
                <w:sz w:val="24"/>
                <w14:textFill>
                  <w14:solidFill>
                    <w14:schemeClr w14:val="tx1"/>
                  </w14:solidFill>
                </w14:textFill>
              </w:rPr>
              <w:t>综上所述本项目有组织、无组织废气均满足排放标准要求，不会对周围环境产生影响。</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color w:val="000000" w:themeColor="text1"/>
                <w:sz w:val="24"/>
                <w14:textFill>
                  <w14:solidFill>
                    <w14:schemeClr w14:val="tx1"/>
                  </w14:solidFill>
                </w14:textFill>
              </w:rPr>
            </w:pPr>
            <w:r>
              <w:rPr>
                <w:rFonts w:hint="eastAsia" w:hAnsi="宋体"/>
                <w:color w:val="000000" w:themeColor="text1"/>
                <w:sz w:val="24"/>
                <w:lang w:eastAsia="zh-CN"/>
                <w14:textFill>
                  <w14:solidFill>
                    <w14:schemeClr w14:val="tx1"/>
                  </w14:solidFill>
                </w14:textFill>
              </w:rPr>
              <w:t>（</w:t>
            </w:r>
            <w:r>
              <w:rPr>
                <w:rFonts w:hint="eastAsia" w:hAnsi="宋体"/>
                <w:color w:val="000000" w:themeColor="text1"/>
                <w:sz w:val="24"/>
                <w:lang w:val="en-US" w:eastAsia="zh-CN"/>
                <w14:textFill>
                  <w14:solidFill>
                    <w14:schemeClr w14:val="tx1"/>
                  </w14:solidFill>
                </w14:textFill>
              </w:rPr>
              <w:t>5</w:t>
            </w:r>
            <w:r>
              <w:rPr>
                <w:rFonts w:hint="eastAsia" w:hAnsi="宋体"/>
                <w:color w:val="000000" w:themeColor="text1"/>
                <w:sz w:val="24"/>
                <w:lang w:eastAsia="zh-CN"/>
                <w14:textFill>
                  <w14:solidFill>
                    <w14:schemeClr w14:val="tx1"/>
                  </w14:solidFill>
                </w14:textFill>
              </w:rPr>
              <w:t>）</w:t>
            </w:r>
            <w:r>
              <w:rPr>
                <w:rFonts w:hint="default" w:hAnsi="宋体"/>
                <w:color w:val="000000" w:themeColor="text1"/>
                <w:sz w:val="24"/>
                <w14:textFill>
                  <w14:solidFill>
                    <w14:schemeClr w14:val="tx1"/>
                  </w14:solidFill>
                </w14:textFill>
              </w:rPr>
              <w:t>非正常工况环境影响分析</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hAnsi="宋体"/>
                <w:color w:val="000000" w:themeColor="text1"/>
                <w:sz w:val="24"/>
                <w14:textFill>
                  <w14:solidFill>
                    <w14:schemeClr w14:val="tx1"/>
                  </w14:solidFill>
                </w14:textFill>
              </w:rPr>
            </w:pPr>
            <w:r>
              <w:rPr>
                <w:rFonts w:hint="default" w:hAnsi="宋体"/>
                <w:color w:val="000000" w:themeColor="text1"/>
                <w:sz w:val="24"/>
                <w:lang w:val="en-GB"/>
                <w14:textFill>
                  <w14:solidFill>
                    <w14:schemeClr w14:val="tx1"/>
                  </w14:solidFill>
                </w14:textFill>
              </w:rPr>
              <w:t>非正常工况是指生产运行阶段的开、停车、检修、操作不正常或设备故障等。本项目</w:t>
            </w:r>
            <w:r>
              <w:rPr>
                <w:rFonts w:hint="eastAsia" w:hAnsi="宋体"/>
                <w:color w:val="000000" w:themeColor="text1"/>
                <w:sz w:val="24"/>
                <w:lang w:val="en-GB"/>
                <w14:textFill>
                  <w14:solidFill>
                    <w14:schemeClr w14:val="tx1"/>
                  </w14:solidFill>
                </w14:textFill>
              </w:rPr>
              <w:t>非正常工况主要为在</w:t>
            </w:r>
            <w:r>
              <w:rPr>
                <w:rFonts w:hint="eastAsia" w:hAnsi="宋体"/>
                <w:color w:val="000000" w:themeColor="text1"/>
                <w:sz w:val="24"/>
                <w14:textFill>
                  <w14:solidFill>
                    <w14:schemeClr w14:val="tx1"/>
                  </w14:solidFill>
                </w14:textFill>
              </w:rPr>
              <w:t>检修</w:t>
            </w:r>
            <w:r>
              <w:rPr>
                <w:rFonts w:hint="eastAsia" w:hAnsi="宋体"/>
                <w:color w:val="000000" w:themeColor="text1"/>
                <w:sz w:val="24"/>
                <w:lang w:val="en-US" w:eastAsia="zh-CN"/>
                <w14:textFill>
                  <w14:solidFill>
                    <w14:schemeClr w14:val="tx1"/>
                  </w14:solidFill>
                </w14:textFill>
              </w:rPr>
              <w:t>废气处理措施装置时</w:t>
            </w:r>
            <w:r>
              <w:rPr>
                <w:rFonts w:hint="default" w:hAnsi="宋体"/>
                <w:color w:val="000000" w:themeColor="text1"/>
                <w:sz w:val="24"/>
                <w14:textFill>
                  <w14:solidFill>
                    <w14:schemeClr w14:val="tx1"/>
                  </w14:solidFill>
                </w14:textFill>
              </w:rPr>
              <w:t>。根据建设单位运行经验，</w:t>
            </w:r>
            <w:r>
              <w:rPr>
                <w:rFonts w:hint="eastAsia" w:hAnsi="宋体"/>
                <w:color w:val="000000" w:themeColor="text1"/>
                <w:sz w:val="24"/>
                <w14:textFill>
                  <w14:solidFill>
                    <w14:schemeClr w14:val="tx1"/>
                  </w14:solidFill>
                </w14:textFill>
              </w:rPr>
              <w:t>检修</w:t>
            </w:r>
            <w:r>
              <w:rPr>
                <w:rFonts w:hint="default" w:hAnsi="宋体"/>
                <w:color w:val="000000" w:themeColor="text1"/>
                <w:sz w:val="24"/>
                <w14:textFill>
                  <w14:solidFill>
                    <w14:schemeClr w14:val="tx1"/>
                  </w14:solidFill>
                </w14:textFill>
              </w:rPr>
              <w:t>频次约1次/a</w:t>
            </w:r>
            <w:r>
              <w:rPr>
                <w:rFonts w:hint="eastAsia" w:hAnsi="宋体"/>
                <w:color w:val="000000" w:themeColor="text1"/>
                <w:sz w:val="24"/>
                <w14:textFill>
                  <w14:solidFill>
                    <w14:schemeClr w14:val="tx1"/>
                  </w14:solidFill>
                </w14:textFill>
              </w:rPr>
              <w:t>，本</w:t>
            </w:r>
            <w:r>
              <w:rPr>
                <w:rFonts w:hint="default" w:hAnsi="宋体"/>
                <w:color w:val="000000" w:themeColor="text1"/>
                <w:sz w:val="24"/>
                <w14:textFill>
                  <w14:solidFill>
                    <w14:schemeClr w14:val="tx1"/>
                  </w14:solidFill>
                </w14:textFill>
              </w:rPr>
              <w:t>项目非正常排放量核算结果见下表。</w:t>
            </w:r>
          </w:p>
          <w:p>
            <w:pPr>
              <w:keepNext w:val="0"/>
              <w:keepLines w:val="0"/>
              <w:suppressLineNumbers w:val="0"/>
              <w:tabs>
                <w:tab w:val="left" w:pos="3620"/>
              </w:tabs>
              <w:adjustRightInd w:val="0"/>
              <w:snapToGrid w:val="0"/>
              <w:spacing w:before="0" w:beforeAutospacing="0" w:after="0" w:afterAutospacing="0" w:line="440" w:lineRule="exact"/>
              <w:ind w:left="0" w:right="0"/>
              <w:jc w:val="center"/>
              <w:rPr>
                <w:rFonts w:hint="default" w:ascii="宋体" w:hAnsi="宋体"/>
                <w:b/>
                <w:color w:val="000000" w:themeColor="text1"/>
                <w:sz w:val="24"/>
                <w14:textFill>
                  <w14:solidFill>
                    <w14:schemeClr w14:val="tx1"/>
                  </w14:solidFill>
                </w14:textFill>
              </w:rPr>
            </w:pPr>
            <w:r>
              <w:rPr>
                <w:rFonts w:hint="default" w:ascii="宋体" w:hAnsi="宋体"/>
                <w:b/>
                <w:color w:val="000000" w:themeColor="text1"/>
                <w:sz w:val="24"/>
                <w14:textFill>
                  <w14:solidFill>
                    <w14:schemeClr w14:val="tx1"/>
                  </w14:solidFill>
                </w14:textFill>
              </w:rPr>
              <w:t>表</w:t>
            </w:r>
            <w:r>
              <w:rPr>
                <w:rFonts w:hint="eastAsia" w:ascii="宋体" w:hAnsi="宋体"/>
                <w:b/>
                <w:color w:val="000000" w:themeColor="text1"/>
                <w:sz w:val="24"/>
                <w:lang w:val="en-US" w:eastAsia="zh-CN"/>
                <w14:textFill>
                  <w14:solidFill>
                    <w14:schemeClr w14:val="tx1"/>
                  </w14:solidFill>
                </w14:textFill>
              </w:rPr>
              <w:t xml:space="preserve">29  </w:t>
            </w:r>
            <w:r>
              <w:rPr>
                <w:rFonts w:hint="eastAsia" w:ascii="宋体" w:hAnsi="宋体"/>
                <w:b/>
                <w:color w:val="000000" w:themeColor="text1"/>
                <w:sz w:val="24"/>
                <w14:textFill>
                  <w14:solidFill>
                    <w14:schemeClr w14:val="tx1"/>
                  </w14:solidFill>
                </w14:textFill>
              </w:rPr>
              <w:t>非</w:t>
            </w:r>
            <w:r>
              <w:rPr>
                <w:rFonts w:hint="default" w:ascii="宋体" w:hAnsi="宋体"/>
                <w:b/>
                <w:color w:val="000000" w:themeColor="text1"/>
                <w:sz w:val="24"/>
                <w14:textFill>
                  <w14:solidFill>
                    <w14:schemeClr w14:val="tx1"/>
                  </w14:solidFill>
                </w14:textFill>
              </w:rPr>
              <w:t>正常排放参数表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980"/>
              <w:gridCol w:w="1080"/>
              <w:gridCol w:w="891"/>
              <w:gridCol w:w="1014"/>
              <w:gridCol w:w="1830"/>
              <w:gridCol w:w="1562"/>
              <w:gridCol w:w="1259"/>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980"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非正常排放源</w:t>
                  </w:r>
                </w:p>
              </w:tc>
              <w:tc>
                <w:tcPr>
                  <w:tcW w:w="1080"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rPr>
                  </w:pPr>
                  <w:r>
                    <w:rPr>
                      <w:rFonts w:hint="default" w:hAnsi="宋体"/>
                      <w:b/>
                      <w:color w:val="auto"/>
                      <w:sz w:val="21"/>
                      <w:szCs w:val="21"/>
                    </w:rPr>
                    <w:t>非正常排放原因</w:t>
                  </w:r>
                </w:p>
              </w:tc>
              <w:tc>
                <w:tcPr>
                  <w:tcW w:w="891"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rPr>
                  </w:pPr>
                  <w:r>
                    <w:rPr>
                      <w:rFonts w:hint="default" w:hAnsi="宋体"/>
                      <w:b/>
                      <w:color w:val="auto"/>
                      <w:sz w:val="21"/>
                      <w:szCs w:val="21"/>
                    </w:rPr>
                    <w:t>污染物</w:t>
                  </w:r>
                </w:p>
              </w:tc>
              <w:tc>
                <w:tcPr>
                  <w:tcW w:w="1014"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b/>
                      <w:color w:val="auto"/>
                      <w:sz w:val="21"/>
                      <w:szCs w:val="21"/>
                      <w:lang w:val="en-US" w:eastAsia="zh-CN"/>
                    </w:rPr>
                  </w:pPr>
                  <w:r>
                    <w:rPr>
                      <w:rFonts w:hint="eastAsia" w:hAnsi="宋体"/>
                      <w:b/>
                      <w:color w:val="auto"/>
                      <w:sz w:val="21"/>
                      <w:szCs w:val="21"/>
                      <w:lang w:val="en-US" w:eastAsia="zh-CN"/>
                    </w:rPr>
                    <w:t>项目建设情况</w:t>
                  </w:r>
                </w:p>
              </w:tc>
              <w:tc>
                <w:tcPr>
                  <w:tcW w:w="1830"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default" w:hAnsi="宋体"/>
                      <w:b/>
                      <w:color w:val="auto"/>
                      <w:sz w:val="21"/>
                      <w:szCs w:val="21"/>
                    </w:rPr>
                    <w:t>非正常排放</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速率</w:t>
                  </w:r>
                  <w:r>
                    <w:rPr>
                      <w:rFonts w:hint="default"/>
                      <w:b/>
                      <w:color w:val="auto"/>
                      <w:sz w:val="21"/>
                      <w:szCs w:val="21"/>
                    </w:rPr>
                    <w:t>/</w:t>
                  </w:r>
                  <w:r>
                    <w:rPr>
                      <w:rFonts w:hint="default" w:hAnsi="宋体"/>
                      <w:b/>
                      <w:color w:val="auto"/>
                      <w:sz w:val="21"/>
                      <w:szCs w:val="21"/>
                    </w:rPr>
                    <w:t>（</w:t>
                  </w:r>
                  <w:r>
                    <w:rPr>
                      <w:rFonts w:hint="default"/>
                      <w:b/>
                      <w:color w:val="auto"/>
                      <w:sz w:val="21"/>
                      <w:szCs w:val="21"/>
                    </w:rPr>
                    <w:t>kg/h</w:t>
                  </w:r>
                  <w:r>
                    <w:rPr>
                      <w:rFonts w:hint="default" w:hAnsi="宋体"/>
                      <w:b/>
                      <w:color w:val="auto"/>
                      <w:sz w:val="21"/>
                      <w:szCs w:val="21"/>
                    </w:rPr>
                    <w:t>）</w:t>
                  </w:r>
                </w:p>
              </w:tc>
              <w:tc>
                <w:tcPr>
                  <w:tcW w:w="1562"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b/>
                      <w:color w:val="auto"/>
                      <w:sz w:val="21"/>
                      <w:szCs w:val="21"/>
                    </w:rPr>
                  </w:pPr>
                  <w:r>
                    <w:rPr>
                      <w:rFonts w:hint="default" w:hAnsi="宋体"/>
                      <w:b/>
                      <w:color w:val="auto"/>
                      <w:sz w:val="21"/>
                      <w:szCs w:val="21"/>
                    </w:rPr>
                    <w:t>单次持续</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时间</w:t>
                  </w:r>
                  <w:r>
                    <w:rPr>
                      <w:rFonts w:hint="default"/>
                      <w:b/>
                      <w:color w:val="auto"/>
                      <w:sz w:val="21"/>
                      <w:szCs w:val="21"/>
                    </w:rPr>
                    <w:t>/h</w:t>
                  </w:r>
                </w:p>
              </w:tc>
              <w:tc>
                <w:tcPr>
                  <w:tcW w:w="1259"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年发生频次</w:t>
                  </w:r>
                  <w:r>
                    <w:rPr>
                      <w:rFonts w:hint="default"/>
                      <w:b/>
                      <w:color w:val="auto"/>
                      <w:sz w:val="21"/>
                      <w:szCs w:val="21"/>
                    </w:rPr>
                    <w:t>/</w:t>
                  </w:r>
                  <w:r>
                    <w:rPr>
                      <w:rFonts w:hint="default" w:hAnsi="宋体"/>
                      <w:b/>
                      <w:color w:val="auto"/>
                      <w:sz w:val="21"/>
                      <w:szCs w:val="21"/>
                    </w:rPr>
                    <w:t>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980" w:type="dxa"/>
                  <w:vMerge w:val="restart"/>
                  <w:tcBorders>
                    <w:bottom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r>
                    <w:rPr>
                      <w:rFonts w:hint="eastAsia"/>
                      <w:color w:val="auto"/>
                      <w:sz w:val="21"/>
                      <w:szCs w:val="21"/>
                    </w:rPr>
                    <w:t>DA001</w:t>
                  </w:r>
                </w:p>
              </w:tc>
              <w:tc>
                <w:tcPr>
                  <w:tcW w:w="1080" w:type="dxa"/>
                  <w:vMerge w:val="restart"/>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hAnsi="宋体"/>
                      <w:color w:val="auto"/>
                      <w:sz w:val="21"/>
                      <w:szCs w:val="21"/>
                    </w:rPr>
                    <w:t>设备</w:t>
                  </w:r>
                  <w:r>
                    <w:rPr>
                      <w:rFonts w:hint="eastAsia" w:hAnsi="宋体"/>
                      <w:color w:val="auto"/>
                      <w:sz w:val="21"/>
                      <w:szCs w:val="21"/>
                    </w:rPr>
                    <w:t>检修</w:t>
                  </w:r>
                </w:p>
              </w:tc>
              <w:tc>
                <w:tcPr>
                  <w:tcW w:w="891" w:type="dxa"/>
                  <w:vMerge w:val="restart"/>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rPr>
                  </w:pPr>
                  <w:r>
                    <w:rPr>
                      <w:rFonts w:hint="eastAsia" w:hAnsi="宋体"/>
                      <w:color w:val="auto"/>
                      <w:sz w:val="21"/>
                      <w:szCs w:val="21"/>
                      <w:lang w:val="en-US" w:eastAsia="zh-CN"/>
                    </w:rPr>
                    <w:t>非甲烷总烃</w:t>
                  </w:r>
                </w:p>
              </w:tc>
              <w:tc>
                <w:tcPr>
                  <w:tcW w:w="1014" w:type="dxa"/>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一期</w:t>
                  </w:r>
                </w:p>
              </w:tc>
              <w:tc>
                <w:tcPr>
                  <w:tcW w:w="1830" w:type="dxa"/>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0.3206</w:t>
                  </w:r>
                </w:p>
              </w:tc>
              <w:tc>
                <w:tcPr>
                  <w:tcW w:w="1562" w:type="dxa"/>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color w:val="auto"/>
                      <w:sz w:val="21"/>
                      <w:szCs w:val="21"/>
                      <w:lang w:val="en-US" w:eastAsia="zh-CN"/>
                    </w:rPr>
                    <w:t>0.5</w:t>
                  </w:r>
                </w:p>
              </w:tc>
              <w:tc>
                <w:tcPr>
                  <w:tcW w:w="1259" w:type="dxa"/>
                  <w:tcBorders>
                    <w:left w:val="single" w:color="auto" w:sz="4" w:space="0"/>
                    <w:bottom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eastAsia"/>
                      <w:color w:val="auto"/>
                      <w:sz w:val="21"/>
                      <w:szCs w:val="21"/>
                      <w:lang w:val="en-US" w:eastAsia="zh-CN"/>
                    </w:rPr>
                    <w:t>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PrEx>
              <w:trPr>
                <w:trHeight w:val="397" w:hRule="atLeast"/>
                <w:jc w:val="center"/>
              </w:trPr>
              <w:tc>
                <w:tcPr>
                  <w:tcW w:w="980" w:type="dxa"/>
                  <w:vMerge w:val="continue"/>
                  <w:tcBorders>
                    <w:top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auto"/>
                      <w:sz w:val="21"/>
                      <w:szCs w:val="21"/>
                    </w:rPr>
                  </w:pPr>
                </w:p>
              </w:tc>
              <w:tc>
                <w:tcPr>
                  <w:tcW w:w="1080" w:type="dxa"/>
                  <w:vMerge w:val="continue"/>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891" w:type="dxa"/>
                  <w:vMerge w:val="continue"/>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p>
              </w:tc>
              <w:tc>
                <w:tcPr>
                  <w:tcW w:w="1014" w:type="dxa"/>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auto"/>
                      <w:sz w:val="21"/>
                      <w:szCs w:val="21"/>
                      <w:lang w:val="en-US" w:eastAsia="zh-CN"/>
                    </w:rPr>
                  </w:pPr>
                  <w:r>
                    <w:rPr>
                      <w:rFonts w:hint="eastAsia" w:hAnsi="宋体"/>
                      <w:color w:val="auto"/>
                      <w:sz w:val="21"/>
                      <w:szCs w:val="21"/>
                      <w:lang w:val="en-US" w:eastAsia="zh-CN"/>
                    </w:rPr>
                    <w:t>建成后合计</w:t>
                  </w:r>
                </w:p>
              </w:tc>
              <w:tc>
                <w:tcPr>
                  <w:tcW w:w="1830" w:type="dxa"/>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0.9619</w:t>
                  </w:r>
                </w:p>
              </w:tc>
              <w:tc>
                <w:tcPr>
                  <w:tcW w:w="1562" w:type="dxa"/>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0.5</w:t>
                  </w:r>
                </w:p>
              </w:tc>
              <w:tc>
                <w:tcPr>
                  <w:tcW w:w="1259" w:type="dxa"/>
                  <w:tcBorders>
                    <w:top w:val="single" w:color="auto" w:sz="4" w:space="0"/>
                    <w:lef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1</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color w:val="000000" w:themeColor="text1"/>
                <w:sz w:val="24"/>
                <w:lang w:val="en-GB"/>
                <w14:textFill>
                  <w14:solidFill>
                    <w14:schemeClr w14:val="tx1"/>
                  </w14:solidFill>
                </w14:textFill>
              </w:rPr>
            </w:pPr>
            <w:r>
              <w:rPr>
                <w:rFonts w:hint="eastAsia" w:hAnsi="宋体"/>
                <w:color w:val="000000" w:themeColor="text1"/>
                <w:sz w:val="24"/>
                <w:lang w:val="en-GB" w:eastAsia="zh-CN"/>
                <w14:textFill>
                  <w14:solidFill>
                    <w14:schemeClr w14:val="tx1"/>
                  </w14:solidFill>
                </w14:textFill>
              </w:rPr>
              <w:t>（</w:t>
            </w:r>
            <w:r>
              <w:rPr>
                <w:rFonts w:hint="eastAsia" w:hAnsi="宋体"/>
                <w:color w:val="000000" w:themeColor="text1"/>
                <w:sz w:val="24"/>
                <w:lang w:val="en-US" w:eastAsia="zh-CN"/>
                <w14:textFill>
                  <w14:solidFill>
                    <w14:schemeClr w14:val="tx1"/>
                  </w14:solidFill>
                </w14:textFill>
              </w:rPr>
              <w:t>6</w:t>
            </w:r>
            <w:r>
              <w:rPr>
                <w:rFonts w:hint="eastAsia" w:hAnsi="宋体"/>
                <w:color w:val="000000" w:themeColor="text1"/>
                <w:sz w:val="24"/>
                <w:lang w:val="en-GB" w:eastAsia="zh-CN"/>
                <w14:textFill>
                  <w14:solidFill>
                    <w14:schemeClr w14:val="tx1"/>
                  </w14:solidFill>
                </w14:textFill>
              </w:rPr>
              <w:t>）</w:t>
            </w:r>
            <w:r>
              <w:rPr>
                <w:rFonts w:hint="default" w:hAnsi="宋体"/>
                <w:color w:val="000000" w:themeColor="text1"/>
                <w:sz w:val="24"/>
                <w:lang w:val="en-GB"/>
                <w14:textFill>
                  <w14:solidFill>
                    <w14:schemeClr w14:val="tx1"/>
                  </w14:solidFill>
                </w14:textFill>
              </w:rPr>
              <w:t>废气监测要求</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hAnsi="宋体"/>
                <w:color w:val="000000" w:themeColor="text1"/>
                <w:sz w:val="24"/>
                <w:lang w:val="en-GB"/>
                <w14:textFill>
                  <w14:solidFill>
                    <w14:schemeClr w14:val="tx1"/>
                  </w14:solidFill>
                </w14:textFill>
              </w:rPr>
            </w:pPr>
            <w:r>
              <w:rPr>
                <w:rFonts w:hint="eastAsia"/>
                <w:bCs/>
                <w:color w:val="000000" w:themeColor="text1"/>
                <w:sz w:val="24"/>
                <w14:textFill>
                  <w14:solidFill>
                    <w14:schemeClr w14:val="tx1"/>
                  </w14:solidFill>
                </w14:textFill>
              </w:rPr>
              <w:t>根据</w:t>
            </w:r>
            <w:r>
              <w:rPr>
                <w:rFonts w:hint="default"/>
                <w:bCs/>
                <w:color w:val="000000" w:themeColor="text1"/>
                <w:sz w:val="24"/>
                <w14:textFill>
                  <w14:solidFill>
                    <w14:schemeClr w14:val="tx1"/>
                  </w14:solidFill>
                </w14:textFill>
              </w:rPr>
              <w:t xml:space="preserve">《排污许可证申请与核发技术规范 </w:t>
            </w:r>
            <w:r>
              <w:rPr>
                <w:rFonts w:hint="eastAsia"/>
                <w:bCs/>
                <w:color w:val="000000" w:themeColor="text1"/>
                <w:sz w:val="24"/>
                <w:lang w:val="en-US" w:eastAsia="zh-CN"/>
                <w14:textFill>
                  <w14:solidFill>
                    <w14:schemeClr w14:val="tx1"/>
                  </w14:solidFill>
                </w14:textFill>
              </w:rPr>
              <w:t>橡胶和塑料制品</w:t>
            </w:r>
            <w:r>
              <w:rPr>
                <w:rFonts w:hint="default"/>
                <w:bCs/>
                <w:color w:val="000000" w:themeColor="text1"/>
                <w:sz w:val="24"/>
                <w14:textFill>
                  <w14:solidFill>
                    <w14:schemeClr w14:val="tx1"/>
                  </w14:solidFill>
                </w14:textFill>
              </w:rPr>
              <w:t>》（HJ</w:t>
            </w:r>
            <w:r>
              <w:rPr>
                <w:rFonts w:hint="eastAsia"/>
                <w:bCs/>
                <w:color w:val="000000" w:themeColor="text1"/>
                <w:sz w:val="24"/>
                <w:lang w:val="en-US" w:eastAsia="zh-CN"/>
                <w14:textFill>
                  <w14:solidFill>
                    <w14:schemeClr w14:val="tx1"/>
                  </w14:solidFill>
                </w14:textFill>
              </w:rPr>
              <w:t>1207</w:t>
            </w:r>
            <w:r>
              <w:rPr>
                <w:rFonts w:hint="default"/>
                <w:bCs/>
                <w:color w:val="000000" w:themeColor="text1"/>
                <w:sz w:val="24"/>
                <w14:textFill>
                  <w14:solidFill>
                    <w14:schemeClr w14:val="tx1"/>
                  </w14:solidFill>
                </w14:textFill>
              </w:rPr>
              <w:t>—20</w:t>
            </w:r>
            <w:r>
              <w:rPr>
                <w:rFonts w:hint="eastAsia"/>
                <w:bCs/>
                <w:color w:val="000000" w:themeColor="text1"/>
                <w:sz w:val="24"/>
                <w:lang w:val="en-US" w:eastAsia="zh-CN"/>
                <w14:textFill>
                  <w14:solidFill>
                    <w14:schemeClr w14:val="tx1"/>
                  </w14:solidFill>
                </w14:textFill>
              </w:rPr>
              <w:t>21</w:t>
            </w:r>
            <w:r>
              <w:rPr>
                <w:rFonts w:hint="default"/>
                <w:bCs/>
                <w:color w:val="000000" w:themeColor="text1"/>
                <w:sz w:val="24"/>
                <w14:textFill>
                  <w14:solidFill>
                    <w14:schemeClr w14:val="tx1"/>
                  </w14:solidFill>
                </w14:textFill>
              </w:rPr>
              <w:t>）</w:t>
            </w:r>
            <w:r>
              <w:rPr>
                <w:rFonts w:hint="eastAsia" w:hAnsi="宋体"/>
                <w:color w:val="000000" w:themeColor="text1"/>
                <w:sz w:val="24"/>
                <w14:textFill>
                  <w14:solidFill>
                    <w14:schemeClr w14:val="tx1"/>
                  </w14:solidFill>
                </w14:textFill>
              </w:rPr>
              <w:t>，</w:t>
            </w:r>
            <w:r>
              <w:rPr>
                <w:rFonts w:hint="default" w:hAnsi="宋体"/>
                <w:color w:val="000000" w:themeColor="text1"/>
                <w:sz w:val="24"/>
                <w:lang w:val="en-GB"/>
                <w14:textFill>
                  <w14:solidFill>
                    <w14:schemeClr w14:val="tx1"/>
                  </w14:solidFill>
                </w14:textFill>
              </w:rPr>
              <w:t>本项目废气监测要求如下表。</w:t>
            </w:r>
          </w:p>
          <w:p>
            <w:pPr>
              <w:keepNext w:val="0"/>
              <w:keepLines w:val="0"/>
              <w:suppressLineNumbers w:val="0"/>
              <w:tabs>
                <w:tab w:val="left" w:pos="3620"/>
              </w:tabs>
              <w:adjustRightInd w:val="0"/>
              <w:snapToGrid w:val="0"/>
              <w:spacing w:before="0" w:beforeAutospacing="0" w:after="0" w:afterAutospacing="0" w:line="440" w:lineRule="exact"/>
              <w:ind w:left="0" w:right="0"/>
              <w:jc w:val="center"/>
              <w:rPr>
                <w:rFonts w:hint="default" w:ascii="宋体" w:hAnsi="宋体"/>
                <w:b/>
                <w:color w:val="FF0000"/>
                <w:sz w:val="24"/>
              </w:rPr>
            </w:pPr>
            <w:r>
              <w:rPr>
                <w:rFonts w:hint="default" w:ascii="宋体" w:hAnsi="宋体"/>
                <w:b/>
                <w:color w:val="auto"/>
                <w:sz w:val="24"/>
              </w:rPr>
              <w:t>表</w:t>
            </w:r>
            <w:r>
              <w:rPr>
                <w:rFonts w:hint="eastAsia" w:ascii="宋体" w:hAnsi="宋体"/>
                <w:b/>
                <w:color w:val="auto"/>
                <w:sz w:val="24"/>
                <w:lang w:val="en-US" w:eastAsia="zh-CN"/>
              </w:rPr>
              <w:t xml:space="preserve">30  </w:t>
            </w:r>
            <w:r>
              <w:rPr>
                <w:rFonts w:hint="eastAsia" w:ascii="宋体" w:hAnsi="宋体"/>
                <w:b/>
                <w:color w:val="auto"/>
                <w:sz w:val="24"/>
              </w:rPr>
              <w:t>本项目</w:t>
            </w:r>
            <w:r>
              <w:rPr>
                <w:rFonts w:hint="default" w:ascii="宋体" w:hAnsi="宋体"/>
                <w:b/>
                <w:color w:val="auto"/>
                <w:sz w:val="24"/>
              </w:rPr>
              <w:t>废气监测要求</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2445"/>
              <w:gridCol w:w="3377"/>
              <w:gridCol w:w="279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PrEx>
              <w:trPr>
                <w:trHeight w:val="397" w:hRule="atLeast"/>
                <w:jc w:val="center"/>
              </w:trPr>
              <w:tc>
                <w:tcPr>
                  <w:tcW w:w="2445"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监测点位</w:t>
                  </w:r>
                </w:p>
              </w:tc>
              <w:tc>
                <w:tcPr>
                  <w:tcW w:w="3377"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监测因子</w:t>
                  </w:r>
                </w:p>
              </w:tc>
              <w:tc>
                <w:tcPr>
                  <w:tcW w:w="2794" w:type="dxa"/>
                  <w:tcBorders>
                    <w:tl2br w:val="nil"/>
                    <w:tr2bl w:val="nil"/>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hAnsi="宋体"/>
                      <w:b/>
                      <w:color w:val="000000" w:themeColor="text1"/>
                      <w:sz w:val="21"/>
                      <w:szCs w:val="21"/>
                      <w14:textFill>
                        <w14:solidFill>
                          <w14:schemeClr w14:val="tx1"/>
                        </w14:solidFill>
                      </w14:textFill>
                    </w:rPr>
                    <w:t>监测频次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PrEx>
              <w:trPr>
                <w:trHeight w:val="397" w:hRule="atLeast"/>
                <w:jc w:val="center"/>
              </w:trPr>
              <w:tc>
                <w:tcPr>
                  <w:tcW w:w="2445" w:type="dxa"/>
                  <w:vMerge w:val="restart"/>
                  <w:tcBorders>
                    <w:bottom w:val="single" w:color="auto" w:sz="4" w:space="0"/>
                    <w:right w:val="single" w:color="auto" w:sz="4" w:space="0"/>
                  </w:tcBorders>
                  <w:shd w:val="clear" w:color="auto" w:fill="auto"/>
                  <w:noWrap w:val="0"/>
                  <w:vAlign w:val="center"/>
                </w:tcPr>
                <w:p>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DA001</w:t>
                  </w:r>
                </w:p>
              </w:tc>
              <w:tc>
                <w:tcPr>
                  <w:tcW w:w="3377" w:type="dxa"/>
                  <w:tcBorders>
                    <w:left w:val="single" w:color="auto" w:sz="4" w:space="0"/>
                    <w:bottom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非甲烷总烃</w:t>
                  </w:r>
                </w:p>
              </w:tc>
              <w:tc>
                <w:tcPr>
                  <w:tcW w:w="2794" w:type="dxa"/>
                  <w:vMerge w:val="restart"/>
                  <w:tcBorders>
                    <w:left w:val="single" w:color="auto" w:sz="4" w:space="0"/>
                    <w:bottom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1次/半年</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97" w:hRule="atLeast"/>
                <w:jc w:val="center"/>
              </w:trPr>
              <w:tc>
                <w:tcPr>
                  <w:tcW w:w="2445" w:type="dxa"/>
                  <w:tcBorders>
                    <w:top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000000" w:themeColor="text1"/>
                      <w:sz w:val="21"/>
                      <w:szCs w:val="21"/>
                      <w14:textFill>
                        <w14:solidFill>
                          <w14:schemeClr w14:val="tx1"/>
                        </w14:solidFill>
                      </w14:textFill>
                    </w:rPr>
                  </w:pPr>
                  <w:r>
                    <w:rPr>
                      <w:rFonts w:hint="default" w:hAnsi="宋体"/>
                      <w:color w:val="000000" w:themeColor="text1"/>
                      <w:sz w:val="21"/>
                      <w:szCs w:val="21"/>
                      <w14:textFill>
                        <w14:solidFill>
                          <w14:schemeClr w14:val="tx1"/>
                        </w14:solidFill>
                      </w14:textFill>
                    </w:rPr>
                    <w:t>厂界</w:t>
                  </w:r>
                </w:p>
              </w:tc>
              <w:tc>
                <w:tcPr>
                  <w:tcW w:w="3377" w:type="dxa"/>
                  <w:tcBorders>
                    <w:top w:val="single" w:color="auto" w:sz="4" w:space="0"/>
                    <w:left w:val="single" w:color="auto" w:sz="4" w:space="0"/>
                    <w:righ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hAnsi="宋体"/>
                      <w:color w:val="000000" w:themeColor="text1"/>
                      <w:sz w:val="21"/>
                      <w:szCs w:val="21"/>
                      <w:lang w:val="en-US" w:eastAsia="zh-CN"/>
                      <w14:textFill>
                        <w14:solidFill>
                          <w14:schemeClr w14:val="tx1"/>
                        </w14:solidFill>
                      </w14:textFill>
                    </w:rPr>
                  </w:pPr>
                  <w:r>
                    <w:rPr>
                      <w:rFonts w:hint="eastAsia" w:hAnsi="宋体"/>
                      <w:color w:val="000000" w:themeColor="text1"/>
                      <w:sz w:val="21"/>
                      <w:szCs w:val="21"/>
                      <w:lang w:val="en-US" w:eastAsia="zh-CN"/>
                      <w14:textFill>
                        <w14:solidFill>
                          <w14:schemeClr w14:val="tx1"/>
                        </w14:solidFill>
                      </w14:textFill>
                    </w:rPr>
                    <w:t>非甲烷总烃</w:t>
                  </w:r>
                </w:p>
              </w:tc>
              <w:tc>
                <w:tcPr>
                  <w:tcW w:w="2794" w:type="dxa"/>
                  <w:tcBorders>
                    <w:top w:val="single" w:color="auto" w:sz="4" w:space="0"/>
                    <w:left w:val="single" w:color="auto" w:sz="4" w:space="0"/>
                  </w:tcBorders>
                  <w:shd w:val="clear" w:color="auto" w:fill="auto"/>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color w:val="000000" w:themeColor="text1"/>
                      <w:sz w:val="21"/>
                      <w:szCs w:val="21"/>
                      <w:lang w:val="en-GB"/>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1次/半年</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2" w:firstLineChars="200"/>
              <w:rPr>
                <w:rFonts w:hint="eastAsia" w:hAnsi="宋体"/>
                <w:b/>
                <w:color w:val="auto"/>
                <w:sz w:val="24"/>
              </w:rPr>
            </w:pPr>
            <w:r>
              <w:rPr>
                <w:rFonts w:hint="default" w:hAnsi="宋体"/>
                <w:b/>
                <w:color w:val="auto"/>
                <w:sz w:val="24"/>
              </w:rPr>
              <w:t>二、废水</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b w:val="0"/>
                <w:bCs w:val="0"/>
                <w:sz w:val="24"/>
                <w:lang w:val="en-US" w:eastAsia="zh-CN"/>
              </w:rPr>
            </w:pPr>
            <w:r>
              <w:rPr>
                <w:rFonts w:hint="eastAsia" w:hAnsi="宋体"/>
                <w:sz w:val="24"/>
              </w:rPr>
              <w:t>（1）废水产排污分析</w:t>
            </w:r>
          </w:p>
          <w:p>
            <w:pPr>
              <w:keepNext w:val="0"/>
              <w:keepLines w:val="0"/>
              <w:suppressLineNumbers w:val="0"/>
              <w:adjustRightInd w:val="0"/>
              <w:spacing w:before="0" w:beforeAutospacing="0" w:after="0" w:afterAutospacing="0" w:line="440" w:lineRule="exact"/>
              <w:ind w:left="0" w:right="0" w:firstLine="470" w:firstLineChars="196"/>
              <w:rPr>
                <w:rFonts w:hint="eastAsia"/>
                <w:sz w:val="24"/>
                <w:lang w:eastAsia="zh-CN"/>
              </w:rPr>
            </w:pPr>
            <w:r>
              <w:rPr>
                <w:rFonts w:hint="eastAsia"/>
                <w:sz w:val="24"/>
                <w:lang w:val="en-US" w:eastAsia="zh-CN"/>
              </w:rPr>
              <w:t>本项目在生产中用水主要为冷水机</w:t>
            </w:r>
            <w:r>
              <w:rPr>
                <w:rFonts w:hint="eastAsia"/>
                <w:sz w:val="24"/>
              </w:rPr>
              <w:t>用水：根据建设单位提供的资料，每</w:t>
            </w:r>
            <w:r>
              <w:rPr>
                <w:rFonts w:hint="eastAsia"/>
                <w:sz w:val="24"/>
                <w:lang w:val="en-US" w:eastAsia="zh-CN"/>
              </w:rPr>
              <w:t>投料25</w:t>
            </w:r>
            <w:r>
              <w:rPr>
                <w:rFonts w:hint="eastAsia"/>
                <w:sz w:val="24"/>
              </w:rPr>
              <w:t>t</w:t>
            </w:r>
            <w:r>
              <w:rPr>
                <w:rFonts w:hint="eastAsia"/>
                <w:sz w:val="24"/>
                <w:lang w:val="en-US" w:eastAsia="zh-CN"/>
              </w:rPr>
              <w:t>原材料需补充</w:t>
            </w:r>
            <w:r>
              <w:rPr>
                <w:rFonts w:hint="eastAsia"/>
                <w:sz w:val="24"/>
              </w:rPr>
              <w:t>自来</w:t>
            </w:r>
            <w:r>
              <w:rPr>
                <w:rFonts w:hint="eastAsia"/>
                <w:sz w:val="24"/>
                <w:lang w:val="en-US" w:eastAsia="zh-CN"/>
              </w:rPr>
              <w:t>水1</w:t>
            </w:r>
            <w:r>
              <w:rPr>
                <w:rFonts w:hint="eastAsia"/>
                <w:sz w:val="24"/>
              </w:rPr>
              <w:t>t，属于消耗用水</w:t>
            </w:r>
            <w:r>
              <w:rPr>
                <w:rFonts w:hint="eastAsia"/>
                <w:sz w:val="24"/>
                <w:lang w:eastAsia="zh-CN"/>
              </w:rPr>
              <w:t>，</w:t>
            </w:r>
            <w:r>
              <w:rPr>
                <w:rFonts w:hint="eastAsia"/>
                <w:sz w:val="24"/>
              </w:rPr>
              <w:t>此部分水全部挥发成为水蒸气，不产生废水</w:t>
            </w:r>
            <w:r>
              <w:rPr>
                <w:rFonts w:hint="eastAsia"/>
                <w:sz w:val="24"/>
                <w:lang w:eastAsia="zh-CN"/>
              </w:rPr>
              <w:t>。</w:t>
            </w:r>
            <w:r>
              <w:rPr>
                <w:rFonts w:hint="eastAsia"/>
                <w:sz w:val="24"/>
                <w:lang w:val="en-US" w:eastAsia="zh-CN"/>
              </w:rPr>
              <w:t>项目一期产能为300</w:t>
            </w:r>
            <w:r>
              <w:rPr>
                <w:rFonts w:hint="eastAsia"/>
                <w:sz w:val="24"/>
              </w:rPr>
              <w:t>t/a</w:t>
            </w:r>
            <w:r>
              <w:rPr>
                <w:rFonts w:hint="eastAsia"/>
                <w:sz w:val="24"/>
                <w:lang w:eastAsia="zh-CN"/>
              </w:rPr>
              <w:t>，</w:t>
            </w:r>
            <w:r>
              <w:rPr>
                <w:rFonts w:hint="eastAsia"/>
                <w:sz w:val="24"/>
              </w:rPr>
              <w:t>新鲜水补充量为</w:t>
            </w:r>
            <w:r>
              <w:rPr>
                <w:rFonts w:hint="eastAsia"/>
                <w:sz w:val="24"/>
                <w:lang w:val="en-US" w:eastAsia="zh-CN"/>
              </w:rPr>
              <w:t>12</w:t>
            </w:r>
            <w:r>
              <w:rPr>
                <w:rFonts w:hint="eastAsia"/>
                <w:sz w:val="24"/>
              </w:rPr>
              <w:t>t/a</w:t>
            </w:r>
            <w:r>
              <w:rPr>
                <w:rFonts w:hint="eastAsia"/>
                <w:sz w:val="24"/>
                <w:lang w:eastAsia="zh-CN"/>
              </w:rPr>
              <w:t>。</w:t>
            </w:r>
            <w:r>
              <w:rPr>
                <w:rFonts w:hint="eastAsia"/>
                <w:sz w:val="24"/>
                <w:lang w:val="en-US" w:eastAsia="zh-CN"/>
              </w:rPr>
              <w:t>项目二期产能为600</w:t>
            </w:r>
            <w:r>
              <w:rPr>
                <w:rFonts w:hint="eastAsia"/>
                <w:sz w:val="24"/>
              </w:rPr>
              <w:t>t/a</w:t>
            </w:r>
            <w:r>
              <w:rPr>
                <w:rFonts w:hint="eastAsia"/>
                <w:sz w:val="24"/>
                <w:lang w:eastAsia="zh-CN"/>
              </w:rPr>
              <w:t>，</w:t>
            </w:r>
            <w:r>
              <w:rPr>
                <w:rFonts w:hint="eastAsia"/>
                <w:sz w:val="24"/>
                <w:lang w:val="en-US" w:eastAsia="zh-CN"/>
              </w:rPr>
              <w:t>新鲜水补充量为24</w:t>
            </w:r>
            <w:r>
              <w:rPr>
                <w:rFonts w:hint="eastAsia"/>
                <w:sz w:val="24"/>
              </w:rPr>
              <w:t>t/a</w:t>
            </w:r>
            <w:r>
              <w:rPr>
                <w:rFonts w:hint="eastAsia"/>
                <w:sz w:val="24"/>
                <w:lang w:eastAsia="zh-CN"/>
              </w:rPr>
              <w:t>。</w:t>
            </w:r>
            <w:r>
              <w:rPr>
                <w:rFonts w:hint="eastAsia"/>
                <w:sz w:val="24"/>
                <w:lang w:val="en-US" w:eastAsia="zh-CN"/>
              </w:rPr>
              <w:t>待本项目二期建成后，项目新鲜水补充量合计为36</w:t>
            </w:r>
            <w:r>
              <w:rPr>
                <w:rFonts w:hint="eastAsia"/>
                <w:sz w:val="24"/>
              </w:rPr>
              <w:t>t/a</w:t>
            </w:r>
            <w:r>
              <w:rPr>
                <w:rFonts w:hint="eastAsia"/>
                <w:sz w:val="24"/>
                <w:lang w:eastAsia="zh-CN"/>
              </w:rPr>
              <w:t>。</w:t>
            </w:r>
          </w:p>
          <w:p>
            <w:pPr>
              <w:keepNext w:val="0"/>
              <w:keepLines w:val="0"/>
              <w:suppressLineNumbers w:val="0"/>
              <w:adjustRightInd w:val="0"/>
              <w:spacing w:before="0" w:beforeAutospacing="0" w:after="0" w:afterAutospacing="0" w:line="440" w:lineRule="exact"/>
              <w:ind w:left="0" w:right="0" w:firstLine="470" w:firstLineChars="196"/>
              <w:rPr>
                <w:rFonts w:hint="default"/>
                <w:color w:val="000000"/>
                <w:sz w:val="24"/>
              </w:rPr>
            </w:pPr>
            <w:r>
              <w:rPr>
                <w:rFonts w:hint="default"/>
                <w:sz w:val="24"/>
              </w:rPr>
              <w:t>本项目劳动定员</w:t>
            </w:r>
            <w:r>
              <w:rPr>
                <w:rFonts w:hint="eastAsia"/>
                <w:sz w:val="24"/>
                <w:lang w:val="en-US" w:eastAsia="zh-CN"/>
              </w:rPr>
              <w:t>20</w:t>
            </w:r>
            <w:r>
              <w:rPr>
                <w:rFonts w:hint="default"/>
                <w:sz w:val="24"/>
              </w:rPr>
              <w:t>人，</w:t>
            </w:r>
            <w:r>
              <w:rPr>
                <w:rFonts w:hint="eastAsia"/>
                <w:sz w:val="24"/>
                <w:lang w:val="en-US" w:eastAsia="zh-CN"/>
              </w:rPr>
              <w:t>一期工程定员8人，二期工程新增定员12人，</w:t>
            </w:r>
            <w:r>
              <w:rPr>
                <w:rFonts w:hint="default"/>
                <w:color w:val="000000"/>
                <w:sz w:val="24"/>
              </w:rPr>
              <w:t>年工作</w:t>
            </w:r>
            <w:r>
              <w:rPr>
                <w:rFonts w:hint="eastAsia"/>
                <w:color w:val="000000"/>
                <w:sz w:val="24"/>
                <w:lang w:val="en-US" w:eastAsia="zh-CN"/>
              </w:rPr>
              <w:t>300</w:t>
            </w:r>
            <w:r>
              <w:rPr>
                <w:rFonts w:hint="default"/>
                <w:color w:val="000000"/>
                <w:sz w:val="24"/>
              </w:rPr>
              <w:t>天</w:t>
            </w:r>
            <w:r>
              <w:rPr>
                <w:rFonts w:hint="eastAsia"/>
                <w:color w:val="000000"/>
                <w:sz w:val="24"/>
              </w:rPr>
              <w:t>，员工均不在厂区食宿</w:t>
            </w:r>
            <w:r>
              <w:rPr>
                <w:rFonts w:hint="default"/>
                <w:color w:val="000000"/>
                <w:sz w:val="24"/>
              </w:rPr>
              <w:t>。</w:t>
            </w:r>
            <w:r>
              <w:rPr>
                <w:rFonts w:hint="default"/>
                <w:sz w:val="24"/>
              </w:rPr>
              <w:t>职工生活用水量以平均每人</w:t>
            </w:r>
            <w:r>
              <w:rPr>
                <w:rFonts w:hint="eastAsia"/>
                <w:sz w:val="24"/>
                <w:lang w:val="en-US" w:eastAsia="zh-CN"/>
              </w:rPr>
              <w:t>30</w:t>
            </w:r>
            <w:r>
              <w:rPr>
                <w:rFonts w:hint="default"/>
                <w:sz w:val="24"/>
              </w:rPr>
              <w:t>L/d计，则</w:t>
            </w:r>
            <w:r>
              <w:rPr>
                <w:rFonts w:hint="eastAsia"/>
                <w:sz w:val="24"/>
                <w:lang w:val="en-US" w:eastAsia="zh-CN"/>
              </w:rPr>
              <w:t>项目一期工程</w:t>
            </w:r>
            <w:r>
              <w:rPr>
                <w:rFonts w:hint="default"/>
                <w:sz w:val="24"/>
              </w:rPr>
              <w:t>生活用水量为</w:t>
            </w:r>
            <w:r>
              <w:rPr>
                <w:rFonts w:hint="eastAsia"/>
                <w:color w:val="000000"/>
                <w:sz w:val="24"/>
              </w:rPr>
              <w:t>0.</w:t>
            </w:r>
            <w:r>
              <w:rPr>
                <w:rFonts w:hint="eastAsia"/>
                <w:color w:val="000000"/>
                <w:sz w:val="24"/>
                <w:lang w:val="en-US" w:eastAsia="zh-CN"/>
              </w:rPr>
              <w:t>24</w:t>
            </w:r>
            <w:r>
              <w:rPr>
                <w:rFonts w:hint="eastAsia"/>
                <w:color w:val="000000"/>
                <w:sz w:val="24"/>
              </w:rPr>
              <w:t>m</w:t>
            </w:r>
            <w:r>
              <w:rPr>
                <w:rFonts w:hint="eastAsia"/>
                <w:color w:val="000000"/>
                <w:sz w:val="24"/>
                <w:vertAlign w:val="superscript"/>
              </w:rPr>
              <w:t>3</w:t>
            </w:r>
            <w:r>
              <w:rPr>
                <w:rFonts w:hint="default"/>
                <w:color w:val="000000"/>
                <w:sz w:val="24"/>
              </w:rPr>
              <w:t>/d（</w:t>
            </w:r>
            <w:r>
              <w:rPr>
                <w:rFonts w:hint="eastAsia"/>
                <w:color w:val="000000"/>
                <w:sz w:val="24"/>
                <w:lang w:val="en-US" w:eastAsia="zh-CN"/>
              </w:rPr>
              <w:t>72</w:t>
            </w:r>
            <w:r>
              <w:rPr>
                <w:rFonts w:hint="eastAsia"/>
                <w:color w:val="000000"/>
                <w:sz w:val="24"/>
              </w:rPr>
              <w:t>m</w:t>
            </w:r>
            <w:r>
              <w:rPr>
                <w:rFonts w:hint="eastAsia"/>
                <w:color w:val="000000"/>
                <w:sz w:val="24"/>
                <w:vertAlign w:val="superscript"/>
              </w:rPr>
              <w:t>3</w:t>
            </w:r>
            <w:r>
              <w:rPr>
                <w:rFonts w:hint="default"/>
                <w:color w:val="000000"/>
                <w:sz w:val="24"/>
              </w:rPr>
              <w:t>/a）</w:t>
            </w:r>
            <w:r>
              <w:rPr>
                <w:rFonts w:hint="default"/>
                <w:sz w:val="24"/>
              </w:rPr>
              <w:t>，</w:t>
            </w:r>
            <w:r>
              <w:rPr>
                <w:rFonts w:hint="default"/>
                <w:color w:val="000000"/>
                <w:sz w:val="24"/>
              </w:rPr>
              <w:t>废水排放量按照用水量的80%计算，则项目生活污水产生量为</w:t>
            </w:r>
            <w:r>
              <w:rPr>
                <w:rFonts w:hint="eastAsia"/>
                <w:color w:val="000000"/>
                <w:sz w:val="24"/>
              </w:rPr>
              <w:t>0.</w:t>
            </w:r>
            <w:r>
              <w:rPr>
                <w:rFonts w:hint="eastAsia"/>
                <w:color w:val="000000"/>
                <w:sz w:val="24"/>
                <w:lang w:val="en-US" w:eastAsia="zh-CN"/>
              </w:rPr>
              <w:t>192</w:t>
            </w:r>
            <w:r>
              <w:rPr>
                <w:rFonts w:hint="eastAsia"/>
                <w:color w:val="000000"/>
                <w:sz w:val="24"/>
              </w:rPr>
              <w:t>m</w:t>
            </w:r>
            <w:r>
              <w:rPr>
                <w:rFonts w:hint="eastAsia"/>
                <w:color w:val="000000"/>
                <w:sz w:val="24"/>
                <w:vertAlign w:val="superscript"/>
              </w:rPr>
              <w:t>3</w:t>
            </w:r>
            <w:r>
              <w:rPr>
                <w:rFonts w:hint="eastAsia"/>
                <w:color w:val="000000"/>
                <w:sz w:val="24"/>
              </w:rPr>
              <w:t>/d（</w:t>
            </w:r>
            <w:r>
              <w:rPr>
                <w:rFonts w:hint="eastAsia"/>
                <w:color w:val="000000"/>
                <w:sz w:val="24"/>
                <w:lang w:val="en-US" w:eastAsia="zh-CN"/>
              </w:rPr>
              <w:t>57.6</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eastAsia="zh-CN"/>
              </w:rPr>
              <w:t>；</w:t>
            </w:r>
            <w:r>
              <w:rPr>
                <w:rFonts w:hint="eastAsia"/>
                <w:sz w:val="24"/>
                <w:lang w:val="en-US" w:eastAsia="zh-CN"/>
              </w:rPr>
              <w:t>项目二期工程</w:t>
            </w:r>
            <w:r>
              <w:rPr>
                <w:rFonts w:hint="default"/>
                <w:sz w:val="24"/>
              </w:rPr>
              <w:t>生活用水量为</w:t>
            </w:r>
            <w:r>
              <w:rPr>
                <w:rFonts w:hint="eastAsia"/>
                <w:color w:val="000000"/>
                <w:sz w:val="24"/>
                <w:lang w:val="en-US" w:eastAsia="zh-CN"/>
              </w:rPr>
              <w:t>0.36</w:t>
            </w:r>
            <w:r>
              <w:rPr>
                <w:rFonts w:hint="eastAsia"/>
                <w:color w:val="000000"/>
                <w:sz w:val="24"/>
              </w:rPr>
              <w:t>m</w:t>
            </w:r>
            <w:r>
              <w:rPr>
                <w:rFonts w:hint="eastAsia"/>
                <w:color w:val="000000"/>
                <w:sz w:val="24"/>
                <w:vertAlign w:val="superscript"/>
              </w:rPr>
              <w:t>3</w:t>
            </w:r>
            <w:r>
              <w:rPr>
                <w:rFonts w:hint="default"/>
                <w:color w:val="000000"/>
                <w:sz w:val="24"/>
              </w:rPr>
              <w:t>/d（</w:t>
            </w:r>
            <w:r>
              <w:rPr>
                <w:rFonts w:hint="eastAsia"/>
                <w:color w:val="000000"/>
                <w:sz w:val="24"/>
                <w:lang w:val="en-US" w:eastAsia="zh-CN"/>
              </w:rPr>
              <w:t>108</w:t>
            </w:r>
            <w:r>
              <w:rPr>
                <w:rFonts w:hint="eastAsia"/>
                <w:color w:val="000000"/>
                <w:sz w:val="24"/>
              </w:rPr>
              <w:t>m</w:t>
            </w:r>
            <w:r>
              <w:rPr>
                <w:rFonts w:hint="eastAsia"/>
                <w:color w:val="000000"/>
                <w:sz w:val="24"/>
                <w:vertAlign w:val="superscript"/>
              </w:rPr>
              <w:t>3</w:t>
            </w:r>
            <w:r>
              <w:rPr>
                <w:rFonts w:hint="default"/>
                <w:color w:val="000000"/>
                <w:sz w:val="24"/>
              </w:rPr>
              <w:t>/a）</w:t>
            </w:r>
            <w:r>
              <w:rPr>
                <w:rFonts w:hint="default"/>
                <w:sz w:val="24"/>
              </w:rPr>
              <w:t>，</w:t>
            </w:r>
            <w:r>
              <w:rPr>
                <w:rFonts w:hint="default"/>
                <w:color w:val="000000"/>
                <w:sz w:val="24"/>
              </w:rPr>
              <w:t>废水排放量按照用水量的80%计算，则项目生活污水产生量为</w:t>
            </w:r>
            <w:r>
              <w:rPr>
                <w:rFonts w:hint="eastAsia"/>
                <w:color w:val="000000"/>
                <w:sz w:val="24"/>
                <w:lang w:val="en-US" w:eastAsia="zh-CN"/>
              </w:rPr>
              <w:t>0.288</w:t>
            </w:r>
            <w:r>
              <w:rPr>
                <w:rFonts w:hint="eastAsia"/>
                <w:color w:val="000000"/>
                <w:sz w:val="24"/>
              </w:rPr>
              <w:t>m</w:t>
            </w:r>
            <w:r>
              <w:rPr>
                <w:rFonts w:hint="eastAsia"/>
                <w:color w:val="000000"/>
                <w:sz w:val="24"/>
                <w:vertAlign w:val="superscript"/>
              </w:rPr>
              <w:t>3</w:t>
            </w:r>
            <w:r>
              <w:rPr>
                <w:rFonts w:hint="eastAsia"/>
                <w:color w:val="000000"/>
                <w:sz w:val="24"/>
              </w:rPr>
              <w:t>/d（</w:t>
            </w:r>
            <w:r>
              <w:rPr>
                <w:rFonts w:hint="eastAsia"/>
                <w:color w:val="000000"/>
                <w:sz w:val="24"/>
                <w:lang w:val="en-US" w:eastAsia="zh-CN"/>
              </w:rPr>
              <w:t>86.4</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eastAsia="zh-CN"/>
              </w:rPr>
              <w:t>；</w:t>
            </w:r>
            <w:r>
              <w:rPr>
                <w:rFonts w:hint="eastAsia"/>
                <w:color w:val="000000"/>
                <w:sz w:val="24"/>
                <w:lang w:val="en-US" w:eastAsia="zh-CN"/>
              </w:rPr>
              <w:t>待项目二期建成后，项目生活污水总产生量为0.48</w:t>
            </w:r>
            <w:r>
              <w:rPr>
                <w:rFonts w:hint="eastAsia"/>
                <w:color w:val="000000"/>
                <w:sz w:val="24"/>
              </w:rPr>
              <w:t>m</w:t>
            </w:r>
            <w:r>
              <w:rPr>
                <w:rFonts w:hint="eastAsia"/>
                <w:color w:val="000000"/>
                <w:sz w:val="24"/>
                <w:vertAlign w:val="superscript"/>
              </w:rPr>
              <w:t>3</w:t>
            </w:r>
            <w:r>
              <w:rPr>
                <w:rFonts w:hint="eastAsia"/>
                <w:color w:val="000000"/>
                <w:sz w:val="24"/>
              </w:rPr>
              <w:t>/d（</w:t>
            </w:r>
            <w:r>
              <w:rPr>
                <w:rFonts w:hint="eastAsia"/>
                <w:color w:val="000000"/>
                <w:sz w:val="24"/>
                <w:lang w:val="en-US" w:eastAsia="zh-CN"/>
              </w:rPr>
              <w:t>144</w:t>
            </w:r>
            <w:r>
              <w:rPr>
                <w:rFonts w:hint="eastAsia"/>
                <w:color w:val="000000"/>
                <w:sz w:val="24"/>
              </w:rPr>
              <w:t>m</w:t>
            </w:r>
            <w:r>
              <w:rPr>
                <w:rFonts w:hint="eastAsia"/>
                <w:color w:val="000000"/>
                <w:sz w:val="24"/>
                <w:vertAlign w:val="superscript"/>
              </w:rPr>
              <w:t>3</w:t>
            </w:r>
            <w:r>
              <w:rPr>
                <w:rFonts w:hint="eastAsia"/>
                <w:color w:val="000000"/>
                <w:sz w:val="24"/>
              </w:rPr>
              <w:t>/a）</w:t>
            </w:r>
            <w:r>
              <w:rPr>
                <w:rFonts w:hint="eastAsia"/>
                <w:color w:val="000000"/>
                <w:sz w:val="24"/>
                <w:lang w:eastAsia="zh-CN"/>
              </w:rPr>
              <w:t>。</w:t>
            </w:r>
            <w:r>
              <w:rPr>
                <w:rFonts w:hint="eastAsia"/>
                <w:color w:val="000000"/>
                <w:sz w:val="24"/>
                <w:lang w:val="en-US" w:eastAsia="zh-CN"/>
              </w:rPr>
              <w:t>类比一般生活污水水质，</w:t>
            </w:r>
            <w:r>
              <w:rPr>
                <w:rFonts w:hint="eastAsia"/>
                <w:color w:val="000000"/>
                <w:sz w:val="24"/>
              </w:rPr>
              <w:t>废水</w:t>
            </w:r>
            <w:r>
              <w:rPr>
                <w:rFonts w:hint="eastAsia"/>
                <w:color w:val="000000"/>
                <w:sz w:val="24"/>
                <w:lang w:val="en-US" w:eastAsia="zh-CN"/>
              </w:rPr>
              <w:t>各污染物浓度分别</w:t>
            </w:r>
            <w:r>
              <w:rPr>
                <w:rFonts w:hint="eastAsia"/>
                <w:color w:val="000000"/>
                <w:sz w:val="24"/>
              </w:rPr>
              <w:t>为</w:t>
            </w:r>
            <w:r>
              <w:rPr>
                <w:rFonts w:hint="default"/>
                <w:color w:val="000000"/>
                <w:sz w:val="24"/>
              </w:rPr>
              <w:t>COD</w:t>
            </w:r>
            <w:r>
              <w:rPr>
                <w:rFonts w:hint="eastAsia"/>
                <w:color w:val="000000"/>
                <w:sz w:val="24"/>
              </w:rPr>
              <w:t>3</w:t>
            </w:r>
            <w:r>
              <w:rPr>
                <w:rFonts w:hint="eastAsia"/>
                <w:color w:val="000000"/>
                <w:sz w:val="24"/>
                <w:lang w:val="en-US" w:eastAsia="zh-CN"/>
              </w:rPr>
              <w:t>5</w:t>
            </w:r>
            <w:r>
              <w:rPr>
                <w:rFonts w:hint="eastAsia"/>
                <w:color w:val="000000"/>
                <w:sz w:val="24"/>
              </w:rPr>
              <w:t>0</w:t>
            </w:r>
            <w:r>
              <w:rPr>
                <w:rFonts w:hint="default"/>
                <w:color w:val="000000"/>
                <w:sz w:val="24"/>
              </w:rPr>
              <w:t>mg/L、SS</w:t>
            </w:r>
            <w:r>
              <w:rPr>
                <w:rFonts w:hint="eastAsia"/>
                <w:color w:val="000000"/>
                <w:sz w:val="24"/>
                <w:lang w:val="en-US" w:eastAsia="zh-CN"/>
              </w:rPr>
              <w:t>300</w:t>
            </w:r>
            <w:r>
              <w:rPr>
                <w:rFonts w:hint="default"/>
                <w:color w:val="000000"/>
                <w:sz w:val="24"/>
              </w:rPr>
              <w:t>mg/L、</w:t>
            </w:r>
            <w:r>
              <w:rPr>
                <w:rFonts w:hint="eastAsia"/>
                <w:color w:val="000000"/>
                <w:sz w:val="24"/>
              </w:rPr>
              <w:t>NH</w:t>
            </w:r>
            <w:r>
              <w:rPr>
                <w:rFonts w:hint="eastAsia"/>
                <w:color w:val="000000"/>
                <w:sz w:val="24"/>
                <w:vertAlign w:val="subscript"/>
              </w:rPr>
              <w:t>3</w:t>
            </w:r>
            <w:r>
              <w:rPr>
                <w:rFonts w:hint="eastAsia"/>
                <w:color w:val="000000"/>
                <w:sz w:val="24"/>
              </w:rPr>
              <w:t>-N</w:t>
            </w:r>
            <w:r>
              <w:rPr>
                <w:rFonts w:hint="default"/>
                <w:color w:val="000000"/>
                <w:sz w:val="24"/>
              </w:rPr>
              <w:t>2</w:t>
            </w:r>
            <w:r>
              <w:rPr>
                <w:rFonts w:hint="eastAsia"/>
                <w:color w:val="000000"/>
                <w:sz w:val="24"/>
                <w:lang w:val="en-US" w:eastAsia="zh-CN"/>
              </w:rPr>
              <w:t>5</w:t>
            </w:r>
            <w:r>
              <w:rPr>
                <w:rFonts w:hint="default"/>
                <w:color w:val="000000"/>
                <w:sz w:val="24"/>
              </w:rPr>
              <w:t>mg/L</w:t>
            </w:r>
            <w:r>
              <w:rPr>
                <w:rFonts w:hint="eastAsia"/>
                <w:color w:val="000000"/>
                <w:sz w:val="24"/>
              </w:rPr>
              <w:t>、TP</w:t>
            </w:r>
            <w:r>
              <w:rPr>
                <w:rFonts w:hint="eastAsia"/>
                <w:color w:val="000000"/>
                <w:sz w:val="24"/>
                <w:lang w:val="en-US" w:eastAsia="zh-CN"/>
              </w:rPr>
              <w:t>3</w:t>
            </w:r>
            <w:r>
              <w:rPr>
                <w:rFonts w:hint="default"/>
                <w:color w:val="000000"/>
                <w:sz w:val="24"/>
              </w:rPr>
              <w:t>mg/L</w:t>
            </w:r>
            <w:r>
              <w:rPr>
                <w:rFonts w:hint="eastAsia"/>
                <w:color w:val="000000"/>
                <w:sz w:val="24"/>
              </w:rPr>
              <w:t>、TN3</w:t>
            </w:r>
            <w:r>
              <w:rPr>
                <w:rFonts w:hint="eastAsia"/>
                <w:color w:val="000000"/>
                <w:sz w:val="24"/>
                <w:lang w:val="en-US" w:eastAsia="zh-CN"/>
              </w:rPr>
              <w:t>0</w:t>
            </w:r>
            <w:r>
              <w:rPr>
                <w:rFonts w:hint="default"/>
                <w:color w:val="000000"/>
                <w:sz w:val="24"/>
              </w:rPr>
              <w:t>mg/L</w:t>
            </w:r>
            <w:r>
              <w:rPr>
                <w:rFonts w:hint="eastAsia"/>
                <w:color w:val="000000"/>
                <w:sz w:val="24"/>
              </w:rPr>
              <w:t>，经化粪池处理后废水水质为</w:t>
            </w:r>
            <w:r>
              <w:rPr>
                <w:rFonts w:hint="default"/>
                <w:color w:val="000000"/>
                <w:sz w:val="24"/>
              </w:rPr>
              <w:t>COD</w:t>
            </w:r>
            <w:r>
              <w:rPr>
                <w:rFonts w:hint="eastAsia"/>
                <w:color w:val="000000"/>
                <w:sz w:val="24"/>
              </w:rPr>
              <w:t>2</w:t>
            </w:r>
            <w:r>
              <w:rPr>
                <w:rFonts w:hint="eastAsia"/>
                <w:color w:val="000000"/>
                <w:sz w:val="24"/>
                <w:lang w:val="en-US" w:eastAsia="zh-CN"/>
              </w:rPr>
              <w:t>50</w:t>
            </w:r>
            <w:r>
              <w:rPr>
                <w:rFonts w:hint="default"/>
                <w:color w:val="000000"/>
                <w:sz w:val="24"/>
              </w:rPr>
              <w:t>mg/L、SS</w:t>
            </w:r>
            <w:r>
              <w:rPr>
                <w:rFonts w:hint="eastAsia"/>
                <w:color w:val="000000"/>
                <w:sz w:val="24"/>
                <w:lang w:val="en-US" w:eastAsia="zh-CN"/>
              </w:rPr>
              <w:t>180</w:t>
            </w:r>
            <w:r>
              <w:rPr>
                <w:rFonts w:hint="default"/>
                <w:color w:val="000000"/>
                <w:sz w:val="24"/>
              </w:rPr>
              <w:t>mg/L、</w:t>
            </w:r>
            <w:r>
              <w:rPr>
                <w:rFonts w:hint="eastAsia"/>
                <w:color w:val="000000"/>
                <w:sz w:val="24"/>
              </w:rPr>
              <w:t>NH</w:t>
            </w:r>
            <w:r>
              <w:rPr>
                <w:rFonts w:hint="eastAsia"/>
                <w:color w:val="000000"/>
                <w:sz w:val="24"/>
                <w:vertAlign w:val="subscript"/>
              </w:rPr>
              <w:t>3</w:t>
            </w:r>
            <w:r>
              <w:rPr>
                <w:rFonts w:hint="eastAsia"/>
                <w:color w:val="000000"/>
                <w:sz w:val="24"/>
              </w:rPr>
              <w:t>-N</w:t>
            </w:r>
            <w:r>
              <w:rPr>
                <w:rFonts w:hint="default"/>
                <w:color w:val="000000"/>
                <w:sz w:val="24"/>
              </w:rPr>
              <w:t>2</w:t>
            </w:r>
            <w:r>
              <w:rPr>
                <w:rFonts w:hint="eastAsia"/>
                <w:color w:val="000000"/>
                <w:sz w:val="24"/>
              </w:rPr>
              <w:t>0</w:t>
            </w:r>
            <w:r>
              <w:rPr>
                <w:rFonts w:hint="default"/>
                <w:color w:val="000000"/>
                <w:sz w:val="24"/>
              </w:rPr>
              <w:t>mg/L</w:t>
            </w:r>
            <w:r>
              <w:rPr>
                <w:rFonts w:hint="eastAsia"/>
                <w:color w:val="000000"/>
                <w:sz w:val="24"/>
              </w:rPr>
              <w:t>、TP2</w:t>
            </w:r>
            <w:r>
              <w:rPr>
                <w:rFonts w:hint="default"/>
                <w:color w:val="000000"/>
                <w:sz w:val="24"/>
              </w:rPr>
              <w:t>mg/L</w:t>
            </w:r>
            <w:r>
              <w:rPr>
                <w:rFonts w:hint="eastAsia"/>
                <w:color w:val="000000"/>
                <w:sz w:val="24"/>
              </w:rPr>
              <w:t>、TN</w:t>
            </w:r>
            <w:r>
              <w:rPr>
                <w:rFonts w:hint="eastAsia"/>
                <w:color w:val="000000"/>
                <w:sz w:val="24"/>
                <w:lang w:val="en-US" w:eastAsia="zh-CN"/>
              </w:rPr>
              <w:t>30</w:t>
            </w:r>
            <w:r>
              <w:rPr>
                <w:rFonts w:hint="default"/>
                <w:color w:val="000000"/>
                <w:sz w:val="24"/>
              </w:rPr>
              <w:t>mg/L</w:t>
            </w:r>
            <w:r>
              <w:rPr>
                <w:rFonts w:hint="eastAsia"/>
                <w:color w:val="000000"/>
                <w:sz w:val="24"/>
              </w:rPr>
              <w:t>，满足</w:t>
            </w:r>
            <w:r>
              <w:rPr>
                <w:rFonts w:hint="eastAsia"/>
                <w:color w:val="000000"/>
                <w:sz w:val="24"/>
                <w:lang w:val="en-US" w:eastAsia="zh-CN"/>
              </w:rPr>
              <w:t>新乡县综合污水处理厂</w:t>
            </w:r>
            <w:r>
              <w:rPr>
                <w:rFonts w:hint="eastAsia"/>
                <w:color w:val="000000"/>
                <w:sz w:val="24"/>
              </w:rPr>
              <w:t>收水水质要求：COD</w:t>
            </w:r>
            <w:r>
              <w:rPr>
                <w:rFonts w:hint="eastAsia"/>
                <w:color w:val="000000"/>
                <w:sz w:val="24"/>
                <w:lang w:val="en-US" w:eastAsia="zh-CN"/>
              </w:rPr>
              <w:t>400</w:t>
            </w:r>
            <w:r>
              <w:rPr>
                <w:rFonts w:hint="eastAsia"/>
                <w:color w:val="000000"/>
                <w:sz w:val="24"/>
              </w:rPr>
              <w:t>mg/L、</w:t>
            </w:r>
            <w:r>
              <w:rPr>
                <w:rFonts w:hint="default"/>
                <w:color w:val="000000"/>
                <w:sz w:val="24"/>
              </w:rPr>
              <w:t>SS</w:t>
            </w:r>
            <w:r>
              <w:rPr>
                <w:rFonts w:hint="eastAsia"/>
                <w:color w:val="000000"/>
                <w:sz w:val="24"/>
                <w:lang w:val="en-US" w:eastAsia="zh-CN"/>
              </w:rPr>
              <w:t>180</w:t>
            </w:r>
            <w:r>
              <w:rPr>
                <w:rFonts w:hint="default"/>
                <w:color w:val="000000"/>
                <w:sz w:val="24"/>
              </w:rPr>
              <w:t>mg/L</w:t>
            </w:r>
            <w:r>
              <w:rPr>
                <w:rFonts w:hint="eastAsia"/>
                <w:color w:val="000000"/>
                <w:sz w:val="24"/>
                <w:lang w:eastAsia="zh-CN"/>
              </w:rPr>
              <w:t>、</w:t>
            </w:r>
            <w:r>
              <w:rPr>
                <w:rFonts w:hint="eastAsia"/>
                <w:color w:val="000000"/>
                <w:sz w:val="24"/>
              </w:rPr>
              <w:t>NH</w:t>
            </w:r>
            <w:r>
              <w:rPr>
                <w:rFonts w:hint="eastAsia"/>
                <w:color w:val="000000"/>
                <w:sz w:val="24"/>
                <w:vertAlign w:val="subscript"/>
              </w:rPr>
              <w:t>3</w:t>
            </w:r>
            <w:r>
              <w:rPr>
                <w:rFonts w:hint="eastAsia"/>
                <w:color w:val="000000"/>
                <w:sz w:val="24"/>
              </w:rPr>
              <w:t>-N</w:t>
            </w:r>
            <w:r>
              <w:rPr>
                <w:rFonts w:hint="eastAsia"/>
                <w:color w:val="000000"/>
                <w:sz w:val="24"/>
                <w:lang w:val="en-US" w:eastAsia="zh-CN"/>
              </w:rPr>
              <w:t>59</w:t>
            </w:r>
            <w:r>
              <w:rPr>
                <w:rFonts w:hint="eastAsia"/>
                <w:color w:val="000000"/>
                <w:sz w:val="24"/>
              </w:rPr>
              <w:t>mg/L、TP</w:t>
            </w:r>
            <w:r>
              <w:rPr>
                <w:rFonts w:hint="eastAsia"/>
                <w:color w:val="000000"/>
                <w:sz w:val="24"/>
                <w:lang w:val="en-US" w:eastAsia="zh-CN"/>
              </w:rPr>
              <w:t>4</w:t>
            </w:r>
            <w:r>
              <w:rPr>
                <w:rFonts w:hint="eastAsia"/>
                <w:color w:val="000000"/>
                <w:sz w:val="24"/>
              </w:rPr>
              <w:t>mg/L、TN</w:t>
            </w:r>
            <w:r>
              <w:rPr>
                <w:rFonts w:hint="eastAsia"/>
                <w:color w:val="000000"/>
                <w:sz w:val="24"/>
                <w:lang w:val="en-US" w:eastAsia="zh-CN"/>
              </w:rPr>
              <w:t>70</w:t>
            </w:r>
            <w:r>
              <w:rPr>
                <w:rFonts w:hint="eastAsia"/>
                <w:color w:val="000000"/>
                <w:sz w:val="24"/>
              </w:rPr>
              <w:t>mg/L。</w:t>
            </w:r>
            <w:r>
              <w:rPr>
                <w:rFonts w:hint="eastAsia"/>
                <w:color w:val="000000"/>
                <w:sz w:val="24"/>
                <w:lang w:val="en-US" w:eastAsia="zh-CN"/>
              </w:rPr>
              <w:t>新乡县综合污水处理厂</w:t>
            </w:r>
            <w:r>
              <w:rPr>
                <w:rFonts w:hint="eastAsia"/>
                <w:color w:val="000000"/>
                <w:sz w:val="24"/>
              </w:rPr>
              <w:t>出水水质为COD40mg/L、SS10mg/L、NH</w:t>
            </w:r>
            <w:r>
              <w:rPr>
                <w:rFonts w:hint="eastAsia"/>
                <w:color w:val="000000"/>
                <w:sz w:val="24"/>
                <w:vertAlign w:val="subscript"/>
              </w:rPr>
              <w:t>3</w:t>
            </w:r>
            <w:r>
              <w:rPr>
                <w:rFonts w:hint="eastAsia"/>
                <w:color w:val="000000"/>
                <w:sz w:val="24"/>
              </w:rPr>
              <w:t>-N2mg/L、TP0.4mg/L、TN15mg/L。</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color w:val="000000"/>
                <w:sz w:val="24"/>
                <w:lang w:val="en-US" w:eastAsia="zh-CN"/>
              </w:rPr>
            </w:pPr>
            <w:r>
              <w:rPr>
                <w:rFonts w:hint="default"/>
                <w:color w:val="000000"/>
                <w:sz w:val="24"/>
              </w:rPr>
              <w:t>经</w:t>
            </w:r>
            <w:r>
              <w:rPr>
                <w:rFonts w:hint="eastAsia"/>
                <w:color w:val="000000"/>
                <w:sz w:val="24"/>
                <w:lang w:val="en-US" w:eastAsia="zh-CN"/>
              </w:rPr>
              <w:t>新乡县综合污水处理厂</w:t>
            </w:r>
            <w:r>
              <w:rPr>
                <w:rFonts w:hint="default"/>
                <w:color w:val="000000"/>
                <w:sz w:val="24"/>
              </w:rPr>
              <w:t>处理后</w:t>
            </w:r>
            <w:r>
              <w:rPr>
                <w:rFonts w:hint="eastAsia"/>
                <w:color w:val="000000"/>
                <w:sz w:val="24"/>
              </w:rPr>
              <w:t>，本项目</w:t>
            </w:r>
            <w:r>
              <w:rPr>
                <w:rFonts w:hint="default"/>
                <w:color w:val="000000"/>
                <w:sz w:val="24"/>
              </w:rPr>
              <w:t>废水污染物排放量</w:t>
            </w:r>
            <w:r>
              <w:rPr>
                <w:rFonts w:hint="eastAsia"/>
                <w:color w:val="000000"/>
                <w:sz w:val="24"/>
                <w:lang w:val="en-US" w:eastAsia="zh-CN"/>
              </w:rPr>
              <w:t>情况见下表</w:t>
            </w:r>
          </w:p>
          <w:p>
            <w:pPr>
              <w:keepNext w:val="0"/>
              <w:keepLines w:val="0"/>
              <w:suppressLineNumbers w:val="0"/>
              <w:adjustRightInd w:val="0"/>
              <w:snapToGrid w:val="0"/>
              <w:spacing w:before="0" w:beforeAutospacing="0" w:after="0" w:afterAutospacing="0" w:line="440" w:lineRule="exact"/>
              <w:ind w:left="0" w:right="0"/>
              <w:jc w:val="center"/>
              <w:rPr>
                <w:rFonts w:hint="default"/>
                <w:color w:val="000000"/>
                <w:sz w:val="24"/>
                <w:lang w:val="en-US" w:eastAsia="zh-CN"/>
              </w:rPr>
            </w:pPr>
            <w:r>
              <w:rPr>
                <w:rFonts w:hint="eastAsia"/>
                <w:b/>
                <w:bCs/>
                <w:color w:val="000000"/>
                <w:sz w:val="24"/>
                <w:lang w:val="en-US" w:eastAsia="zh-CN"/>
              </w:rPr>
              <w:t>表31  本项目废水污染物排放情况</w:t>
            </w:r>
          </w:p>
          <w:tbl>
            <w:tblPr>
              <w:tblStyle w:val="2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504"/>
              <w:gridCol w:w="1504"/>
              <w:gridCol w:w="1504"/>
              <w:gridCol w:w="1504"/>
              <w:gridCol w:w="1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tcBorders>
                    <w:top w:val="single" w:color="auto" w:sz="8"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项目建设情况</w:t>
                  </w:r>
                </w:p>
              </w:tc>
              <w:tc>
                <w:tcPr>
                  <w:tcW w:w="1504"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b/>
                      <w:bCs/>
                      <w:color w:val="000000"/>
                      <w:sz w:val="21"/>
                      <w:szCs w:val="21"/>
                      <w:vertAlign w:val="baseline"/>
                      <w:lang w:val="en-US" w:eastAsia="zh-CN"/>
                    </w:rPr>
                  </w:pPr>
                  <w:r>
                    <w:rPr>
                      <w:rFonts w:hint="eastAsia"/>
                      <w:b/>
                      <w:bCs/>
                      <w:color w:val="000000"/>
                      <w:sz w:val="21"/>
                      <w:szCs w:val="21"/>
                    </w:rPr>
                    <w:t>COD</w:t>
                  </w:r>
                </w:p>
              </w:tc>
              <w:tc>
                <w:tcPr>
                  <w:tcW w:w="1504"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000000"/>
                      <w:sz w:val="21"/>
                      <w:szCs w:val="21"/>
                      <w:vertAlign w:val="baseline"/>
                    </w:rPr>
                  </w:pPr>
                  <w:r>
                    <w:rPr>
                      <w:rFonts w:hint="eastAsia"/>
                      <w:b/>
                      <w:bCs/>
                      <w:color w:val="000000"/>
                      <w:sz w:val="21"/>
                      <w:szCs w:val="21"/>
                    </w:rPr>
                    <w:t>SS</w:t>
                  </w:r>
                </w:p>
              </w:tc>
              <w:tc>
                <w:tcPr>
                  <w:tcW w:w="1504"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000000"/>
                      <w:sz w:val="21"/>
                      <w:szCs w:val="21"/>
                      <w:vertAlign w:val="baseline"/>
                    </w:rPr>
                  </w:pPr>
                  <w:r>
                    <w:rPr>
                      <w:rFonts w:hint="eastAsia"/>
                      <w:b/>
                      <w:bCs/>
                      <w:color w:val="000000"/>
                      <w:sz w:val="21"/>
                      <w:szCs w:val="21"/>
                    </w:rPr>
                    <w:t>NH</w:t>
                  </w:r>
                  <w:r>
                    <w:rPr>
                      <w:rFonts w:hint="eastAsia"/>
                      <w:b/>
                      <w:bCs/>
                      <w:color w:val="000000"/>
                      <w:sz w:val="21"/>
                      <w:szCs w:val="21"/>
                      <w:vertAlign w:val="subscript"/>
                    </w:rPr>
                    <w:t>3</w:t>
                  </w:r>
                  <w:r>
                    <w:rPr>
                      <w:rFonts w:hint="eastAsia"/>
                      <w:b/>
                      <w:bCs/>
                      <w:color w:val="000000"/>
                      <w:sz w:val="21"/>
                      <w:szCs w:val="21"/>
                    </w:rPr>
                    <w:t>-N</w:t>
                  </w:r>
                </w:p>
              </w:tc>
              <w:tc>
                <w:tcPr>
                  <w:tcW w:w="1504" w:type="dxa"/>
                  <w:tcBorders>
                    <w:top w:val="single" w:color="auto" w:sz="8" w:space="0"/>
                    <w:left w:val="single" w:color="auto" w:sz="8" w:space="0"/>
                    <w:bottom w:val="single" w:color="auto" w:sz="8" w:space="0"/>
                    <w:right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000000"/>
                      <w:sz w:val="21"/>
                      <w:szCs w:val="21"/>
                      <w:vertAlign w:val="baseline"/>
                    </w:rPr>
                  </w:pPr>
                  <w:r>
                    <w:rPr>
                      <w:rFonts w:hint="eastAsia"/>
                      <w:b/>
                      <w:bCs/>
                      <w:color w:val="000000"/>
                      <w:sz w:val="21"/>
                      <w:szCs w:val="21"/>
                    </w:rPr>
                    <w:t>TP</w:t>
                  </w:r>
                </w:p>
              </w:tc>
              <w:tc>
                <w:tcPr>
                  <w:tcW w:w="1508" w:type="dxa"/>
                  <w:tcBorders>
                    <w:top w:val="single" w:color="auto" w:sz="8" w:space="0"/>
                    <w:left w:val="single" w:color="auto" w:sz="8" w:space="0"/>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b/>
                      <w:bCs/>
                      <w:color w:val="000000"/>
                      <w:sz w:val="21"/>
                      <w:szCs w:val="21"/>
                      <w:vertAlign w:val="baseline"/>
                    </w:rPr>
                  </w:pPr>
                  <w:r>
                    <w:rPr>
                      <w:rFonts w:hint="eastAsia"/>
                      <w:b/>
                      <w:bCs/>
                      <w:color w:val="000000"/>
                      <w:sz w:val="21"/>
                      <w:szCs w:val="21"/>
                    </w:rPr>
                    <w:t>TN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eastAsia="宋体"/>
                      <w:color w:val="000000"/>
                      <w:sz w:val="21"/>
                      <w:szCs w:val="21"/>
                      <w:vertAlign w:val="baseline"/>
                      <w:lang w:val="en-US" w:eastAsia="zh-CN"/>
                    </w:rPr>
                  </w:pPr>
                  <w:r>
                    <w:rPr>
                      <w:rFonts w:hint="eastAsia"/>
                      <w:color w:val="000000"/>
                      <w:sz w:val="21"/>
                      <w:szCs w:val="21"/>
                      <w:vertAlign w:val="baseline"/>
                      <w:lang w:val="en-US" w:eastAsia="zh-CN"/>
                    </w:rPr>
                    <w:t>一期</w:t>
                  </w:r>
                </w:p>
              </w:tc>
              <w:tc>
                <w:tcPr>
                  <w:tcW w:w="1504"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0.0023</w:t>
                  </w:r>
                  <w:r>
                    <w:rPr>
                      <w:rFonts w:hint="eastAsia"/>
                      <w:color w:val="000000"/>
                      <w:sz w:val="21"/>
                      <w:szCs w:val="21"/>
                    </w:rPr>
                    <w:t>t/a</w:t>
                  </w:r>
                </w:p>
              </w:tc>
              <w:tc>
                <w:tcPr>
                  <w:tcW w:w="1504"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0.0006</w:t>
                  </w:r>
                  <w:r>
                    <w:rPr>
                      <w:rFonts w:hint="eastAsia"/>
                      <w:color w:val="000000"/>
                      <w:sz w:val="21"/>
                      <w:szCs w:val="21"/>
                    </w:rPr>
                    <w:t>t/a</w:t>
                  </w:r>
                </w:p>
              </w:tc>
              <w:tc>
                <w:tcPr>
                  <w:tcW w:w="1504"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0.0001</w:t>
                  </w:r>
                  <w:r>
                    <w:rPr>
                      <w:rFonts w:hint="eastAsia"/>
                      <w:color w:val="000000"/>
                      <w:sz w:val="21"/>
                      <w:szCs w:val="21"/>
                    </w:rPr>
                    <w:t>t/a</w:t>
                  </w:r>
                </w:p>
              </w:tc>
              <w:tc>
                <w:tcPr>
                  <w:tcW w:w="1504"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0.00002</w:t>
                  </w:r>
                  <w:r>
                    <w:rPr>
                      <w:rFonts w:hint="eastAsia"/>
                      <w:color w:val="000000"/>
                      <w:sz w:val="21"/>
                      <w:szCs w:val="21"/>
                    </w:rPr>
                    <w:t>t/a</w:t>
                  </w:r>
                </w:p>
              </w:tc>
              <w:tc>
                <w:tcPr>
                  <w:tcW w:w="1508" w:type="dxa"/>
                  <w:tcBorders>
                    <w:top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0.0009</w:t>
                  </w:r>
                  <w:r>
                    <w:rPr>
                      <w:rFonts w:hint="eastAsia"/>
                      <w:color w:val="000000"/>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92" w:type="dxa"/>
                  <w:tcBorders>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default" w:eastAsia="宋体"/>
                      <w:color w:val="000000"/>
                      <w:sz w:val="21"/>
                      <w:szCs w:val="21"/>
                      <w:vertAlign w:val="baseline"/>
                      <w:lang w:val="en-US" w:eastAsia="zh-CN"/>
                    </w:rPr>
                  </w:pPr>
                  <w:r>
                    <w:rPr>
                      <w:rFonts w:hint="eastAsia"/>
                      <w:color w:val="000000"/>
                      <w:sz w:val="21"/>
                      <w:szCs w:val="21"/>
                      <w:vertAlign w:val="baseline"/>
                      <w:lang w:val="en-US" w:eastAsia="zh-CN"/>
                    </w:rPr>
                    <w:t>项目建成后合计</w:t>
                  </w:r>
                </w:p>
              </w:tc>
              <w:tc>
                <w:tcPr>
                  <w:tcW w:w="1504" w:type="dxa"/>
                  <w:tcBorders>
                    <w:bottom w:val="single" w:color="auto" w:sz="8" w:space="0"/>
                  </w:tcBorders>
                  <w:vAlign w:val="center"/>
                </w:tcPr>
                <w:p>
                  <w:pPr>
                    <w:keepNext w:val="0"/>
                    <w:keepLines w:val="0"/>
                    <w:suppressLineNumbers w:val="0"/>
                    <w:tabs>
                      <w:tab w:val="left" w:pos="507"/>
                      <w:tab w:val="center" w:pos="703"/>
                    </w:tabs>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0.0058</w:t>
                  </w:r>
                  <w:r>
                    <w:rPr>
                      <w:rFonts w:hint="eastAsia"/>
                      <w:color w:val="000000"/>
                      <w:sz w:val="21"/>
                      <w:szCs w:val="21"/>
                    </w:rPr>
                    <w:t>t/a</w:t>
                  </w:r>
                </w:p>
              </w:tc>
              <w:tc>
                <w:tcPr>
                  <w:tcW w:w="1504" w:type="dxa"/>
                  <w:tcBorders>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0.0015</w:t>
                  </w:r>
                  <w:r>
                    <w:rPr>
                      <w:rFonts w:hint="eastAsia"/>
                      <w:color w:val="000000"/>
                      <w:sz w:val="21"/>
                      <w:szCs w:val="21"/>
                    </w:rPr>
                    <w:t>t/a</w:t>
                  </w:r>
                </w:p>
              </w:tc>
              <w:tc>
                <w:tcPr>
                  <w:tcW w:w="1504" w:type="dxa"/>
                  <w:tcBorders>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0.0003</w:t>
                  </w:r>
                  <w:r>
                    <w:rPr>
                      <w:rFonts w:hint="eastAsia"/>
                      <w:color w:val="000000"/>
                      <w:sz w:val="21"/>
                      <w:szCs w:val="21"/>
                    </w:rPr>
                    <w:t>t/a</w:t>
                  </w:r>
                </w:p>
              </w:tc>
              <w:tc>
                <w:tcPr>
                  <w:tcW w:w="1504" w:type="dxa"/>
                  <w:tcBorders>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0.00005</w:t>
                  </w:r>
                  <w:r>
                    <w:rPr>
                      <w:rFonts w:hint="eastAsia"/>
                      <w:color w:val="000000"/>
                      <w:sz w:val="21"/>
                      <w:szCs w:val="21"/>
                    </w:rPr>
                    <w:t>t/a</w:t>
                  </w:r>
                </w:p>
              </w:tc>
              <w:tc>
                <w:tcPr>
                  <w:tcW w:w="1508" w:type="dxa"/>
                  <w:tcBorders>
                    <w:bottom w:val="single" w:color="auto" w:sz="8" w:space="0"/>
                  </w:tcBorders>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000000"/>
                      <w:sz w:val="21"/>
                      <w:szCs w:val="21"/>
                      <w:vertAlign w:val="baseline"/>
                    </w:rPr>
                  </w:pPr>
                  <w:r>
                    <w:rPr>
                      <w:rFonts w:hint="eastAsia"/>
                      <w:color w:val="000000"/>
                      <w:sz w:val="21"/>
                      <w:szCs w:val="21"/>
                      <w:lang w:val="en-US" w:eastAsia="zh-CN"/>
                    </w:rPr>
                    <w:t>0.0022</w:t>
                  </w:r>
                  <w:r>
                    <w:rPr>
                      <w:rFonts w:hint="eastAsia"/>
                      <w:color w:val="000000"/>
                      <w:sz w:val="21"/>
                      <w:szCs w:val="21"/>
                    </w:rPr>
                    <w:t>t/a</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sz w:val="24"/>
              </w:rPr>
            </w:pPr>
            <w:r>
              <w:rPr>
                <w:rFonts w:hint="eastAsia"/>
                <w:sz w:val="24"/>
              </w:rPr>
              <w:t>（2）污水接管可行性分析</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sz w:val="24"/>
              </w:rPr>
            </w:pPr>
            <w:r>
              <w:rPr>
                <w:rFonts w:hint="eastAsia"/>
                <w:sz w:val="24"/>
              </w:rPr>
              <w:t>本项目从污水水量</w:t>
            </w:r>
            <w:r>
              <w:rPr>
                <w:rFonts w:hint="eastAsia"/>
                <w:sz w:val="24"/>
                <w:lang w:val="en-US" w:eastAsia="zh-CN"/>
              </w:rPr>
              <w:t>和</w:t>
            </w:r>
            <w:r>
              <w:rPr>
                <w:rFonts w:hint="eastAsia"/>
                <w:sz w:val="24"/>
              </w:rPr>
              <w:t>污水水质方面论述废水接管具有可行性。</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sz w:val="24"/>
              </w:rPr>
            </w:pPr>
            <w:r>
              <w:rPr>
                <w:rFonts w:hint="eastAsia"/>
                <w:sz w:val="24"/>
              </w:rPr>
              <w:t>①污水水量接管可行</w:t>
            </w:r>
            <w:r>
              <w:rPr>
                <w:rFonts w:hint="default"/>
                <w:sz w:val="24"/>
              </w:rPr>
              <w:t>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default"/>
                <w:sz w:val="24"/>
              </w:rPr>
            </w:pPr>
            <w:r>
              <w:rPr>
                <w:rFonts w:hint="eastAsia"/>
                <w:sz w:val="24"/>
                <w:lang w:val="en-US" w:eastAsia="zh-CN"/>
              </w:rPr>
              <w:t>新乡县综合污水处理厂</w:t>
            </w:r>
            <w:r>
              <w:rPr>
                <w:rFonts w:hint="default"/>
                <w:sz w:val="24"/>
              </w:rPr>
              <w:t>位于集聚区北区（胜利路以东、青龙路以北、文化路以西、东孟姜女河以南的区域），设计污水处理能力</w:t>
            </w:r>
            <w:r>
              <w:rPr>
                <w:rFonts w:hint="eastAsia"/>
                <w:sz w:val="24"/>
                <w:lang w:val="en-US" w:eastAsia="zh-CN"/>
              </w:rPr>
              <w:t>15</w:t>
            </w:r>
            <w:r>
              <w:rPr>
                <w:rFonts w:hint="default"/>
                <w:sz w:val="24"/>
              </w:rPr>
              <w:t>万</w:t>
            </w:r>
            <w:r>
              <w:rPr>
                <w:rFonts w:hint="eastAsia"/>
                <w:sz w:val="24"/>
                <w:lang w:val="en-US" w:eastAsia="zh-CN"/>
              </w:rPr>
              <w:t>m</w:t>
            </w:r>
            <w:r>
              <w:rPr>
                <w:rFonts w:hint="eastAsia"/>
                <w:sz w:val="24"/>
                <w:vertAlign w:val="superscript"/>
                <w:lang w:val="en-US" w:eastAsia="zh-CN"/>
              </w:rPr>
              <w:t>3</w:t>
            </w:r>
            <w:r>
              <w:rPr>
                <w:rFonts w:hint="default"/>
                <w:sz w:val="24"/>
              </w:rPr>
              <w:t>/</w:t>
            </w:r>
            <w:r>
              <w:rPr>
                <w:rFonts w:hint="eastAsia"/>
                <w:sz w:val="24"/>
                <w:lang w:val="en-US" w:eastAsia="zh-CN"/>
              </w:rPr>
              <w:t>d</w:t>
            </w:r>
            <w:r>
              <w:rPr>
                <w:rFonts w:hint="default"/>
                <w:sz w:val="24"/>
              </w:rPr>
              <w:t>，</w:t>
            </w:r>
            <w:r>
              <w:rPr>
                <w:rFonts w:hint="eastAsia"/>
                <w:sz w:val="24"/>
                <w:lang w:val="en-US" w:eastAsia="zh-CN"/>
              </w:rPr>
              <w:t>总服务面积48.42km</w:t>
            </w:r>
            <w:r>
              <w:rPr>
                <w:rFonts w:hint="eastAsia"/>
                <w:sz w:val="24"/>
                <w:vertAlign w:val="superscript"/>
                <w:lang w:val="en-US" w:eastAsia="zh-CN"/>
              </w:rPr>
              <w:t>2</w:t>
            </w:r>
            <w:r>
              <w:rPr>
                <w:rFonts w:hint="eastAsia"/>
                <w:sz w:val="24"/>
                <w:vertAlign w:val="baseline"/>
                <w:lang w:val="en-US" w:eastAsia="zh-CN"/>
              </w:rPr>
              <w:t>，目前已投入运营</w:t>
            </w:r>
            <w:r>
              <w:rPr>
                <w:rFonts w:hint="default"/>
                <w:sz w:val="24"/>
              </w:rPr>
              <w:t>。本项目属于新乡经济技术产业集聚区，属于</w:t>
            </w:r>
            <w:r>
              <w:rPr>
                <w:rFonts w:hint="eastAsia"/>
                <w:sz w:val="24"/>
                <w:lang w:val="en-US" w:eastAsia="zh-CN"/>
              </w:rPr>
              <w:t>新乡县综合污水处理厂</w:t>
            </w:r>
            <w:r>
              <w:rPr>
                <w:rFonts w:hint="default"/>
                <w:sz w:val="24"/>
              </w:rPr>
              <w:t>的收水范围。本项目建成后废水排放总量为0.48m</w:t>
            </w:r>
            <w:r>
              <w:rPr>
                <w:rFonts w:hint="default"/>
                <w:sz w:val="24"/>
                <w:vertAlign w:val="superscript"/>
              </w:rPr>
              <w:t>3</w:t>
            </w:r>
            <w:r>
              <w:rPr>
                <w:rFonts w:hint="default"/>
                <w:sz w:val="24"/>
              </w:rPr>
              <w:t>/d（接管量），约占</w:t>
            </w:r>
            <w:r>
              <w:rPr>
                <w:rFonts w:hint="eastAsia"/>
                <w:sz w:val="24"/>
                <w:lang w:val="en-US" w:eastAsia="zh-CN"/>
              </w:rPr>
              <w:t>新乡县综合污水处理厂</w:t>
            </w:r>
            <w:r>
              <w:rPr>
                <w:rFonts w:hint="default"/>
                <w:sz w:val="24"/>
              </w:rPr>
              <w:t>工程接管量的0.000</w:t>
            </w:r>
            <w:r>
              <w:rPr>
                <w:rFonts w:hint="eastAsia"/>
                <w:sz w:val="24"/>
                <w:lang w:val="en-US" w:eastAsia="zh-CN"/>
              </w:rPr>
              <w:t>32</w:t>
            </w:r>
            <w:r>
              <w:rPr>
                <w:rFonts w:hint="default"/>
                <w:sz w:val="24"/>
              </w:rPr>
              <w:t>%，</w:t>
            </w:r>
            <w:r>
              <w:rPr>
                <w:rFonts w:hint="eastAsia"/>
                <w:sz w:val="24"/>
                <w:lang w:val="en-US" w:eastAsia="zh-CN"/>
              </w:rPr>
              <w:t>新乡县综合污水处理厂</w:t>
            </w:r>
            <w:r>
              <w:rPr>
                <w:rFonts w:hint="default"/>
                <w:sz w:val="24"/>
              </w:rPr>
              <w:t>有能力接纳建设项目的废水。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宋体" w:hAnsi="宋体" w:eastAsia="宋体" w:cs="宋体"/>
              </w:rPr>
            </w:pPr>
            <w:r>
              <w:rPr>
                <w:rFonts w:hint="eastAsia"/>
                <w:sz w:val="24"/>
              </w:rPr>
              <w:t>②污水水质接管可行</w:t>
            </w:r>
            <w:r>
              <w:rPr>
                <w:rFonts w:hint="default"/>
                <w:sz w:val="24"/>
              </w:rPr>
              <w:t>性分析</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sz w:val="24"/>
              </w:rPr>
            </w:pPr>
            <w:r>
              <w:rPr>
                <w:rFonts w:hint="default"/>
                <w:bCs/>
                <w:sz w:val="24"/>
              </w:rPr>
              <w:t>本项目</w:t>
            </w:r>
            <w:r>
              <w:rPr>
                <w:rFonts w:hint="eastAsia"/>
                <w:bCs/>
                <w:sz w:val="24"/>
              </w:rPr>
              <w:t>外排废水中</w:t>
            </w:r>
            <w:r>
              <w:rPr>
                <w:rFonts w:hint="default"/>
                <w:bCs/>
                <w:sz w:val="24"/>
              </w:rPr>
              <w:t>各污染物</w:t>
            </w:r>
            <w:r>
              <w:rPr>
                <w:rFonts w:hint="eastAsia"/>
                <w:bCs/>
                <w:sz w:val="24"/>
              </w:rPr>
              <w:t>排放</w:t>
            </w:r>
            <w:r>
              <w:rPr>
                <w:rFonts w:hint="default"/>
                <w:bCs/>
                <w:sz w:val="24"/>
              </w:rPr>
              <w:t>浓度</w:t>
            </w:r>
            <w:r>
              <w:rPr>
                <w:rFonts w:hint="default"/>
                <w:color w:val="000000"/>
                <w:sz w:val="24"/>
              </w:rPr>
              <w:t>COD</w:t>
            </w:r>
            <w:r>
              <w:rPr>
                <w:rFonts w:hint="eastAsia"/>
                <w:color w:val="000000"/>
                <w:sz w:val="24"/>
              </w:rPr>
              <w:t>2</w:t>
            </w:r>
            <w:r>
              <w:rPr>
                <w:rFonts w:hint="eastAsia"/>
                <w:color w:val="000000"/>
                <w:sz w:val="24"/>
                <w:lang w:val="en-US" w:eastAsia="zh-CN"/>
              </w:rPr>
              <w:t>50</w:t>
            </w:r>
            <w:r>
              <w:rPr>
                <w:rFonts w:hint="default"/>
                <w:color w:val="000000"/>
                <w:sz w:val="24"/>
              </w:rPr>
              <w:t>mg/L、SS</w:t>
            </w:r>
            <w:r>
              <w:rPr>
                <w:rFonts w:hint="eastAsia"/>
                <w:color w:val="000000"/>
                <w:sz w:val="24"/>
                <w:lang w:val="en-US" w:eastAsia="zh-CN"/>
              </w:rPr>
              <w:t>180</w:t>
            </w:r>
            <w:r>
              <w:rPr>
                <w:rFonts w:hint="default"/>
                <w:color w:val="000000"/>
                <w:sz w:val="24"/>
              </w:rPr>
              <w:t>mg/L、</w:t>
            </w:r>
            <w:r>
              <w:rPr>
                <w:rFonts w:hint="eastAsia"/>
                <w:color w:val="000000"/>
                <w:sz w:val="24"/>
              </w:rPr>
              <w:t>NH</w:t>
            </w:r>
            <w:r>
              <w:rPr>
                <w:rFonts w:hint="eastAsia"/>
                <w:color w:val="000000"/>
                <w:sz w:val="24"/>
                <w:vertAlign w:val="subscript"/>
              </w:rPr>
              <w:t>3</w:t>
            </w:r>
            <w:r>
              <w:rPr>
                <w:rFonts w:hint="eastAsia"/>
                <w:color w:val="000000"/>
                <w:sz w:val="24"/>
              </w:rPr>
              <w:t>-N</w:t>
            </w:r>
            <w:r>
              <w:rPr>
                <w:rFonts w:hint="default"/>
                <w:color w:val="000000"/>
                <w:sz w:val="24"/>
              </w:rPr>
              <w:t>2</w:t>
            </w:r>
            <w:r>
              <w:rPr>
                <w:rFonts w:hint="eastAsia"/>
                <w:color w:val="000000"/>
                <w:sz w:val="24"/>
              </w:rPr>
              <w:t>0</w:t>
            </w:r>
            <w:r>
              <w:rPr>
                <w:rFonts w:hint="default"/>
                <w:color w:val="000000"/>
                <w:sz w:val="24"/>
              </w:rPr>
              <w:t>mg/L</w:t>
            </w:r>
            <w:r>
              <w:rPr>
                <w:rFonts w:hint="eastAsia"/>
                <w:color w:val="000000"/>
                <w:sz w:val="24"/>
              </w:rPr>
              <w:t>、TP2</w:t>
            </w:r>
            <w:r>
              <w:rPr>
                <w:rFonts w:hint="default"/>
                <w:color w:val="000000"/>
                <w:sz w:val="24"/>
              </w:rPr>
              <w:t>mg/L</w:t>
            </w:r>
            <w:r>
              <w:rPr>
                <w:rFonts w:hint="eastAsia"/>
                <w:color w:val="000000"/>
                <w:sz w:val="24"/>
              </w:rPr>
              <w:t>、TN</w:t>
            </w:r>
            <w:r>
              <w:rPr>
                <w:rFonts w:hint="eastAsia"/>
                <w:color w:val="000000"/>
                <w:sz w:val="24"/>
                <w:lang w:val="en-US" w:eastAsia="zh-CN"/>
              </w:rPr>
              <w:t>30</w:t>
            </w:r>
            <w:r>
              <w:rPr>
                <w:rFonts w:hint="default"/>
                <w:color w:val="000000"/>
                <w:sz w:val="24"/>
              </w:rPr>
              <w:t>mg/L</w:t>
            </w:r>
            <w:r>
              <w:rPr>
                <w:rFonts w:hint="eastAsia"/>
                <w:sz w:val="24"/>
              </w:rPr>
              <w:t>，</w:t>
            </w:r>
            <w:r>
              <w:rPr>
                <w:rFonts w:hint="eastAsia"/>
                <w:color w:val="000000"/>
                <w:sz w:val="24"/>
              </w:rPr>
              <w:t>能够满足</w:t>
            </w:r>
            <w:r>
              <w:rPr>
                <w:rFonts w:hint="eastAsia"/>
                <w:sz w:val="24"/>
                <w:lang w:val="en-US" w:eastAsia="zh-CN"/>
              </w:rPr>
              <w:t>新乡县综合污水处理厂</w:t>
            </w:r>
            <w:r>
              <w:rPr>
                <w:rFonts w:hint="eastAsia"/>
                <w:color w:val="000000"/>
                <w:sz w:val="24"/>
              </w:rPr>
              <w:t>收水水质要求：COD</w:t>
            </w:r>
            <w:r>
              <w:rPr>
                <w:rFonts w:hint="eastAsia"/>
                <w:color w:val="000000"/>
                <w:sz w:val="24"/>
                <w:lang w:val="en-US" w:eastAsia="zh-CN"/>
              </w:rPr>
              <w:t>400</w:t>
            </w:r>
            <w:r>
              <w:rPr>
                <w:rFonts w:hint="eastAsia"/>
                <w:color w:val="000000"/>
                <w:sz w:val="24"/>
              </w:rPr>
              <w:t>mg/L、</w:t>
            </w:r>
            <w:r>
              <w:rPr>
                <w:rFonts w:hint="default"/>
                <w:color w:val="000000"/>
                <w:sz w:val="24"/>
              </w:rPr>
              <w:t>SS</w:t>
            </w:r>
            <w:r>
              <w:rPr>
                <w:rFonts w:hint="eastAsia"/>
                <w:color w:val="000000"/>
                <w:sz w:val="24"/>
                <w:lang w:val="en-US" w:eastAsia="zh-CN"/>
              </w:rPr>
              <w:t>180</w:t>
            </w:r>
            <w:r>
              <w:rPr>
                <w:rFonts w:hint="default"/>
                <w:color w:val="000000"/>
                <w:sz w:val="24"/>
              </w:rPr>
              <w:t>mg/L</w:t>
            </w:r>
            <w:r>
              <w:rPr>
                <w:rFonts w:hint="eastAsia"/>
                <w:color w:val="000000"/>
                <w:sz w:val="24"/>
                <w:lang w:eastAsia="zh-CN"/>
              </w:rPr>
              <w:t>、</w:t>
            </w:r>
            <w:r>
              <w:rPr>
                <w:rFonts w:hint="eastAsia"/>
                <w:color w:val="000000"/>
                <w:sz w:val="24"/>
              </w:rPr>
              <w:t>NH</w:t>
            </w:r>
            <w:r>
              <w:rPr>
                <w:rFonts w:hint="eastAsia"/>
                <w:color w:val="000000"/>
                <w:sz w:val="24"/>
                <w:vertAlign w:val="subscript"/>
              </w:rPr>
              <w:t>3</w:t>
            </w:r>
            <w:r>
              <w:rPr>
                <w:rFonts w:hint="eastAsia"/>
                <w:color w:val="000000"/>
                <w:sz w:val="24"/>
              </w:rPr>
              <w:t>-N</w:t>
            </w:r>
            <w:r>
              <w:rPr>
                <w:rFonts w:hint="eastAsia"/>
                <w:color w:val="000000"/>
                <w:sz w:val="24"/>
                <w:lang w:val="en-US" w:eastAsia="zh-CN"/>
              </w:rPr>
              <w:t>59</w:t>
            </w:r>
            <w:r>
              <w:rPr>
                <w:rFonts w:hint="eastAsia"/>
                <w:color w:val="000000"/>
                <w:sz w:val="24"/>
              </w:rPr>
              <w:t>mg/L、TP</w:t>
            </w:r>
            <w:r>
              <w:rPr>
                <w:rFonts w:hint="eastAsia"/>
                <w:color w:val="000000"/>
                <w:sz w:val="24"/>
                <w:lang w:val="en-US" w:eastAsia="zh-CN"/>
              </w:rPr>
              <w:t>4</w:t>
            </w:r>
            <w:r>
              <w:rPr>
                <w:rFonts w:hint="eastAsia"/>
                <w:color w:val="000000"/>
                <w:sz w:val="24"/>
              </w:rPr>
              <w:t>mg/L、TN</w:t>
            </w:r>
            <w:r>
              <w:rPr>
                <w:rFonts w:hint="eastAsia"/>
                <w:color w:val="000000"/>
                <w:sz w:val="24"/>
                <w:lang w:val="en-US" w:eastAsia="zh-CN"/>
              </w:rPr>
              <w:t>70</w:t>
            </w:r>
            <w:r>
              <w:rPr>
                <w:rFonts w:hint="eastAsia"/>
                <w:color w:val="000000"/>
                <w:sz w:val="24"/>
              </w:rPr>
              <w:t>mg/L</w:t>
            </w:r>
            <w:r>
              <w:rPr>
                <w:rFonts w:hint="eastAsia"/>
                <w:sz w:val="24"/>
              </w:rPr>
              <w:t>，从水质上分析也是可行的。</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sz w:val="24"/>
              </w:rPr>
            </w:pPr>
            <w:r>
              <w:rPr>
                <w:rFonts w:hint="default"/>
                <w:sz w:val="24"/>
              </w:rPr>
              <w:t>综上</w:t>
            </w:r>
            <w:r>
              <w:rPr>
                <w:rFonts w:hint="eastAsia"/>
                <w:sz w:val="24"/>
              </w:rPr>
              <w:t>，</w:t>
            </w:r>
            <w:r>
              <w:rPr>
                <w:rFonts w:hint="default"/>
                <w:sz w:val="24"/>
              </w:rPr>
              <w:t>项目污水从进水水量、水质要求等方面分析，</w:t>
            </w:r>
            <w:r>
              <w:rPr>
                <w:rFonts w:hint="eastAsia"/>
                <w:sz w:val="24"/>
              </w:rPr>
              <w:t>项目废水</w:t>
            </w:r>
            <w:r>
              <w:rPr>
                <w:rFonts w:hint="default"/>
                <w:sz w:val="24"/>
              </w:rPr>
              <w:t>产生量较小，对</w:t>
            </w:r>
            <w:r>
              <w:rPr>
                <w:rFonts w:hint="eastAsia" w:cs="宋体"/>
                <w:kern w:val="2"/>
                <w:sz w:val="24"/>
                <w:szCs w:val="24"/>
                <w:lang w:val="en-US" w:eastAsia="zh-CN" w:bidi="ar"/>
              </w:rPr>
              <w:t>新乡县综合污水处理厂</w:t>
            </w:r>
            <w:r>
              <w:rPr>
                <w:rFonts w:hint="default"/>
                <w:sz w:val="24"/>
              </w:rPr>
              <w:t>不会产生冲击负荷</w:t>
            </w:r>
            <w:r>
              <w:rPr>
                <w:rFonts w:hint="eastAsia"/>
                <w:sz w:val="24"/>
              </w:rPr>
              <w:t>，废水经处理后可达标排放。因此，</w:t>
            </w:r>
            <w:r>
              <w:rPr>
                <w:rFonts w:hint="default"/>
                <w:sz w:val="24"/>
              </w:rPr>
              <w:t>本项目废水</w:t>
            </w:r>
            <w:r>
              <w:rPr>
                <w:rFonts w:hint="eastAsia"/>
                <w:sz w:val="24"/>
              </w:rPr>
              <w:t>接管</w:t>
            </w:r>
            <w:r>
              <w:rPr>
                <w:rFonts w:hint="default"/>
                <w:sz w:val="24"/>
              </w:rPr>
              <w:t>进入</w:t>
            </w:r>
            <w:r>
              <w:rPr>
                <w:rFonts w:hint="eastAsia" w:cs="宋体"/>
                <w:kern w:val="2"/>
                <w:sz w:val="24"/>
                <w:szCs w:val="24"/>
                <w:lang w:val="en-US" w:eastAsia="zh-CN" w:bidi="ar"/>
              </w:rPr>
              <w:t>新乡县综合污水处理厂</w:t>
            </w:r>
            <w:r>
              <w:rPr>
                <w:rFonts w:hint="default"/>
                <w:sz w:val="24"/>
              </w:rPr>
              <w:t>是可行的</w:t>
            </w:r>
            <w:r>
              <w:rPr>
                <w:rFonts w:hint="eastAsia"/>
                <w:sz w:val="24"/>
              </w:rPr>
              <w:t>，</w:t>
            </w:r>
            <w:r>
              <w:rPr>
                <w:rFonts w:hint="default"/>
                <w:sz w:val="24"/>
              </w:rPr>
              <w:t>经处理后尾水可以实现稳定达标排放</w:t>
            </w:r>
            <w:r>
              <w:rPr>
                <w:rFonts w:hint="eastAsia"/>
                <w:sz w:val="24"/>
              </w:rPr>
              <w:t>，</w:t>
            </w:r>
            <w:r>
              <w:rPr>
                <w:rFonts w:hint="default"/>
                <w:sz w:val="24"/>
              </w:rPr>
              <w:t>地表水环境影响可接受。</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eastAsia"/>
                <w:bCs/>
                <w:sz w:val="24"/>
              </w:rPr>
            </w:pPr>
            <w:r>
              <w:rPr>
                <w:rFonts w:hint="eastAsia"/>
                <w:bCs/>
                <w:sz w:val="24"/>
              </w:rPr>
              <w:t>（3）</w:t>
            </w:r>
            <w:r>
              <w:rPr>
                <w:rFonts w:hint="default"/>
                <w:bCs/>
                <w:sz w:val="24"/>
              </w:rPr>
              <w:t>本项目废水类别、污染物及污染治理设施情况见</w:t>
            </w:r>
            <w:r>
              <w:rPr>
                <w:rFonts w:hint="eastAsia"/>
                <w:bCs/>
                <w:sz w:val="24"/>
              </w:rPr>
              <w:t>下表。</w:t>
            </w:r>
          </w:p>
          <w:p>
            <w:pPr>
              <w:keepNext w:val="0"/>
              <w:keepLines w:val="0"/>
              <w:suppressLineNumbers w:val="0"/>
              <w:tabs>
                <w:tab w:val="left" w:pos="3620"/>
              </w:tabs>
              <w:adjustRightInd w:val="0"/>
              <w:snapToGrid w:val="0"/>
              <w:spacing w:before="0" w:beforeAutospacing="0" w:after="0" w:afterAutospacing="0" w:line="440" w:lineRule="exact"/>
              <w:ind w:left="0" w:right="0"/>
              <w:jc w:val="center"/>
              <w:rPr>
                <w:rFonts w:hint="eastAsia" w:ascii="宋体" w:hAnsi="宋体" w:eastAsia="宋体" w:cs="宋体"/>
                <w:b/>
                <w:bCs/>
                <w:sz w:val="24"/>
              </w:rPr>
            </w:pPr>
            <w:r>
              <w:rPr>
                <w:rFonts w:hint="default" w:ascii="Times New Roman" w:hAnsi="Times New Roman" w:eastAsia="宋体" w:cs="Times New Roman"/>
                <w:b/>
                <w:bCs/>
                <w:sz w:val="24"/>
              </w:rPr>
              <w:t>表3</w:t>
            </w:r>
            <w:r>
              <w:rPr>
                <w:rFonts w:hint="eastAsia" w:cs="Times New Roman"/>
                <w:b/>
                <w:bCs/>
                <w:sz w:val="24"/>
                <w:lang w:val="en-US" w:eastAsia="zh-CN"/>
              </w:rPr>
              <w:t xml:space="preserve">2  </w:t>
            </w:r>
            <w:r>
              <w:rPr>
                <w:rFonts w:hint="eastAsia" w:ascii="宋体" w:hAnsi="宋体" w:eastAsia="宋体" w:cs="宋体"/>
                <w:b/>
                <w:bCs/>
                <w:sz w:val="24"/>
              </w:rPr>
              <w:t>废水类别、污染物及污染治理设施信息表</w:t>
            </w:r>
          </w:p>
          <w:tbl>
            <w:tblPr>
              <w:tblStyle w:val="22"/>
              <w:tblW w:w="5000"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413"/>
              <w:gridCol w:w="487"/>
              <w:gridCol w:w="850"/>
              <w:gridCol w:w="709"/>
              <w:gridCol w:w="992"/>
              <w:gridCol w:w="851"/>
              <w:gridCol w:w="1134"/>
              <w:gridCol w:w="567"/>
              <w:gridCol w:w="850"/>
              <w:gridCol w:w="1763"/>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序号</w:t>
                  </w:r>
                </w:p>
              </w:tc>
              <w:tc>
                <w:tcPr>
                  <w:tcW w:w="487"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废水类别</w:t>
                  </w:r>
                </w:p>
              </w:tc>
              <w:tc>
                <w:tcPr>
                  <w:tcW w:w="85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污染物种类</w:t>
                  </w:r>
                </w:p>
              </w:tc>
              <w:tc>
                <w:tcPr>
                  <w:tcW w:w="709"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排放</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规律</w:t>
                  </w:r>
                </w:p>
              </w:tc>
              <w:tc>
                <w:tcPr>
                  <w:tcW w:w="2977" w:type="dxa"/>
                  <w:gridSpan w:val="3"/>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污染治理设施</w:t>
                  </w:r>
                </w:p>
              </w:tc>
              <w:tc>
                <w:tcPr>
                  <w:tcW w:w="567"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排放口编号</w:t>
                  </w:r>
                </w:p>
              </w:tc>
              <w:tc>
                <w:tcPr>
                  <w:tcW w:w="850"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排放口设施是否符合要求</w:t>
                  </w:r>
                </w:p>
              </w:tc>
              <w:tc>
                <w:tcPr>
                  <w:tcW w:w="1763" w:type="dxa"/>
                  <w:vMerge w:val="restart"/>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排放口类型</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p>
              </w:tc>
              <w:tc>
                <w:tcPr>
                  <w:tcW w:w="487"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p>
              </w:tc>
              <w:tc>
                <w:tcPr>
                  <w:tcW w:w="85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p>
              </w:tc>
              <w:tc>
                <w:tcPr>
                  <w:tcW w:w="709"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p>
              </w:tc>
              <w:tc>
                <w:tcPr>
                  <w:tcW w:w="992"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污染治理设施编号</w:t>
                  </w:r>
                </w:p>
              </w:tc>
              <w:tc>
                <w:tcPr>
                  <w:tcW w:w="851"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污染治理设施名称</w:t>
                  </w:r>
                </w:p>
              </w:tc>
              <w:tc>
                <w:tcPr>
                  <w:tcW w:w="1134" w:type="dxa"/>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bCs/>
                      <w:sz w:val="21"/>
                      <w:szCs w:val="21"/>
                    </w:rPr>
                  </w:pPr>
                  <w:r>
                    <w:rPr>
                      <w:rFonts w:hint="default" w:hAnsi="宋体"/>
                      <w:b/>
                      <w:bCs/>
                      <w:sz w:val="21"/>
                      <w:szCs w:val="21"/>
                    </w:rPr>
                    <w:t>污染治理设施工艺</w:t>
                  </w:r>
                </w:p>
              </w:tc>
              <w:tc>
                <w:tcPr>
                  <w:tcW w:w="567"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p>
              </w:tc>
              <w:tc>
                <w:tcPr>
                  <w:tcW w:w="850"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p>
              </w:tc>
              <w:tc>
                <w:tcPr>
                  <w:tcW w:w="1763" w:type="dxa"/>
                  <w:vMerge w:val="continue"/>
                  <w:tcBorders>
                    <w:tl2br w:val="nil"/>
                    <w:tr2bl w:val="nil"/>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97" w:hRule="atLeast"/>
                <w:jc w:val="center"/>
              </w:trPr>
              <w:tc>
                <w:tcPr>
                  <w:tcW w:w="413" w:type="dxa"/>
                  <w:tcBorders>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bCs/>
                      <w:sz w:val="21"/>
                      <w:szCs w:val="21"/>
                    </w:rPr>
                    <w:t>1</w:t>
                  </w:r>
                </w:p>
              </w:tc>
              <w:tc>
                <w:tcPr>
                  <w:tcW w:w="487"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生活</w:t>
                  </w:r>
                  <w:r>
                    <w:rPr>
                      <w:rFonts w:hint="eastAsia" w:hAnsi="宋体"/>
                      <w:bCs/>
                      <w:sz w:val="21"/>
                      <w:szCs w:val="21"/>
                    </w:rPr>
                    <w:t>污水</w:t>
                  </w:r>
                </w:p>
              </w:tc>
              <w:tc>
                <w:tcPr>
                  <w:tcW w:w="850"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bCs/>
                      <w:sz w:val="21"/>
                      <w:szCs w:val="21"/>
                    </w:rPr>
                    <w:t>COD</w:t>
                  </w:r>
                  <w:r>
                    <w:rPr>
                      <w:rFonts w:hint="default" w:hAnsi="宋体"/>
                      <w:bCs/>
                      <w:sz w:val="21"/>
                      <w:szCs w:val="21"/>
                    </w:rPr>
                    <w:t>、</w:t>
                  </w:r>
                  <w:r>
                    <w:rPr>
                      <w:rFonts w:hint="default"/>
                      <w:bCs/>
                      <w:sz w:val="21"/>
                      <w:szCs w:val="21"/>
                    </w:rPr>
                    <w:t>SS</w:t>
                  </w:r>
                  <w:r>
                    <w:rPr>
                      <w:rFonts w:hint="default" w:hAnsi="宋体"/>
                      <w:bCs/>
                      <w:sz w:val="21"/>
                      <w:szCs w:val="21"/>
                    </w:rPr>
                    <w:t>、氨氮、</w:t>
                  </w:r>
                  <w:r>
                    <w:rPr>
                      <w:rFonts w:hint="default"/>
                      <w:bCs/>
                      <w:sz w:val="21"/>
                      <w:szCs w:val="21"/>
                    </w:rPr>
                    <w:t>TN</w:t>
                  </w:r>
                  <w:r>
                    <w:rPr>
                      <w:rFonts w:hint="default" w:hAnsi="宋体"/>
                      <w:bCs/>
                      <w:sz w:val="21"/>
                      <w:szCs w:val="21"/>
                    </w:rPr>
                    <w:t>、</w:t>
                  </w:r>
                  <w:r>
                    <w:rPr>
                      <w:rFonts w:hint="default"/>
                      <w:bCs/>
                      <w:sz w:val="21"/>
                      <w:szCs w:val="21"/>
                    </w:rPr>
                    <w:t>TP</w:t>
                  </w:r>
                </w:p>
              </w:tc>
              <w:tc>
                <w:tcPr>
                  <w:tcW w:w="709"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eastAsia" w:hAnsi="宋体"/>
                      <w:sz w:val="21"/>
                      <w:szCs w:val="21"/>
                    </w:rPr>
                    <w:t>间接排放流量不稳定</w:t>
                  </w:r>
                </w:p>
              </w:tc>
              <w:tc>
                <w:tcPr>
                  <w:tcW w:w="992"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TW001</w:t>
                  </w:r>
                </w:p>
              </w:tc>
              <w:tc>
                <w:tcPr>
                  <w:tcW w:w="851"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eastAsia" w:hAnsi="宋体"/>
                      <w:sz w:val="21"/>
                      <w:szCs w:val="21"/>
                    </w:rPr>
                    <w:t>化粪池</w:t>
                  </w:r>
                </w:p>
              </w:tc>
              <w:tc>
                <w:tcPr>
                  <w:tcW w:w="1134"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eastAsia" w:hAnsi="宋体"/>
                      <w:sz w:val="21"/>
                      <w:szCs w:val="21"/>
                    </w:rPr>
                    <w:t>化粪池</w:t>
                  </w:r>
                </w:p>
              </w:tc>
              <w:tc>
                <w:tcPr>
                  <w:tcW w:w="567"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bCs/>
                      <w:sz w:val="21"/>
                      <w:szCs w:val="21"/>
                    </w:rPr>
                    <w:t>DW001</w:t>
                  </w:r>
                </w:p>
              </w:tc>
              <w:tc>
                <w:tcPr>
                  <w:tcW w:w="850" w:type="dxa"/>
                  <w:tcBorders>
                    <w:left w:val="single" w:color="000000" w:sz="4" w:space="0"/>
                    <w:righ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是</w:t>
                  </w:r>
                </w:p>
              </w:tc>
              <w:tc>
                <w:tcPr>
                  <w:tcW w:w="1763" w:type="dxa"/>
                  <w:tcBorders>
                    <w:left w:val="single" w:color="000000"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bCs/>
                      <w:sz w:val="21"/>
                      <w:szCs w:val="21"/>
                    </w:rPr>
                    <w:t>■</w:t>
                  </w:r>
                  <w:r>
                    <w:rPr>
                      <w:rFonts w:hint="default" w:hAnsi="宋体"/>
                      <w:bCs/>
                      <w:sz w:val="21"/>
                      <w:szCs w:val="21"/>
                    </w:rPr>
                    <w:t>企业总排口</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口雨水排放口</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口清静下水排放口</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口温排水排放口</w:t>
                  </w:r>
                </w:p>
                <w:p>
                  <w:pPr>
                    <w:keepNext w:val="0"/>
                    <w:keepLines w:val="0"/>
                    <w:suppressLineNumbers w:val="0"/>
                    <w:tabs>
                      <w:tab w:val="left" w:pos="3620"/>
                    </w:tabs>
                    <w:adjustRightInd w:val="0"/>
                    <w:snapToGrid w:val="0"/>
                    <w:spacing w:before="0" w:beforeAutospacing="0" w:after="0" w:afterAutospacing="0"/>
                    <w:ind w:left="0" w:right="0"/>
                    <w:jc w:val="center"/>
                    <w:rPr>
                      <w:rFonts w:hint="default"/>
                      <w:bCs/>
                      <w:sz w:val="21"/>
                      <w:szCs w:val="21"/>
                    </w:rPr>
                  </w:pPr>
                  <w:r>
                    <w:rPr>
                      <w:rFonts w:hint="default" w:hAnsi="宋体"/>
                      <w:bCs/>
                      <w:sz w:val="21"/>
                      <w:szCs w:val="21"/>
                    </w:rPr>
                    <w:t>口车间或车间处理设施排放口</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bCs/>
                <w:sz w:val="24"/>
              </w:rPr>
            </w:pPr>
            <w:r>
              <w:rPr>
                <w:rFonts w:hint="eastAsia"/>
                <w:bCs/>
                <w:sz w:val="24"/>
              </w:rPr>
              <w:t>（4）本项目废水污染物排放执行标准见下</w:t>
            </w:r>
            <w:r>
              <w:rPr>
                <w:rFonts w:hint="default"/>
                <w:bCs/>
                <w:sz w:val="24"/>
              </w:rPr>
              <w:t>表。</w:t>
            </w:r>
          </w:p>
          <w:p>
            <w:pPr>
              <w:keepNext w:val="0"/>
              <w:keepLines w:val="0"/>
              <w:suppressLineNumbers w:val="0"/>
              <w:tabs>
                <w:tab w:val="left" w:pos="3620"/>
              </w:tabs>
              <w:adjustRightInd w:val="0"/>
              <w:snapToGrid w:val="0"/>
              <w:spacing w:before="0" w:beforeAutospacing="0" w:after="0" w:afterAutospacing="0" w:line="440" w:lineRule="exact"/>
              <w:ind w:left="0" w:right="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w:t>
            </w:r>
            <w:r>
              <w:rPr>
                <w:rFonts w:hint="eastAsia" w:cs="Times New Roman"/>
                <w:b/>
                <w:bCs/>
                <w:sz w:val="24"/>
                <w:lang w:val="en-US" w:eastAsia="zh-CN"/>
              </w:rPr>
              <w:t xml:space="preserve">3  </w:t>
            </w:r>
            <w:r>
              <w:rPr>
                <w:rFonts w:hint="default" w:ascii="Times New Roman" w:hAnsi="Times New Roman" w:eastAsia="宋体" w:cs="Times New Roman"/>
                <w:b/>
                <w:bCs/>
                <w:sz w:val="24"/>
              </w:rPr>
              <w:t>废水污染物排放执行标准表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930"/>
              <w:gridCol w:w="960"/>
              <w:gridCol w:w="4350"/>
              <w:gridCol w:w="1771"/>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vMerge w:val="restart"/>
                  <w:tcBorders>
                    <w:top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序号</w:t>
                  </w:r>
                </w:p>
              </w:tc>
              <w:tc>
                <w:tcPr>
                  <w:tcW w:w="930"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排放口编号</w:t>
                  </w:r>
                </w:p>
              </w:tc>
              <w:tc>
                <w:tcPr>
                  <w:tcW w:w="960"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污染物种类</w:t>
                  </w:r>
                </w:p>
              </w:tc>
              <w:tc>
                <w:tcPr>
                  <w:tcW w:w="6121" w:type="dxa"/>
                  <w:gridSpan w:val="2"/>
                  <w:tcBorders>
                    <w:top w:val="single" w:color="auto" w:sz="8" w:space="0"/>
                    <w:left w:val="single" w:color="auto" w:sz="8" w:space="0"/>
                    <w:bottom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国家或地方污染物排放标准及其他按规定商定的排放协议</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vMerge w:val="continue"/>
                  <w:tcBorders>
                    <w:top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p>
              </w:tc>
              <w:tc>
                <w:tcPr>
                  <w:tcW w:w="930"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p>
              </w:tc>
              <w:tc>
                <w:tcPr>
                  <w:tcW w:w="960"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p>
              </w:tc>
              <w:tc>
                <w:tcPr>
                  <w:tcW w:w="435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名称</w:t>
                  </w:r>
                </w:p>
              </w:tc>
              <w:tc>
                <w:tcPr>
                  <w:tcW w:w="1771" w:type="dxa"/>
                  <w:tcBorders>
                    <w:top w:val="single" w:color="auto" w:sz="8" w:space="0"/>
                    <w:left w:val="single" w:color="auto" w:sz="8" w:space="0"/>
                    <w:bottom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浓度限值（</w:t>
                  </w:r>
                  <w:r>
                    <w:rPr>
                      <w:rFonts w:hint="default"/>
                      <w:b/>
                      <w:sz w:val="21"/>
                      <w:szCs w:val="21"/>
                    </w:rPr>
                    <w:t>mg/L</w:t>
                  </w:r>
                  <w:r>
                    <w:rPr>
                      <w:rFonts w:hint="default" w:hAnsi="宋体"/>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1</w:t>
                  </w:r>
                </w:p>
              </w:tc>
              <w:tc>
                <w:tcPr>
                  <w:tcW w:w="930" w:type="dxa"/>
                  <w:vMerge w:val="restar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bCs/>
                      <w:sz w:val="21"/>
                      <w:szCs w:val="21"/>
                    </w:rPr>
                    <w:t>DW001</w:t>
                  </w:r>
                </w:p>
              </w:tc>
              <w:tc>
                <w:tcPr>
                  <w:tcW w:w="960" w:type="dxa"/>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COD</w:t>
                  </w:r>
                </w:p>
              </w:tc>
              <w:tc>
                <w:tcPr>
                  <w:tcW w:w="4350" w:type="dxa"/>
                  <w:vMerge w:val="restar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eastAsia" w:cs="Times New Roman"/>
                      <w:i w:val="0"/>
                      <w:iCs w:val="0"/>
                      <w:color w:val="000000"/>
                      <w:kern w:val="0"/>
                      <w:sz w:val="21"/>
                      <w:szCs w:val="21"/>
                      <w:u w:val="none"/>
                      <w:lang w:val="en-US" w:eastAsia="zh-CN" w:bidi="ar"/>
                    </w:rPr>
                    <w:t>新乡县综合污水处理厂</w:t>
                  </w:r>
                  <w:r>
                    <w:rPr>
                      <w:rFonts w:hint="eastAsia" w:ascii="Times New Roman" w:hAnsi="Times New Roman" w:eastAsia="宋体" w:cs="Times New Roman"/>
                      <w:i w:val="0"/>
                      <w:iCs w:val="0"/>
                      <w:color w:val="000000"/>
                      <w:kern w:val="0"/>
                      <w:sz w:val="21"/>
                      <w:szCs w:val="21"/>
                      <w:u w:val="none"/>
                      <w:lang w:val="en-US" w:eastAsia="zh-CN" w:bidi="ar"/>
                    </w:rPr>
                    <w:t>收水标准</w:t>
                  </w:r>
                </w:p>
              </w:tc>
              <w:tc>
                <w:tcPr>
                  <w:tcW w:w="1771" w:type="dxa"/>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400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2</w:t>
                  </w:r>
                </w:p>
              </w:tc>
              <w:tc>
                <w:tcPr>
                  <w:tcW w:w="93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960"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SS</w:t>
                  </w:r>
                </w:p>
              </w:tc>
              <w:tc>
                <w:tcPr>
                  <w:tcW w:w="435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7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180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3</w:t>
                  </w:r>
                </w:p>
              </w:tc>
              <w:tc>
                <w:tcPr>
                  <w:tcW w:w="93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960"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435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7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59</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4</w:t>
                  </w:r>
                </w:p>
              </w:tc>
              <w:tc>
                <w:tcPr>
                  <w:tcW w:w="93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960"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TP</w:t>
                  </w:r>
                </w:p>
              </w:tc>
              <w:tc>
                <w:tcPr>
                  <w:tcW w:w="435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7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val="en-US" w:eastAsia="zh-CN"/>
                    </w:rPr>
                    <w:t>4</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5"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5</w:t>
                  </w:r>
                </w:p>
              </w:tc>
              <w:tc>
                <w:tcPr>
                  <w:tcW w:w="93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960"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TN</w:t>
                  </w:r>
                </w:p>
              </w:tc>
              <w:tc>
                <w:tcPr>
                  <w:tcW w:w="435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7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70</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bCs/>
                <w:sz w:val="24"/>
              </w:rPr>
            </w:pPr>
            <w:r>
              <w:rPr>
                <w:rFonts w:hint="default"/>
                <w:bCs/>
                <w:sz w:val="24"/>
              </w:rPr>
              <w:t>（</w:t>
            </w:r>
            <w:r>
              <w:rPr>
                <w:rFonts w:hint="eastAsia"/>
                <w:bCs/>
                <w:sz w:val="24"/>
              </w:rPr>
              <w:t>5）</w:t>
            </w:r>
            <w:r>
              <w:rPr>
                <w:rFonts w:hint="default"/>
                <w:bCs/>
                <w:sz w:val="24"/>
              </w:rPr>
              <w:t>水污染物排放量核算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ascii="宋体" w:hAnsi="宋体" w:eastAsia="宋体" w:cs="宋体"/>
              </w:rPr>
            </w:pPr>
            <w:r>
              <w:rPr>
                <w:rFonts w:hint="default"/>
                <w:bCs/>
                <w:sz w:val="24"/>
              </w:rPr>
              <w:t>本项目废水污染物排放信息见</w:t>
            </w:r>
            <w:r>
              <w:rPr>
                <w:rFonts w:hint="eastAsia"/>
                <w:bCs/>
                <w:sz w:val="24"/>
              </w:rPr>
              <w:t>下表</w:t>
            </w:r>
            <w:r>
              <w:rPr>
                <w:rFonts w:hint="default"/>
                <w:bCs/>
                <w:sz w:val="24"/>
              </w:rPr>
              <w:t>。</w:t>
            </w:r>
          </w:p>
          <w:p>
            <w:pPr>
              <w:keepNext w:val="0"/>
              <w:keepLines w:val="0"/>
              <w:suppressLineNumbers w:val="0"/>
              <w:tabs>
                <w:tab w:val="left" w:pos="3620"/>
              </w:tabs>
              <w:adjustRightInd w:val="0"/>
              <w:snapToGrid w:val="0"/>
              <w:spacing w:before="0" w:beforeAutospacing="0" w:after="0" w:afterAutospacing="0" w:line="440" w:lineRule="exact"/>
              <w:ind w:left="0" w:right="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表3</w:t>
            </w:r>
            <w:r>
              <w:rPr>
                <w:rFonts w:hint="eastAsia" w:cs="Times New Roman"/>
                <w:b/>
                <w:bCs/>
                <w:sz w:val="24"/>
                <w:lang w:val="en-US" w:eastAsia="zh-CN"/>
              </w:rPr>
              <w:t xml:space="preserve">4  </w:t>
            </w:r>
            <w:r>
              <w:rPr>
                <w:rFonts w:hint="default" w:ascii="Times New Roman" w:hAnsi="Times New Roman" w:eastAsia="宋体" w:cs="Times New Roman"/>
                <w:b/>
                <w:bCs/>
                <w:sz w:val="24"/>
              </w:rPr>
              <w:t>废水污染物排放信息表</w:t>
            </w:r>
          </w:p>
          <w:tbl>
            <w:tblPr>
              <w:tblStyle w:val="22"/>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560"/>
              <w:gridCol w:w="1701"/>
              <w:gridCol w:w="2409"/>
              <w:gridCol w:w="1763"/>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tcBorders>
                    <w:top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序号</w:t>
                  </w:r>
                </w:p>
              </w:tc>
              <w:tc>
                <w:tcPr>
                  <w:tcW w:w="1560"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排放口编号</w:t>
                  </w:r>
                </w:p>
              </w:tc>
              <w:tc>
                <w:tcPr>
                  <w:tcW w:w="1701"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污染物种类</w:t>
                  </w:r>
                </w:p>
              </w:tc>
              <w:tc>
                <w:tcPr>
                  <w:tcW w:w="2409"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排放浓度（</w:t>
                  </w:r>
                  <w:r>
                    <w:rPr>
                      <w:rFonts w:hint="default"/>
                      <w:b/>
                      <w:sz w:val="21"/>
                      <w:szCs w:val="21"/>
                    </w:rPr>
                    <w:t>mg/L</w:t>
                  </w:r>
                  <w:r>
                    <w:rPr>
                      <w:rFonts w:hint="default" w:hAnsi="宋体"/>
                      <w:b/>
                      <w:sz w:val="21"/>
                      <w:szCs w:val="21"/>
                    </w:rPr>
                    <w:t>）</w:t>
                  </w:r>
                </w:p>
              </w:tc>
              <w:tc>
                <w:tcPr>
                  <w:tcW w:w="1763" w:type="dxa"/>
                  <w:tcBorders>
                    <w:top w:val="single" w:color="auto" w:sz="8" w:space="0"/>
                    <w:left w:val="single" w:color="auto" w:sz="8" w:space="0"/>
                    <w:bottom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sz w:val="21"/>
                      <w:szCs w:val="21"/>
                    </w:rPr>
                  </w:pPr>
                  <w:r>
                    <w:rPr>
                      <w:rFonts w:hint="default" w:hAnsi="宋体"/>
                      <w:b/>
                      <w:sz w:val="21"/>
                      <w:szCs w:val="21"/>
                    </w:rPr>
                    <w:t>年排放量</w:t>
                  </w:r>
                  <w:r>
                    <w:rPr>
                      <w:rFonts w:hint="default"/>
                      <w:b/>
                      <w:sz w:val="21"/>
                      <w:szCs w:val="21"/>
                    </w:rPr>
                    <w:t>/</w:t>
                  </w:r>
                  <w:r>
                    <w:rPr>
                      <w:rFonts w:hint="default" w:hAnsi="宋体"/>
                      <w:b/>
                      <w:sz w:val="21"/>
                      <w:szCs w:val="21"/>
                    </w:rPr>
                    <w:t>（</w:t>
                  </w:r>
                  <w:r>
                    <w:rPr>
                      <w:rFonts w:hint="default"/>
                      <w:b/>
                      <w:sz w:val="21"/>
                      <w:szCs w:val="21"/>
                    </w:rPr>
                    <w:t>t/a</w:t>
                  </w:r>
                  <w:r>
                    <w:rPr>
                      <w:rFonts w:hint="default" w:hAnsi="宋体"/>
                      <w:b/>
                      <w:sz w:val="21"/>
                      <w:szCs w:val="21"/>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tcBorders>
                    <w:top w:val="single" w:color="auto" w:sz="8" w:space="0"/>
                    <w:bottom w:val="single" w:color="auto"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1</w:t>
                  </w:r>
                </w:p>
              </w:tc>
              <w:tc>
                <w:tcPr>
                  <w:tcW w:w="1560" w:type="dxa"/>
                  <w:vMerge w:val="restar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bCs/>
                      <w:sz w:val="21"/>
                      <w:szCs w:val="21"/>
                    </w:rPr>
                    <w:t>DW001</w:t>
                  </w:r>
                </w:p>
              </w:tc>
              <w:tc>
                <w:tcPr>
                  <w:tcW w:w="1701" w:type="dxa"/>
                  <w:tcBorders>
                    <w:top w:val="single" w:color="auto" w:sz="8" w:space="0"/>
                    <w:bottom w:val="single" w:color="auto"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COD</w:t>
                  </w:r>
                </w:p>
              </w:tc>
              <w:tc>
                <w:tcPr>
                  <w:tcW w:w="2409" w:type="dxa"/>
                  <w:tcBorders>
                    <w:top w:val="single" w:color="auto" w:sz="8" w:space="0"/>
                    <w:bottom w:val="single" w:color="auto"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250</w:t>
                  </w:r>
                </w:p>
              </w:tc>
              <w:tc>
                <w:tcPr>
                  <w:tcW w:w="1763" w:type="dxa"/>
                  <w:tcBorders>
                    <w:top w:val="single" w:color="auto" w:sz="8" w:space="0"/>
                    <w:bottom w:val="single" w:color="auto" w:sz="4"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0.036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2</w:t>
                  </w:r>
                </w:p>
              </w:tc>
              <w:tc>
                <w:tcPr>
                  <w:tcW w:w="156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SS</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180</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0.026</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3</w:t>
                  </w:r>
                </w:p>
              </w:tc>
              <w:tc>
                <w:tcPr>
                  <w:tcW w:w="156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20</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4</w:t>
                  </w:r>
                </w:p>
              </w:tc>
              <w:tc>
                <w:tcPr>
                  <w:tcW w:w="156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TP</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sz w:val="21"/>
                      <w:szCs w:val="21"/>
                      <w:lang w:eastAsia="zh-CN"/>
                    </w:rPr>
                  </w:pPr>
                  <w:r>
                    <w:rPr>
                      <w:rFonts w:hint="eastAsia"/>
                      <w:sz w:val="21"/>
                      <w:szCs w:val="21"/>
                      <w:lang w:val="en-US" w:eastAsia="zh-CN"/>
                    </w:rPr>
                    <w:t>2</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0.0003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5</w:t>
                  </w:r>
                </w:p>
              </w:tc>
              <w:tc>
                <w:tcPr>
                  <w:tcW w:w="1560" w:type="dxa"/>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TN</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30</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0.0045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3" w:type="dxa"/>
                  <w:gridSpan w:val="2"/>
                  <w:vMerge w:val="restart"/>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hAnsi="宋体"/>
                      <w:sz w:val="21"/>
                      <w:szCs w:val="21"/>
                    </w:rPr>
                    <w:t>全厂排放口合计</w:t>
                  </w: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hAnsi="宋体"/>
                      <w:sz w:val="21"/>
                      <w:szCs w:val="21"/>
                    </w:rPr>
                  </w:pPr>
                  <w:r>
                    <w:rPr>
                      <w:rFonts w:hint="default"/>
                      <w:sz w:val="21"/>
                      <w:szCs w:val="21"/>
                    </w:rPr>
                    <w:t>COD</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40</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58</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3" w:type="dxa"/>
                  <w:gridSpan w:val="2"/>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SS</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10</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15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3" w:type="dxa"/>
                  <w:gridSpan w:val="2"/>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NH</w:t>
                  </w:r>
                  <w:r>
                    <w:rPr>
                      <w:rFonts w:hint="default"/>
                      <w:sz w:val="21"/>
                      <w:szCs w:val="21"/>
                      <w:vertAlign w:val="subscript"/>
                    </w:rPr>
                    <w:t>3</w:t>
                  </w:r>
                  <w:r>
                    <w:rPr>
                      <w:rFonts w:hint="default"/>
                      <w:sz w:val="21"/>
                      <w:szCs w:val="21"/>
                    </w:rPr>
                    <w:t>-N</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lang w:val="en-US" w:eastAsia="zh-CN"/>
                    </w:rPr>
                    <w:t>2</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sz w:val="21"/>
                      <w:szCs w:val="21"/>
                      <w:lang w:val="en-US" w:eastAsia="zh-CN"/>
                    </w:rPr>
                  </w:pPr>
                  <w:r>
                    <w:rPr>
                      <w:rFonts w:hint="eastAsia"/>
                      <w:sz w:val="21"/>
                      <w:szCs w:val="21"/>
                    </w:rPr>
                    <w:t>0.000</w:t>
                  </w:r>
                  <w:r>
                    <w:rPr>
                      <w:rFonts w:hint="eastAsia"/>
                      <w:sz w:val="21"/>
                      <w:szCs w:val="21"/>
                      <w:lang w:val="en-US" w:eastAsia="zh-CN"/>
                    </w:rPr>
                    <w:t>3</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3" w:type="dxa"/>
                  <w:gridSpan w:val="2"/>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TP</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0.4</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0.000</w:t>
                  </w:r>
                  <w:r>
                    <w:rPr>
                      <w:rFonts w:hint="eastAsia"/>
                      <w:sz w:val="21"/>
                      <w:szCs w:val="21"/>
                      <w:lang w:val="en-US" w:eastAsia="zh-CN"/>
                    </w:rPr>
                    <w:t>05</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43" w:type="dxa"/>
                  <w:gridSpan w:val="2"/>
                  <w:vMerge w:val="continue"/>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p>
              </w:tc>
              <w:tc>
                <w:tcPr>
                  <w:tcW w:w="1701"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sz w:val="21"/>
                      <w:szCs w:val="21"/>
                    </w:rPr>
                  </w:pPr>
                  <w:r>
                    <w:rPr>
                      <w:rFonts w:hint="default"/>
                      <w:sz w:val="21"/>
                      <w:szCs w:val="21"/>
                    </w:rPr>
                    <w:t>TN</w:t>
                  </w:r>
                </w:p>
              </w:tc>
              <w:tc>
                <w:tcPr>
                  <w:tcW w:w="240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15</w:t>
                  </w:r>
                </w:p>
              </w:tc>
              <w:tc>
                <w:tcPr>
                  <w:tcW w:w="176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22</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2" w:firstLineChars="200"/>
              <w:rPr>
                <w:rFonts w:hint="default"/>
                <w:bCs/>
                <w:sz w:val="24"/>
              </w:rPr>
            </w:pPr>
            <w:r>
              <w:rPr>
                <w:rFonts w:hint="eastAsia" w:hAnsi="宋体"/>
                <w:b/>
                <w:sz w:val="24"/>
              </w:rPr>
              <w:t>三、噪声</w:t>
            </w:r>
          </w:p>
          <w:p>
            <w:pPr>
              <w:keepNext w:val="0"/>
              <w:keepLines w:val="0"/>
              <w:suppressLineNumbers w:val="0"/>
              <w:adjustRightInd w:val="0"/>
              <w:snapToGrid w:val="0"/>
              <w:spacing w:before="0" w:beforeAutospacing="0" w:after="0" w:afterAutospacing="0" w:line="420" w:lineRule="exact"/>
              <w:ind w:left="0" w:right="0" w:firstLine="480"/>
              <w:jc w:val="left"/>
              <w:textAlignment w:val="baseline"/>
              <w:rPr>
                <w:rFonts w:hint="eastAsia"/>
                <w:sz w:val="24"/>
              </w:rPr>
            </w:pPr>
            <w:r>
              <w:rPr>
                <w:rFonts w:hint="default"/>
                <w:sz w:val="24"/>
              </w:rPr>
              <w:t>本项目高噪声源主要为</w:t>
            </w:r>
            <w:r>
              <w:rPr>
                <w:rFonts w:hint="eastAsia"/>
                <w:sz w:val="24"/>
                <w:lang w:val="en-US" w:eastAsia="zh-CN"/>
              </w:rPr>
              <w:t>机械设备产生的噪声</w:t>
            </w:r>
            <w:r>
              <w:rPr>
                <w:rFonts w:hint="default"/>
                <w:sz w:val="24"/>
              </w:rPr>
              <w:t>，经类比《环境噪声与振动控制工程技术导则》（HJ2034-2013）附录A常见噪声源及其声功率级，本项目主要生产设备声功率级在</w:t>
            </w:r>
            <w:r>
              <w:rPr>
                <w:rFonts w:hint="eastAsia"/>
                <w:sz w:val="24"/>
                <w:lang w:val="en-US" w:eastAsia="zh-CN"/>
              </w:rPr>
              <w:t>85-95</w:t>
            </w:r>
            <w:r>
              <w:rPr>
                <w:rFonts w:hint="default"/>
                <w:sz w:val="24"/>
              </w:rPr>
              <w:t>dB（A）之间，其噪声源强拟采取隔声、减振、消声等降噪措施。根据《环境影响评价技术导则声环境》（HJ2.4-2021），工业声源应按照室内声源计算。</w:t>
            </w:r>
          </w:p>
          <w:p>
            <w:pPr>
              <w:keepNext w:val="0"/>
              <w:keepLines w:val="0"/>
              <w:suppressLineNumbers w:val="0"/>
              <w:spacing w:before="0" w:beforeAutospacing="0" w:after="0" w:afterAutospacing="0" w:line="420" w:lineRule="exact"/>
              <w:ind w:left="0" w:right="0" w:firstLine="480"/>
              <w:jc w:val="left"/>
              <w:rPr>
                <w:rFonts w:hint="default"/>
                <w:sz w:val="24"/>
              </w:rPr>
            </w:pPr>
            <w:r>
              <w:rPr>
                <w:rFonts w:hint="default"/>
                <w:sz w:val="24"/>
              </w:rPr>
              <w:t>声源位于室内，室内声源可采用等效室外声源声功率级法进行计算。设靠近开口处（或窗户）室内、室外某倍频带的声压级或A声级分别为Lp1和Lp2。</w:t>
            </w:r>
          </w:p>
          <w:p>
            <w:pPr>
              <w:keepNext w:val="0"/>
              <w:keepLines w:val="0"/>
              <w:suppressLineNumbers w:val="0"/>
              <w:spacing w:before="0" w:beforeAutospacing="0" w:after="0" w:afterAutospacing="0" w:line="420" w:lineRule="exact"/>
              <w:ind w:left="0" w:right="0" w:firstLine="480"/>
              <w:jc w:val="left"/>
              <w:rPr>
                <w:rFonts w:hint="default"/>
                <w:sz w:val="24"/>
              </w:rPr>
            </w:pPr>
            <w:r>
              <w:rPr>
                <w:rFonts w:hint="default"/>
                <w:sz w:val="24"/>
              </w:rPr>
              <w:t>计算某一室内声源靠近围护结构处产生的倍频带声压级或A声级公式如下：</w:t>
            </w:r>
          </w:p>
          <w:p>
            <w:pPr>
              <w:keepNext w:val="0"/>
              <w:keepLines w:val="0"/>
              <w:suppressLineNumbers w:val="0"/>
              <w:spacing w:before="0" w:beforeAutospacing="0" w:after="0" w:afterAutospacing="0" w:line="360" w:lineRule="auto"/>
              <w:ind w:left="0" w:right="0"/>
              <w:jc w:val="center"/>
              <w:rPr>
                <w:rFonts w:hint="default"/>
                <w:sz w:val="28"/>
                <w:szCs w:val="28"/>
              </w:rPr>
            </w:pPr>
            <w:r>
              <w:rPr>
                <w:rFonts w:hint="default" w:ascii="Times New Roman" w:hAnsi="Times New Roman" w:eastAsia="黑体" w:cs="Times New Roman"/>
                <w:sz w:val="28"/>
                <w:szCs w:val="28"/>
              </w:rPr>
              <w:t>L</w:t>
            </w:r>
            <w:r>
              <w:rPr>
                <w:rFonts w:hint="default" w:ascii="Times New Roman" w:hAnsi="Times New Roman" w:eastAsia="黑体" w:cs="Times New Roman"/>
                <w:sz w:val="28"/>
                <w:szCs w:val="28"/>
                <w:vertAlign w:val="subscript"/>
              </w:rPr>
              <w:t>p1</w:t>
            </w:r>
            <w:r>
              <w:rPr>
                <w:rFonts w:hint="default" w:ascii="Times New Roman" w:hAnsi="Times New Roman" w:eastAsia="黑体" w:cs="Times New Roman"/>
                <w:sz w:val="28"/>
                <w:szCs w:val="28"/>
              </w:rPr>
              <w:t>=L</w:t>
            </w:r>
            <w:r>
              <w:rPr>
                <w:rFonts w:hint="default" w:ascii="Times New Roman" w:hAnsi="Times New Roman" w:eastAsia="黑体" w:cs="Times New Roman"/>
                <w:sz w:val="28"/>
                <w:szCs w:val="28"/>
                <w:vertAlign w:val="subscript"/>
              </w:rPr>
              <w:t>w1</w:t>
            </w:r>
            <w:r>
              <w:rPr>
                <w:rFonts w:hint="default" w:ascii="Times New Roman" w:hAnsi="Times New Roman" w:eastAsia="黑体" w:cs="Times New Roman"/>
                <w:sz w:val="28"/>
                <w:szCs w:val="28"/>
              </w:rPr>
              <w:t>+10lg</w:t>
            </w:r>
            <m:oMath>
              <m:d>
                <m:dPr>
                  <m:begChr m:val="{"/>
                  <m:endChr m:val="}"/>
                  <m:ctrlPr>
                    <w:rPr>
                      <w:rFonts w:hint="default" w:ascii="Cambria Math" w:hAnsi="Cambria Math" w:eastAsia="黑体" w:cs="Times New Roman"/>
                      <w:color w:val="000000"/>
                      <w:kern w:val="0"/>
                      <w:sz w:val="28"/>
                      <w:szCs w:val="28"/>
                    </w:rPr>
                  </m:ctrlPr>
                </m:dPr>
                <m:e>
                  <m:f>
                    <m:fPr>
                      <m:ctrlPr>
                        <w:rPr>
                          <w:rFonts w:hint="default" w:ascii="Cambria Math" w:hAnsi="Cambria Math" w:eastAsia="黑体" w:cs="Times New Roman"/>
                          <w:i/>
                          <w:color w:val="000000"/>
                          <w:kern w:val="0"/>
                          <w:sz w:val="28"/>
                          <w:szCs w:val="28"/>
                        </w:rPr>
                      </m:ctrlPr>
                    </m:fPr>
                    <m:num>
                      <m:r>
                        <m:rPr/>
                        <w:rPr>
                          <w:rFonts w:hint="default" w:ascii="Cambria Math" w:hAnsi="Cambria Math" w:eastAsia="黑体" w:cs="Times New Roman"/>
                          <w:sz w:val="28"/>
                          <w:szCs w:val="28"/>
                        </w:rPr>
                        <m:t>Q</m:t>
                      </m:r>
                      <m:ctrlPr>
                        <w:rPr>
                          <w:rFonts w:hint="default" w:ascii="Cambria Math" w:hAnsi="Cambria Math" w:eastAsia="黑体" w:cs="Times New Roman"/>
                          <w:i/>
                          <w:color w:val="000000"/>
                          <w:kern w:val="0"/>
                          <w:sz w:val="28"/>
                          <w:szCs w:val="28"/>
                        </w:rPr>
                      </m:ctrlPr>
                    </m:num>
                    <m:den>
                      <m:r>
                        <m:rPr/>
                        <w:rPr>
                          <w:rFonts w:hint="default" w:ascii="Cambria Math" w:hAnsi="Cambria Math" w:eastAsia="黑体" w:cs="Times New Roman"/>
                          <w:sz w:val="28"/>
                          <w:szCs w:val="28"/>
                        </w:rPr>
                        <m:t>4π</m:t>
                      </m:r>
                      <m:sSup>
                        <m:sSupPr>
                          <m:ctrlPr>
                            <w:rPr>
                              <w:rFonts w:hint="default" w:ascii="Cambria Math" w:hAnsi="Cambria Math" w:eastAsia="黑体" w:cs="Times New Roman"/>
                              <w:i/>
                              <w:color w:val="000000"/>
                              <w:kern w:val="0"/>
                              <w:sz w:val="28"/>
                              <w:szCs w:val="28"/>
                            </w:rPr>
                          </m:ctrlPr>
                        </m:sSupPr>
                        <m:e>
                          <m:r>
                            <m:rPr/>
                            <w:rPr>
                              <w:rFonts w:hint="default" w:ascii="Cambria Math" w:hAnsi="Cambria Math" w:eastAsia="黑体" w:cs="Times New Roman"/>
                              <w:sz w:val="28"/>
                              <w:szCs w:val="28"/>
                            </w:rPr>
                            <m:t>r</m:t>
                          </m:r>
                          <m:ctrlPr>
                            <w:rPr>
                              <w:rFonts w:hint="default" w:ascii="Cambria Math" w:hAnsi="Cambria Math" w:eastAsia="黑体" w:cs="Times New Roman"/>
                              <w:i/>
                              <w:color w:val="000000"/>
                              <w:kern w:val="0"/>
                              <w:sz w:val="28"/>
                              <w:szCs w:val="28"/>
                            </w:rPr>
                          </m:ctrlPr>
                        </m:e>
                        <m:sup>
                          <m:r>
                            <m:rPr/>
                            <w:rPr>
                              <w:rFonts w:hint="default" w:ascii="Cambria Math" w:hAnsi="Cambria Math" w:eastAsia="黑体" w:cs="Times New Roman"/>
                              <w:sz w:val="28"/>
                              <w:szCs w:val="28"/>
                            </w:rPr>
                            <m:t>2</m:t>
                          </m:r>
                          <m:ctrlPr>
                            <w:rPr>
                              <w:rFonts w:hint="default" w:ascii="Cambria Math" w:hAnsi="Cambria Math" w:eastAsia="黑体" w:cs="Times New Roman"/>
                              <w:i/>
                              <w:color w:val="000000"/>
                              <w:kern w:val="0"/>
                              <w:sz w:val="28"/>
                              <w:szCs w:val="28"/>
                            </w:rPr>
                          </m:ctrlPr>
                        </m:sup>
                      </m:sSup>
                      <m:ctrlPr>
                        <w:rPr>
                          <w:rFonts w:hint="default" w:ascii="Cambria Math" w:hAnsi="Cambria Math" w:eastAsia="黑体" w:cs="Times New Roman"/>
                          <w:i/>
                          <w:color w:val="000000"/>
                          <w:kern w:val="0"/>
                          <w:sz w:val="28"/>
                          <w:szCs w:val="28"/>
                        </w:rPr>
                      </m:ctrlPr>
                    </m:den>
                  </m:f>
                  <m:r>
                    <m:rPr/>
                    <w:rPr>
                      <w:rFonts w:hint="default" w:ascii="Cambria Math" w:hAnsi="Cambria Math" w:eastAsia="黑体" w:cs="Times New Roman"/>
                      <w:sz w:val="28"/>
                      <w:szCs w:val="28"/>
                    </w:rPr>
                    <m:t>+</m:t>
                  </m:r>
                  <m:f>
                    <m:fPr>
                      <m:ctrlPr>
                        <w:rPr>
                          <w:rFonts w:hint="default" w:ascii="Cambria Math" w:hAnsi="Cambria Math" w:eastAsia="黑体" w:cs="Times New Roman"/>
                          <w:i/>
                          <w:color w:val="000000"/>
                          <w:kern w:val="0"/>
                          <w:sz w:val="28"/>
                          <w:szCs w:val="28"/>
                        </w:rPr>
                      </m:ctrlPr>
                    </m:fPr>
                    <m:num>
                      <m:r>
                        <m:rPr/>
                        <w:rPr>
                          <w:rFonts w:hint="default" w:ascii="Cambria Math" w:hAnsi="Cambria Math" w:eastAsia="黑体" w:cs="Times New Roman"/>
                          <w:sz w:val="28"/>
                          <w:szCs w:val="28"/>
                        </w:rPr>
                        <m:t>4</m:t>
                      </m:r>
                      <m:ctrlPr>
                        <w:rPr>
                          <w:rFonts w:hint="default" w:ascii="Cambria Math" w:hAnsi="Cambria Math" w:eastAsia="黑体" w:cs="Times New Roman"/>
                          <w:i/>
                          <w:color w:val="000000"/>
                          <w:kern w:val="0"/>
                          <w:sz w:val="28"/>
                          <w:szCs w:val="28"/>
                        </w:rPr>
                      </m:ctrlPr>
                    </m:num>
                    <m:den>
                      <m:r>
                        <m:rPr/>
                        <w:rPr>
                          <w:rFonts w:hint="default" w:ascii="Cambria Math" w:hAnsi="Cambria Math" w:eastAsia="黑体" w:cs="Times New Roman"/>
                          <w:sz w:val="28"/>
                          <w:szCs w:val="28"/>
                        </w:rPr>
                        <m:t>R</m:t>
                      </m:r>
                      <m:ctrlPr>
                        <w:rPr>
                          <w:rFonts w:hint="default" w:ascii="Cambria Math" w:hAnsi="Cambria Math" w:eastAsia="黑体" w:cs="Times New Roman"/>
                          <w:i/>
                          <w:color w:val="000000"/>
                          <w:kern w:val="0"/>
                          <w:sz w:val="28"/>
                          <w:szCs w:val="28"/>
                        </w:rPr>
                      </m:ctrlPr>
                    </m:den>
                  </m:f>
                  <m:ctrlPr>
                    <w:rPr>
                      <w:rFonts w:hint="default" w:ascii="Cambria Math" w:hAnsi="Cambria Math" w:eastAsia="黑体" w:cs="Times New Roman"/>
                      <w:color w:val="000000"/>
                      <w:kern w:val="0"/>
                      <w:sz w:val="28"/>
                      <w:szCs w:val="28"/>
                    </w:rPr>
                  </m:ctrlPr>
                </m:e>
              </m:d>
            </m:oMath>
          </w:p>
          <w:p>
            <w:pPr>
              <w:keepNext w:val="0"/>
              <w:keepLines w:val="0"/>
              <w:suppressLineNumbers w:val="0"/>
              <w:spacing w:before="0" w:beforeAutospacing="0" w:after="0" w:afterAutospacing="0" w:line="440" w:lineRule="exact"/>
              <w:ind w:left="0" w:right="0"/>
              <w:jc w:val="left"/>
              <w:rPr>
                <w:rFonts w:hint="default"/>
                <w:sz w:val="24"/>
              </w:rPr>
            </w:pPr>
            <w:r>
              <w:rPr>
                <w:rFonts w:hint="default"/>
                <w:sz w:val="24"/>
              </w:rPr>
              <w:t>式中：Lp1—靠近开口处（或窗户）室内某倍频带的声压级或A声级，dB；</w:t>
            </w:r>
          </w:p>
          <w:p>
            <w:pPr>
              <w:keepNext w:val="0"/>
              <w:keepLines w:val="0"/>
              <w:suppressLineNumbers w:val="0"/>
              <w:adjustRightInd w:val="0"/>
              <w:snapToGrid w:val="0"/>
              <w:spacing w:before="0" w:beforeAutospacing="0" w:after="0" w:afterAutospacing="0" w:line="440" w:lineRule="exact"/>
              <w:ind w:left="0" w:right="0" w:firstLine="720" w:firstLineChars="300"/>
              <w:jc w:val="left"/>
              <w:textAlignment w:val="baseline"/>
              <w:rPr>
                <w:rFonts w:hint="default"/>
                <w:sz w:val="24"/>
              </w:rPr>
            </w:pPr>
            <w:r>
              <w:rPr>
                <w:rFonts w:hint="default"/>
                <w:sz w:val="24"/>
              </w:rPr>
              <w:t>Lw1—点声源声功率级（A计权或倍频带），dB；</w:t>
            </w:r>
          </w:p>
          <w:p>
            <w:pPr>
              <w:keepNext w:val="0"/>
              <w:keepLines w:val="0"/>
              <w:suppressLineNumbers w:val="0"/>
              <w:adjustRightInd w:val="0"/>
              <w:snapToGrid w:val="0"/>
              <w:spacing w:before="0" w:beforeAutospacing="0" w:after="0" w:afterAutospacing="0" w:line="440" w:lineRule="exact"/>
              <w:ind w:left="0" w:right="0" w:firstLine="720" w:firstLineChars="300"/>
              <w:jc w:val="left"/>
              <w:textAlignment w:val="baseline"/>
              <w:rPr>
                <w:rFonts w:hint="default"/>
                <w:sz w:val="24"/>
              </w:rPr>
            </w:pPr>
            <w:r>
              <w:rPr>
                <w:rFonts w:hint="default"/>
                <w:sz w:val="24"/>
              </w:rPr>
              <w:t>Q—指向性因数；通常对无指向性声源，当声源放在房间中心时，Q=1；当放在一面墙的中心时，Q=2；当放在两面墙夹角处时，Q=4；当放在三面墙夹角处时，Q=8；本项目</w:t>
            </w:r>
            <w:r>
              <w:rPr>
                <w:rFonts w:hint="eastAsia"/>
                <w:sz w:val="24"/>
              </w:rPr>
              <w:t>Q值取4。</w:t>
            </w:r>
          </w:p>
          <w:p>
            <w:pPr>
              <w:keepNext w:val="0"/>
              <w:keepLines w:val="0"/>
              <w:suppressLineNumbers w:val="0"/>
              <w:adjustRightInd w:val="0"/>
              <w:snapToGrid w:val="0"/>
              <w:spacing w:before="0" w:beforeAutospacing="0" w:after="0" w:afterAutospacing="0" w:line="440" w:lineRule="exact"/>
              <w:ind w:left="0" w:right="0" w:firstLine="720" w:firstLineChars="300"/>
              <w:jc w:val="left"/>
              <w:textAlignment w:val="baseline"/>
              <w:rPr>
                <w:rFonts w:hint="default"/>
                <w:sz w:val="24"/>
              </w:rPr>
            </w:pPr>
            <w:r>
              <w:rPr>
                <w:rFonts w:hint="default"/>
                <w:sz w:val="24"/>
              </w:rPr>
              <w:t>R—房间常数；R=Sα/（1-α），S为房间内表面面积，m</w:t>
            </w:r>
            <w:r>
              <w:rPr>
                <w:rFonts w:hint="default"/>
                <w:sz w:val="24"/>
                <w:vertAlign w:val="superscript"/>
              </w:rPr>
              <w:t>2</w:t>
            </w:r>
            <w:r>
              <w:rPr>
                <w:rFonts w:hint="default"/>
                <w:sz w:val="24"/>
              </w:rPr>
              <w:t>；α为平均吸声系数，取平均吸声系数0.</w:t>
            </w:r>
            <w:r>
              <w:rPr>
                <w:rFonts w:hint="eastAsia"/>
                <w:sz w:val="24"/>
              </w:rPr>
              <w:t>4</w:t>
            </w:r>
            <w:r>
              <w:rPr>
                <w:rFonts w:hint="default"/>
                <w:sz w:val="24"/>
              </w:rPr>
              <w:t>；车间内表面面积</w:t>
            </w:r>
            <w:r>
              <w:rPr>
                <w:rFonts w:hint="eastAsia"/>
                <w:sz w:val="24"/>
                <w:lang w:val="en-US" w:eastAsia="zh-CN"/>
              </w:rPr>
              <w:t>3680</w:t>
            </w:r>
            <w:r>
              <w:rPr>
                <w:rFonts w:hint="default"/>
                <w:sz w:val="24"/>
              </w:rPr>
              <w:t>m</w:t>
            </w:r>
            <w:r>
              <w:rPr>
                <w:rFonts w:hint="default"/>
                <w:sz w:val="24"/>
                <w:vertAlign w:val="superscript"/>
              </w:rPr>
              <w:t>2</w:t>
            </w:r>
            <w:r>
              <w:rPr>
                <w:rFonts w:hint="default"/>
                <w:sz w:val="24"/>
              </w:rPr>
              <w:t>，则R=</w:t>
            </w:r>
            <w:r>
              <w:rPr>
                <w:rFonts w:hint="eastAsia"/>
                <w:sz w:val="24"/>
                <w:lang w:val="en-US" w:eastAsia="zh-CN"/>
              </w:rPr>
              <w:t>2453</w:t>
            </w:r>
            <w:r>
              <w:rPr>
                <w:rFonts w:hint="eastAsia"/>
                <w:sz w:val="24"/>
              </w:rPr>
              <w:t>。</w:t>
            </w:r>
          </w:p>
          <w:p>
            <w:pPr>
              <w:keepNext w:val="0"/>
              <w:keepLines w:val="0"/>
              <w:suppressLineNumbers w:val="0"/>
              <w:spacing w:before="0" w:beforeAutospacing="0" w:after="0" w:afterAutospacing="0" w:line="440" w:lineRule="exact"/>
              <w:ind w:left="0" w:right="0" w:firstLine="720" w:firstLineChars="300"/>
              <w:jc w:val="left"/>
              <w:rPr>
                <w:rFonts w:hint="default"/>
                <w:sz w:val="24"/>
              </w:rPr>
            </w:pPr>
            <w:r>
              <w:rPr>
                <w:rFonts w:hint="default"/>
                <w:sz w:val="24"/>
              </w:rPr>
              <w:t>r—声源到靠近围护结构某点处的距离，m</w:t>
            </w:r>
          </w:p>
          <w:p>
            <w:pPr>
              <w:keepNext w:val="0"/>
              <w:keepLines w:val="0"/>
              <w:suppressLineNumbers w:val="0"/>
              <w:spacing w:before="0" w:beforeAutospacing="0" w:after="0" w:afterAutospacing="0" w:line="440" w:lineRule="exact"/>
              <w:ind w:left="0" w:right="0" w:firstLine="480" w:firstLineChars="200"/>
              <w:jc w:val="left"/>
              <w:rPr>
                <w:rFonts w:hint="default"/>
                <w:sz w:val="24"/>
              </w:rPr>
            </w:pPr>
            <w:r>
              <w:rPr>
                <w:rFonts w:hint="default"/>
                <w:sz w:val="24"/>
              </w:rPr>
              <w:t>然后按下式计算出所有室内声源在围护结构处产生的i倍频带叠加声压级：</w:t>
            </w:r>
          </w:p>
          <w:p>
            <w:pPr>
              <w:keepNext w:val="0"/>
              <w:keepLines w:val="0"/>
              <w:suppressLineNumbers w:val="0"/>
              <w:spacing w:before="0" w:beforeAutospacing="0" w:after="0" w:afterAutospacing="0" w:line="360" w:lineRule="auto"/>
              <w:ind w:left="0" w:right="0"/>
              <w:jc w:val="center"/>
              <w:rPr>
                <w:rFonts w:hint="default"/>
                <w:sz w:val="28"/>
                <w:szCs w:val="28"/>
              </w:rPr>
            </w:pPr>
            <w:r>
              <w:rPr>
                <w:rFonts w:hint="default" w:ascii="Times New Roman" w:hAnsi="Times New Roman" w:cs="Times New Roman"/>
                <w:color w:val="0C0C0C"/>
                <w:sz w:val="28"/>
                <w:szCs w:val="28"/>
              </w:rPr>
              <w:t>L</w:t>
            </w:r>
            <w:r>
              <w:rPr>
                <w:rFonts w:hint="default" w:ascii="Times New Roman" w:hAnsi="Times New Roman" w:cs="Times New Roman"/>
                <w:color w:val="0C0C0C"/>
                <w:sz w:val="28"/>
                <w:szCs w:val="28"/>
                <w:vertAlign w:val="subscript"/>
              </w:rPr>
              <w:t>p1i</w:t>
            </w:r>
            <w:r>
              <w:rPr>
                <w:rFonts w:hint="default" w:ascii="Times New Roman" w:hAnsi="Times New Roman" w:cs="Times New Roman"/>
                <w:color w:val="0C0C0C"/>
                <w:sz w:val="28"/>
                <w:szCs w:val="28"/>
              </w:rPr>
              <w:t>(T)=10lg</w:t>
            </w:r>
            <m:oMath>
              <m:d>
                <m:dPr>
                  <m:begChr m:val="{"/>
                  <m:endChr m:val="}"/>
                  <m:ctrlPr>
                    <w:rPr>
                      <w:rFonts w:hint="default" w:ascii="Cambria Math" w:hAnsi="Cambria Math" w:cs="Times New Roman"/>
                      <w:color w:val="0C0C0C"/>
                      <w:sz w:val="28"/>
                      <w:szCs w:val="28"/>
                    </w:rPr>
                  </m:ctrlPr>
                </m:dPr>
                <m:e>
                  <m:limLow>
                    <m:limLowPr>
                      <m:ctrlPr>
                        <w:rPr>
                          <w:rFonts w:hint="default" w:ascii="Cambria Math" w:hAnsi="Cambria Math" w:cs="Times New Roman"/>
                          <w:color w:val="0C0C0C"/>
                          <w:sz w:val="28"/>
                          <w:szCs w:val="28"/>
                        </w:rPr>
                      </m:ctrlPr>
                    </m:limLowPr>
                    <m:e>
                      <m:limUpp>
                        <m:limUppPr>
                          <m:ctrlPr>
                            <w:rPr>
                              <w:rFonts w:hint="default" w:ascii="Cambria Math" w:hAnsi="Cambria Math" w:cs="Times New Roman"/>
                              <w:i/>
                              <w:color w:val="0C0C0C"/>
                              <w:sz w:val="28"/>
                              <w:szCs w:val="28"/>
                            </w:rPr>
                          </m:ctrlPr>
                        </m:limUppPr>
                        <m:e>
                          <m:r>
                            <m:rPr/>
                            <w:rPr>
                              <w:rFonts w:hint="default" w:ascii="Cambria Math" w:hAnsi="Cambria Math" w:cs="Times New Roman"/>
                              <w:color w:val="0C0C0C"/>
                              <w:sz w:val="28"/>
                              <w:szCs w:val="28"/>
                            </w:rPr>
                            <m:t>∑</m:t>
                          </m:r>
                          <m:ctrlPr>
                            <w:rPr>
                              <w:rFonts w:hint="default" w:ascii="Cambria Math" w:hAnsi="Cambria Math" w:cs="Times New Roman"/>
                              <w:i/>
                              <w:color w:val="0C0C0C"/>
                              <w:sz w:val="28"/>
                              <w:szCs w:val="28"/>
                            </w:rPr>
                          </m:ctrlPr>
                        </m:e>
                        <m:lim>
                          <m:r>
                            <m:rPr/>
                            <w:rPr>
                              <w:rFonts w:hint="default" w:ascii="Cambria Math" w:hAnsi="Cambria Math" w:cs="Times New Roman"/>
                              <w:color w:val="0C0C0C"/>
                              <w:sz w:val="28"/>
                              <w:szCs w:val="28"/>
                            </w:rPr>
                            <m:t>N</m:t>
                          </m:r>
                          <m:ctrlPr>
                            <w:rPr>
                              <w:rFonts w:hint="default" w:ascii="Cambria Math" w:hAnsi="Cambria Math" w:cs="Times New Roman"/>
                              <w:i/>
                              <w:color w:val="0C0C0C"/>
                              <w:sz w:val="28"/>
                              <w:szCs w:val="28"/>
                            </w:rPr>
                          </m:ctrlPr>
                        </m:lim>
                      </m:limUpp>
                      <m:ctrlPr>
                        <w:rPr>
                          <w:rFonts w:hint="default" w:ascii="Cambria Math" w:hAnsi="Cambria Math" w:cs="Times New Roman"/>
                          <w:i/>
                          <w:sz w:val="28"/>
                          <w:szCs w:val="28"/>
                        </w:rPr>
                      </m:ctrlPr>
                    </m:e>
                    <m:lim>
                      <m:r>
                        <m:rPr/>
                        <w:rPr>
                          <w:rFonts w:hint="default" w:ascii="Cambria Math" w:hAnsi="Cambria Math" w:cs="Times New Roman"/>
                          <w:sz w:val="28"/>
                          <w:szCs w:val="28"/>
                        </w:rPr>
                        <m:t>j=1</m:t>
                      </m:r>
                      <m:ctrlPr>
                        <w:rPr>
                          <w:rFonts w:hint="default" w:ascii="Cambria Math" w:hAnsi="Cambria Math" w:cs="Times New Roman"/>
                          <w:color w:val="0C0C0C"/>
                          <w:sz w:val="28"/>
                          <w:szCs w:val="28"/>
                        </w:rPr>
                      </m:ctrlPr>
                    </m:lim>
                  </m:limLow>
                  <m:sSup>
                    <m:sSupPr>
                      <m:ctrlPr>
                        <w:rPr>
                          <w:rFonts w:hint="default" w:ascii="Cambria Math" w:hAnsi="Cambria Math" w:cs="Times New Roman"/>
                          <w:i/>
                          <w:color w:val="0C0C0C"/>
                          <w:sz w:val="28"/>
                          <w:szCs w:val="28"/>
                        </w:rPr>
                      </m:ctrlPr>
                    </m:sSupPr>
                    <m:e>
                      <m:r>
                        <m:rPr/>
                        <w:rPr>
                          <w:rFonts w:hint="default" w:ascii="Cambria Math" w:hAnsi="Cambria Math" w:cs="Times New Roman"/>
                          <w:color w:val="0C0C0C"/>
                          <w:sz w:val="28"/>
                          <w:szCs w:val="28"/>
                        </w:rPr>
                        <m:t>10</m:t>
                      </m:r>
                      <m:ctrlPr>
                        <w:rPr>
                          <w:rFonts w:hint="default" w:ascii="Cambria Math" w:hAnsi="Cambria Math" w:cs="Times New Roman"/>
                          <w:i/>
                          <w:color w:val="0C0C0C"/>
                          <w:sz w:val="28"/>
                          <w:szCs w:val="28"/>
                        </w:rPr>
                      </m:ctrlPr>
                    </m:e>
                    <m:sup>
                      <m:r>
                        <m:rPr/>
                        <w:rPr>
                          <w:rFonts w:hint="default" w:ascii="Cambria Math" w:hAnsi="Cambria Math" w:cs="Times New Roman"/>
                          <w:color w:val="0C0C0C"/>
                          <w:sz w:val="28"/>
                          <w:szCs w:val="28"/>
                        </w:rPr>
                        <m:t>0.1</m:t>
                      </m:r>
                      <m:sSub>
                        <m:sSubPr>
                          <m:ctrlPr>
                            <w:rPr>
                              <w:rFonts w:hint="default" w:ascii="Cambria Math" w:hAnsi="Cambria Math" w:cs="Times New Roman"/>
                              <w:i/>
                              <w:color w:val="0C0C0C"/>
                              <w:sz w:val="28"/>
                              <w:szCs w:val="28"/>
                            </w:rPr>
                          </m:ctrlPr>
                        </m:sSubPr>
                        <m:e>
                          <m:r>
                            <m:rPr/>
                            <w:rPr>
                              <w:rFonts w:hint="default" w:ascii="Cambria Math" w:hAnsi="Cambria Math" w:cs="Times New Roman"/>
                              <w:color w:val="0C0C0C"/>
                              <w:sz w:val="28"/>
                              <w:szCs w:val="28"/>
                              <w:lang w:val="en-US" w:eastAsia="zh-CN"/>
                            </w:rPr>
                            <m:t>L</m:t>
                          </m:r>
                          <m:ctrlPr>
                            <w:rPr>
                              <w:rFonts w:hint="default" w:ascii="Cambria Math" w:hAnsi="Cambria Math" w:cs="Times New Roman"/>
                              <w:i/>
                              <w:color w:val="0C0C0C"/>
                              <w:sz w:val="28"/>
                              <w:szCs w:val="28"/>
                            </w:rPr>
                          </m:ctrlPr>
                        </m:e>
                        <m:sub>
                          <m:r>
                            <m:rPr/>
                            <w:rPr>
                              <w:rFonts w:hint="default" w:ascii="Cambria Math" w:hAnsi="Cambria Math" w:cs="Times New Roman"/>
                              <w:color w:val="0C0C0C"/>
                              <w:sz w:val="28"/>
                              <w:szCs w:val="28"/>
                              <w:lang w:val="en-US" w:eastAsia="zh-CN"/>
                            </w:rPr>
                            <m:t>p1ij</m:t>
                          </m:r>
                          <m:ctrlPr>
                            <w:rPr>
                              <w:rFonts w:hint="default" w:ascii="Cambria Math" w:hAnsi="Cambria Math" w:cs="Times New Roman"/>
                              <w:i/>
                              <w:color w:val="0C0C0C"/>
                              <w:sz w:val="28"/>
                              <w:szCs w:val="28"/>
                            </w:rPr>
                          </m:ctrlPr>
                        </m:sub>
                      </m:sSub>
                      <m:ctrlPr>
                        <w:rPr>
                          <w:rFonts w:hint="default" w:ascii="Cambria Math" w:hAnsi="Cambria Math" w:cs="Times New Roman"/>
                          <w:i/>
                          <w:color w:val="0C0C0C"/>
                          <w:sz w:val="28"/>
                          <w:szCs w:val="28"/>
                        </w:rPr>
                      </m:ctrlPr>
                    </m:sup>
                  </m:sSup>
                  <m:ctrlPr>
                    <w:rPr>
                      <w:rFonts w:hint="default" w:ascii="Cambria Math" w:hAnsi="Cambria Math" w:cs="Times New Roman"/>
                      <w:color w:val="0C0C0C"/>
                      <w:sz w:val="28"/>
                      <w:szCs w:val="28"/>
                    </w:rPr>
                  </m:ctrlPr>
                </m:e>
              </m:d>
            </m:oMath>
          </w:p>
          <w:p>
            <w:pPr>
              <w:keepNext w:val="0"/>
              <w:keepLines w:val="0"/>
              <w:suppressLineNumbers w:val="0"/>
              <w:spacing w:before="0" w:beforeAutospacing="0" w:after="0" w:afterAutospacing="0" w:line="420" w:lineRule="exact"/>
              <w:ind w:left="0" w:right="0"/>
              <w:jc w:val="left"/>
              <w:rPr>
                <w:rFonts w:hint="default"/>
                <w:sz w:val="24"/>
              </w:rPr>
            </w:pPr>
            <w:r>
              <w:rPr>
                <w:rFonts w:hint="default"/>
                <w:sz w:val="24"/>
              </w:rPr>
              <w:t>式中：Lp1i（T）—靠近围护结构处室内N个声源i倍频带的叠加声压级，dB；</w:t>
            </w:r>
          </w:p>
          <w:p>
            <w:pPr>
              <w:keepNext w:val="0"/>
              <w:keepLines w:val="0"/>
              <w:suppressLineNumbers w:val="0"/>
              <w:spacing w:before="0" w:beforeAutospacing="0" w:after="0" w:afterAutospacing="0" w:line="420" w:lineRule="exact"/>
              <w:ind w:left="0" w:right="0" w:firstLine="720" w:firstLineChars="300"/>
              <w:jc w:val="left"/>
              <w:rPr>
                <w:rFonts w:hint="default"/>
                <w:sz w:val="24"/>
              </w:rPr>
            </w:pPr>
            <w:r>
              <w:rPr>
                <w:rFonts w:hint="default"/>
                <w:sz w:val="24"/>
              </w:rPr>
              <w:t>Lp1ij—室内j声源i倍频带的声压级，dB；</w:t>
            </w:r>
          </w:p>
          <w:p>
            <w:pPr>
              <w:keepNext w:val="0"/>
              <w:keepLines w:val="0"/>
              <w:suppressLineNumbers w:val="0"/>
              <w:spacing w:before="0" w:beforeAutospacing="0" w:after="0" w:afterAutospacing="0" w:line="420" w:lineRule="exact"/>
              <w:ind w:left="0" w:right="0" w:firstLine="720" w:firstLineChars="300"/>
              <w:jc w:val="left"/>
              <w:rPr>
                <w:rFonts w:hint="default"/>
                <w:sz w:val="24"/>
              </w:rPr>
            </w:pPr>
            <w:r>
              <w:rPr>
                <w:rFonts w:hint="default"/>
                <w:sz w:val="24"/>
              </w:rPr>
              <w:t>N—室内声源总数。</w:t>
            </w:r>
          </w:p>
          <w:p>
            <w:pPr>
              <w:keepNext w:val="0"/>
              <w:keepLines w:val="0"/>
              <w:suppressLineNumbers w:val="0"/>
              <w:adjustRightInd w:val="0"/>
              <w:snapToGrid w:val="0"/>
              <w:spacing w:before="0" w:beforeAutospacing="0" w:after="0" w:afterAutospacing="0" w:line="420" w:lineRule="exact"/>
              <w:ind w:left="0" w:right="0" w:firstLine="480" w:firstLineChars="200"/>
              <w:jc w:val="left"/>
              <w:textAlignment w:val="baseline"/>
              <w:rPr>
                <w:rFonts w:hint="default"/>
                <w:sz w:val="24"/>
              </w:rPr>
            </w:pPr>
            <w:r>
              <w:rPr>
                <w:rFonts w:hint="default"/>
                <w:sz w:val="24"/>
              </w:rPr>
              <w:t>在室内近似为扩散声场时，按下式计算出靠近室外围护结构处的声压级：</w:t>
            </w:r>
          </w:p>
          <w:p>
            <w:pPr>
              <w:keepNext w:val="0"/>
              <w:keepLines w:val="0"/>
              <w:suppressLineNumbers w:val="0"/>
              <w:adjustRightInd w:val="0"/>
              <w:snapToGrid w:val="0"/>
              <w:spacing w:before="0" w:beforeAutospacing="0" w:after="0" w:afterAutospacing="0" w:line="420" w:lineRule="exact"/>
              <w:ind w:left="0" w:right="0" w:firstLine="480"/>
              <w:jc w:val="left"/>
              <w:textAlignment w:val="baseline"/>
              <w:rPr>
                <w:rFonts w:hint="default"/>
                <w:sz w:val="24"/>
              </w:rPr>
            </w:pPr>
            <w:r>
              <w:rPr>
                <w:rFonts w:hint="default"/>
                <w:sz w:val="24"/>
              </w:rPr>
              <w:t xml:space="preserve">         </w:t>
            </w:r>
            <w:r>
              <w:rPr>
                <w:rFonts w:hint="eastAsia"/>
                <w:sz w:val="24"/>
              </w:rPr>
              <w:t xml:space="preserve">          </w:t>
            </w:r>
            <w:r>
              <w:rPr>
                <w:rFonts w:hint="default"/>
                <w:sz w:val="24"/>
              </w:rPr>
              <w:t>Lp2i（T）=Lp1i（T）-（TLi+6）</w:t>
            </w:r>
          </w:p>
          <w:p>
            <w:pPr>
              <w:keepNext w:val="0"/>
              <w:keepLines w:val="0"/>
              <w:suppressLineNumbers w:val="0"/>
              <w:adjustRightInd w:val="0"/>
              <w:snapToGrid w:val="0"/>
              <w:spacing w:before="0" w:beforeAutospacing="0" w:after="0" w:afterAutospacing="0" w:line="420" w:lineRule="exact"/>
              <w:ind w:left="0" w:right="0"/>
              <w:jc w:val="left"/>
              <w:textAlignment w:val="baseline"/>
              <w:rPr>
                <w:rFonts w:hint="default"/>
                <w:sz w:val="24"/>
              </w:rPr>
            </w:pPr>
            <w:r>
              <w:rPr>
                <w:rFonts w:hint="default"/>
                <w:sz w:val="24"/>
              </w:rPr>
              <w:t>式中：Lp2i（T）—靠近围护结构处室外N个声源i倍频带的叠加声压级，dB；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default"/>
                <w:sz w:val="24"/>
              </w:rPr>
            </w:pPr>
            <w:r>
              <w:rPr>
                <w:rFonts w:hint="default"/>
                <w:sz w:val="24"/>
              </w:rPr>
              <w:t>Lp1i（T）—靠近围护结构处室内N个声源i倍频带的叠加声压级，dB；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default"/>
                <w:sz w:val="24"/>
              </w:rPr>
            </w:pPr>
            <w:r>
              <w:rPr>
                <w:rFonts w:hint="default"/>
                <w:sz w:val="24"/>
              </w:rPr>
              <w:t>TLi—围护结构i倍频带的隔声量，dB；</w:t>
            </w:r>
          </w:p>
          <w:p>
            <w:pPr>
              <w:keepNext w:val="0"/>
              <w:keepLines w:val="0"/>
              <w:suppressLineNumbers w:val="0"/>
              <w:adjustRightInd w:val="0"/>
              <w:snapToGrid w:val="0"/>
              <w:spacing w:before="0" w:beforeAutospacing="0" w:after="0" w:afterAutospacing="0" w:line="420" w:lineRule="exact"/>
              <w:ind w:left="0" w:right="0" w:firstLine="480" w:firstLineChars="200"/>
              <w:jc w:val="left"/>
              <w:textAlignment w:val="baseline"/>
              <w:rPr>
                <w:rFonts w:hint="default"/>
                <w:sz w:val="24"/>
              </w:rPr>
            </w:pPr>
            <w:r>
              <w:rPr>
                <w:rFonts w:hint="default"/>
                <w:sz w:val="24"/>
              </w:rPr>
              <w:t>然后按下式将室外声源的声压级和透过面积换算成等效的室外声源，计算出中心位置位于透声面积（S）处的等效声源的倍频带声功率级：</w:t>
            </w:r>
          </w:p>
          <w:p>
            <w:pPr>
              <w:keepNext w:val="0"/>
              <w:keepLines w:val="0"/>
              <w:suppressLineNumbers w:val="0"/>
              <w:adjustRightInd w:val="0"/>
              <w:snapToGrid w:val="0"/>
              <w:spacing w:before="0" w:beforeAutospacing="0" w:after="0" w:afterAutospacing="0" w:line="420" w:lineRule="exact"/>
              <w:ind w:left="0" w:right="0"/>
              <w:jc w:val="center"/>
              <w:textAlignment w:val="baseline"/>
              <w:rPr>
                <w:rFonts w:hint="default"/>
                <w:sz w:val="24"/>
              </w:rPr>
            </w:pPr>
            <w:r>
              <w:rPr>
                <w:rFonts w:hint="eastAsia"/>
                <w:sz w:val="24"/>
              </w:rPr>
              <w:t>Lw2</w:t>
            </w:r>
            <w:r>
              <w:rPr>
                <w:rFonts w:hint="default"/>
                <w:sz w:val="24"/>
              </w:rPr>
              <w:t>=Lp2（T）+10lgS</w:t>
            </w:r>
          </w:p>
          <w:p>
            <w:pPr>
              <w:keepNext w:val="0"/>
              <w:keepLines w:val="0"/>
              <w:suppressLineNumbers w:val="0"/>
              <w:adjustRightInd w:val="0"/>
              <w:snapToGrid w:val="0"/>
              <w:spacing w:before="0" w:beforeAutospacing="0" w:after="0" w:afterAutospacing="0" w:line="420" w:lineRule="exact"/>
              <w:ind w:left="0" w:right="0"/>
              <w:jc w:val="left"/>
              <w:textAlignment w:val="baseline"/>
              <w:rPr>
                <w:rFonts w:hint="default"/>
                <w:sz w:val="24"/>
              </w:rPr>
            </w:pPr>
            <w:r>
              <w:rPr>
                <w:rFonts w:hint="default"/>
                <w:sz w:val="24"/>
              </w:rPr>
              <w:t>式中：Lw2—中心位置位于透声面积（S）处的等效声源的倍频带声功率级，dB；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default"/>
                <w:sz w:val="24"/>
              </w:rPr>
            </w:pPr>
            <w:r>
              <w:rPr>
                <w:rFonts w:hint="default"/>
                <w:sz w:val="24"/>
              </w:rPr>
              <w:t>Lp2（T）—靠近围护结构处室外声源的声压级，dB；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default"/>
                <w:sz w:val="24"/>
              </w:rPr>
            </w:pPr>
            <w:r>
              <w:rPr>
                <w:rFonts w:hint="default"/>
                <w:sz w:val="24"/>
              </w:rPr>
              <w:t>S—透声面积，m</w:t>
            </w:r>
            <w:r>
              <w:rPr>
                <w:rFonts w:hint="default"/>
                <w:sz w:val="24"/>
                <w:vertAlign w:val="superscript"/>
              </w:rPr>
              <w:t>2</w:t>
            </w:r>
            <w:r>
              <w:rPr>
                <w:rFonts w:hint="default"/>
                <w:sz w:val="24"/>
              </w:rPr>
              <w:t>。</w:t>
            </w:r>
            <w:r>
              <w:rPr>
                <w:rFonts w:hint="eastAsia"/>
                <w:sz w:val="24"/>
              </w:rPr>
              <w:t>（</w:t>
            </w:r>
            <w:r>
              <w:rPr>
                <w:rFonts w:hint="default"/>
                <w:sz w:val="24"/>
              </w:rPr>
              <w:t>车间</w:t>
            </w:r>
            <w:r>
              <w:rPr>
                <w:rFonts w:hint="eastAsia"/>
                <w:sz w:val="24"/>
              </w:rPr>
              <w:t>S=40）</w:t>
            </w:r>
          </w:p>
          <w:p>
            <w:pPr>
              <w:keepNext w:val="0"/>
              <w:keepLines w:val="0"/>
              <w:suppressLineNumbers w:val="0"/>
              <w:adjustRightInd w:val="0"/>
              <w:snapToGrid w:val="0"/>
              <w:spacing w:before="0" w:beforeAutospacing="0" w:after="0" w:afterAutospacing="0" w:line="420" w:lineRule="exact"/>
              <w:ind w:left="0" w:right="0" w:firstLine="480" w:firstLineChars="200"/>
              <w:jc w:val="left"/>
              <w:textAlignment w:val="baseline"/>
              <w:rPr>
                <w:rFonts w:hint="default"/>
                <w:sz w:val="24"/>
              </w:rPr>
            </w:pPr>
            <w:r>
              <w:rPr>
                <w:rFonts w:hint="default"/>
                <w:sz w:val="24"/>
              </w:rPr>
              <w:t>如果声源处于半自由声场，则预测点处声压级计算公式如下：</w:t>
            </w:r>
          </w:p>
          <w:p>
            <w:pPr>
              <w:keepNext w:val="0"/>
              <w:keepLines w:val="0"/>
              <w:suppressLineNumbers w:val="0"/>
              <w:adjustRightInd w:val="0"/>
              <w:snapToGrid w:val="0"/>
              <w:spacing w:before="0" w:beforeAutospacing="0" w:after="0" w:afterAutospacing="0" w:line="420" w:lineRule="exact"/>
              <w:ind w:left="0" w:right="0"/>
              <w:jc w:val="center"/>
              <w:textAlignment w:val="baseline"/>
              <w:rPr>
                <w:rFonts w:hint="default"/>
                <w:sz w:val="24"/>
              </w:rPr>
            </w:pPr>
            <w:r>
              <w:rPr>
                <w:rFonts w:hint="default"/>
                <w:sz w:val="24"/>
              </w:rPr>
              <w:t>Lp（r）=Lw-20lgr-8</w:t>
            </w:r>
          </w:p>
          <w:p>
            <w:pPr>
              <w:keepNext w:val="0"/>
              <w:keepLines w:val="0"/>
              <w:suppressLineNumbers w:val="0"/>
              <w:adjustRightInd w:val="0"/>
              <w:snapToGrid w:val="0"/>
              <w:spacing w:before="0" w:beforeAutospacing="0" w:after="0" w:afterAutospacing="0" w:line="420" w:lineRule="exact"/>
              <w:ind w:left="0" w:right="0"/>
              <w:jc w:val="left"/>
              <w:textAlignment w:val="baseline"/>
              <w:rPr>
                <w:rFonts w:hint="default"/>
                <w:sz w:val="24"/>
              </w:rPr>
            </w:pPr>
            <w:r>
              <w:rPr>
                <w:rFonts w:hint="default"/>
                <w:sz w:val="24"/>
              </w:rPr>
              <w:t>式中：Lp（r）—预测点处声压级，dB；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default"/>
                <w:sz w:val="24"/>
              </w:rPr>
            </w:pPr>
            <w:r>
              <w:rPr>
                <w:rFonts w:hint="default"/>
                <w:sz w:val="24"/>
              </w:rPr>
              <w:t>Lw—由点声源产生的倍频带声功率级，dB；</w:t>
            </w:r>
          </w:p>
          <w:p>
            <w:pPr>
              <w:keepNext w:val="0"/>
              <w:keepLines w:val="0"/>
              <w:suppressLineNumbers w:val="0"/>
              <w:adjustRightInd w:val="0"/>
              <w:snapToGrid w:val="0"/>
              <w:spacing w:before="0" w:beforeAutospacing="0" w:after="0" w:afterAutospacing="0" w:line="420" w:lineRule="exact"/>
              <w:ind w:left="0" w:right="0" w:firstLine="720" w:firstLineChars="300"/>
              <w:jc w:val="left"/>
              <w:textAlignment w:val="baseline"/>
              <w:rPr>
                <w:rFonts w:hint="eastAsia"/>
                <w:sz w:val="24"/>
              </w:rPr>
            </w:pPr>
            <w:r>
              <w:rPr>
                <w:rFonts w:hint="default"/>
                <w:sz w:val="24"/>
              </w:rPr>
              <w:t>r—预测点距声源的距离，m。</w:t>
            </w:r>
          </w:p>
          <w:p>
            <w:pPr>
              <w:keepNext w:val="0"/>
              <w:keepLines w:val="0"/>
              <w:suppressLineNumbers w:val="0"/>
              <w:adjustRightInd w:val="0"/>
              <w:snapToGrid w:val="0"/>
              <w:spacing w:before="0" w:beforeAutospacing="0" w:after="0" w:afterAutospacing="0" w:line="420" w:lineRule="exact"/>
              <w:ind w:left="0" w:right="0"/>
              <w:jc w:val="center"/>
              <w:textAlignment w:val="baseline"/>
              <w:rPr>
                <w:rFonts w:hint="eastAsia" w:ascii="宋体" w:hAnsi="宋体"/>
                <w:b/>
                <w:color w:val="000000"/>
                <w:sz w:val="24"/>
              </w:rPr>
            </w:pPr>
            <w:r>
              <w:rPr>
                <w:rFonts w:hint="eastAsia" w:ascii="宋体" w:hAnsi="宋体"/>
                <w:b/>
                <w:color w:val="000000"/>
                <w:sz w:val="24"/>
              </w:rPr>
              <w:t>表</w:t>
            </w:r>
            <w:r>
              <w:rPr>
                <w:rFonts w:hint="eastAsia" w:ascii="宋体" w:hAnsi="宋体"/>
                <w:b/>
                <w:color w:val="000000"/>
                <w:sz w:val="24"/>
                <w:lang w:val="en-US" w:eastAsia="zh-CN"/>
              </w:rPr>
              <w:t xml:space="preserve">35  </w:t>
            </w:r>
            <w:r>
              <w:rPr>
                <w:rFonts w:hint="eastAsia" w:ascii="宋体" w:hAnsi="宋体"/>
                <w:b/>
                <w:color w:val="000000"/>
                <w:sz w:val="24"/>
              </w:rPr>
              <w:t>本项目室内噪音源强调查清单</w:t>
            </w:r>
          </w:p>
          <w:tbl>
            <w:tblPr>
              <w:tblStyle w:val="22"/>
              <w:tblW w:w="861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75"/>
              <w:gridCol w:w="1853"/>
              <w:gridCol w:w="705"/>
              <w:gridCol w:w="660"/>
              <w:gridCol w:w="805"/>
              <w:gridCol w:w="805"/>
              <w:gridCol w:w="805"/>
              <w:gridCol w:w="795"/>
              <w:gridCol w:w="10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vMerge w:val="restart"/>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序号</w:t>
                  </w:r>
                </w:p>
              </w:tc>
              <w:tc>
                <w:tcPr>
                  <w:tcW w:w="675"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建筑物名称</w:t>
                  </w:r>
                </w:p>
              </w:tc>
              <w:tc>
                <w:tcPr>
                  <w:tcW w:w="1853"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声源名称</w:t>
                  </w:r>
                </w:p>
              </w:tc>
              <w:tc>
                <w:tcPr>
                  <w:tcW w:w="705"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声功率级/db（A）</w:t>
                  </w:r>
                </w:p>
              </w:tc>
              <w:tc>
                <w:tcPr>
                  <w:tcW w:w="660"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声源控制措施</w:t>
                  </w:r>
                </w:p>
              </w:tc>
              <w:tc>
                <w:tcPr>
                  <w:tcW w:w="2415" w:type="dxa"/>
                  <w:gridSpan w:val="3"/>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default"/>
                      <w:b/>
                      <w:kern w:val="0"/>
                      <w:sz w:val="21"/>
                      <w:szCs w:val="21"/>
                    </w:rPr>
                    <w:t>空间相对位置/m</w:t>
                  </w:r>
                </w:p>
              </w:tc>
              <w:tc>
                <w:tcPr>
                  <w:tcW w:w="795"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距室内边界距离</w:t>
                  </w:r>
                  <w:r>
                    <w:rPr>
                      <w:rFonts w:hint="default"/>
                      <w:b/>
                      <w:kern w:val="0"/>
                      <w:sz w:val="21"/>
                      <w:szCs w:val="21"/>
                    </w:rPr>
                    <w:t>/m</w:t>
                  </w:r>
                </w:p>
              </w:tc>
              <w:tc>
                <w:tcPr>
                  <w:tcW w:w="1051" w:type="dxa"/>
                  <w:vMerge w:val="restart"/>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b/>
                      <w:sz w:val="21"/>
                      <w:szCs w:val="21"/>
                    </w:rPr>
                  </w:pPr>
                  <w:r>
                    <w:rPr>
                      <w:rFonts w:hint="default"/>
                      <w:b/>
                      <w:kern w:val="0"/>
                      <w:sz w:val="21"/>
                      <w:szCs w:val="21"/>
                    </w:rPr>
                    <w:t>室内边界声级/dB（A）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vMerge w:val="continue"/>
                  <w:tcBorders>
                    <w:top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675"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1853"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705"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660"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8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X</w:t>
                  </w:r>
                </w:p>
              </w:tc>
              <w:tc>
                <w:tcPr>
                  <w:tcW w:w="8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Y</w:t>
                  </w:r>
                </w:p>
              </w:tc>
              <w:tc>
                <w:tcPr>
                  <w:tcW w:w="805"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r>
                    <w:rPr>
                      <w:rFonts w:hint="eastAsia"/>
                      <w:b/>
                      <w:kern w:val="0"/>
                      <w:sz w:val="21"/>
                      <w:szCs w:val="21"/>
                    </w:rPr>
                    <w:t>Z</w:t>
                  </w:r>
                </w:p>
              </w:tc>
              <w:tc>
                <w:tcPr>
                  <w:tcW w:w="795"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c>
                <w:tcPr>
                  <w:tcW w:w="1051" w:type="dxa"/>
                  <w:vMerge w:val="continue"/>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b/>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1</w:t>
                  </w:r>
                </w:p>
              </w:tc>
              <w:tc>
                <w:tcPr>
                  <w:tcW w:w="675"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sz w:val="21"/>
                      <w:szCs w:val="21"/>
                      <w:lang w:val="en-US" w:eastAsia="zh-CN"/>
                    </w:rPr>
                  </w:pPr>
                  <w:r>
                    <w:rPr>
                      <w:rFonts w:hint="eastAsia"/>
                      <w:kern w:val="0"/>
                      <w:sz w:val="21"/>
                      <w:szCs w:val="21"/>
                      <w:lang w:val="en-US" w:eastAsia="zh-CN"/>
                    </w:rPr>
                    <w:t>生产</w:t>
                  </w:r>
                  <w:r>
                    <w:rPr>
                      <w:rFonts w:hint="eastAsia"/>
                      <w:kern w:val="0"/>
                      <w:sz w:val="21"/>
                      <w:szCs w:val="21"/>
                    </w:rPr>
                    <w:t>车间</w:t>
                  </w:r>
                  <w:r>
                    <w:rPr>
                      <w:rFonts w:hint="eastAsia"/>
                      <w:kern w:val="0"/>
                      <w:sz w:val="21"/>
                      <w:szCs w:val="21"/>
                      <w:lang w:val="en-US" w:eastAsia="zh-CN"/>
                    </w:rPr>
                    <w:t>一期生产线</w:t>
                  </w:r>
                </w:p>
              </w:tc>
              <w:tc>
                <w:tcPr>
                  <w:tcW w:w="1853"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电加热搅拌罐1号</w:t>
                  </w:r>
                </w:p>
              </w:tc>
              <w:tc>
                <w:tcPr>
                  <w:tcW w:w="7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kern w:val="0"/>
                      <w:sz w:val="21"/>
                      <w:szCs w:val="21"/>
                      <w:lang w:val="en-US" w:eastAsia="zh-CN"/>
                    </w:rPr>
                    <w:t>90</w:t>
                  </w:r>
                </w:p>
              </w:tc>
              <w:tc>
                <w:tcPr>
                  <w:tcW w:w="660"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基础减振</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-9</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2</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1.2</w:t>
                  </w:r>
                </w:p>
              </w:tc>
              <w:tc>
                <w:tcPr>
                  <w:tcW w:w="79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10</w:t>
                  </w:r>
                </w:p>
              </w:tc>
              <w:tc>
                <w:tcPr>
                  <w:tcW w:w="1051"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66.8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2</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sz w:val="21"/>
                      <w:szCs w:val="21"/>
                      <w:lang w:val="en-US" w:eastAsia="zh-CN"/>
                    </w:rPr>
                    <w:t>电加热搅拌罐2号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-5</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6</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70.2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3</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rPr>
                  </w:pPr>
                  <w:r>
                    <w:rPr>
                      <w:rFonts w:hint="eastAsia"/>
                      <w:kern w:val="0"/>
                      <w:sz w:val="21"/>
                      <w:szCs w:val="21"/>
                      <w:lang w:val="en-US" w:eastAsia="zh-CN"/>
                    </w:rPr>
                    <w:t>挤出机1号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-10</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10</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61.8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4</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rPr>
                  </w:pPr>
                  <w:r>
                    <w:rPr>
                      <w:rFonts w:hint="eastAsia"/>
                      <w:kern w:val="0"/>
                      <w:sz w:val="21"/>
                      <w:szCs w:val="21"/>
                      <w:lang w:val="en-US" w:eastAsia="zh-CN"/>
                    </w:rPr>
                    <w:t>拉条机1号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-6</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7</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64.1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kern w:val="0"/>
                      <w:sz w:val="21"/>
                      <w:szCs w:val="21"/>
                      <w:lang w:val="en-US" w:eastAsia="zh-CN"/>
                    </w:rPr>
                  </w:pPr>
                  <w:r>
                    <w:rPr>
                      <w:rFonts w:hint="eastAsia"/>
                      <w:kern w:val="0"/>
                      <w:sz w:val="21"/>
                      <w:szCs w:val="21"/>
                      <w:lang w:val="en-US" w:eastAsia="zh-CN"/>
                    </w:rPr>
                    <w:t>5</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切粒机1号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-10</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-4</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11</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66.3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kern w:val="0"/>
                      <w:sz w:val="21"/>
                      <w:szCs w:val="21"/>
                      <w:lang w:val="en-US" w:eastAsia="zh-CN"/>
                    </w:rPr>
                  </w:pPr>
                  <w:r>
                    <w:rPr>
                      <w:rFonts w:hint="eastAsia"/>
                      <w:kern w:val="0"/>
                      <w:sz w:val="21"/>
                      <w:szCs w:val="21"/>
                      <w:lang w:val="en-US" w:eastAsia="zh-CN"/>
                    </w:rPr>
                    <w:t>6</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脱水机1号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-11</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12</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kern w:val="0"/>
                      <w:sz w:val="21"/>
                      <w:szCs w:val="21"/>
                      <w:lang w:val="en-US" w:eastAsia="zh-CN"/>
                    </w:rPr>
                  </w:pPr>
                  <w:r>
                    <w:rPr>
                      <w:rFonts w:hint="eastAsia"/>
                      <w:kern w:val="0"/>
                      <w:sz w:val="21"/>
                      <w:szCs w:val="21"/>
                      <w:lang w:val="en-US" w:eastAsia="zh-CN"/>
                    </w:rPr>
                    <w:t>7</w:t>
                  </w:r>
                </w:p>
              </w:tc>
              <w:tc>
                <w:tcPr>
                  <w:tcW w:w="675" w:type="dxa"/>
                  <w:vMerge w:val="continue"/>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振动筛1号</w:t>
                  </w:r>
                </w:p>
              </w:tc>
              <w:tc>
                <w:tcPr>
                  <w:tcW w:w="70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95</w:t>
                  </w:r>
                </w:p>
              </w:tc>
              <w:tc>
                <w:tcPr>
                  <w:tcW w:w="660" w:type="dxa"/>
                  <w:vMerge w:val="continue"/>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-12</w:t>
                  </w:r>
                </w:p>
              </w:tc>
              <w:tc>
                <w:tcPr>
                  <w:tcW w:w="80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-7</w:t>
                  </w:r>
                </w:p>
              </w:tc>
              <w:tc>
                <w:tcPr>
                  <w:tcW w:w="80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sz w:val="21"/>
                      <w:szCs w:val="21"/>
                      <w:lang w:val="en-US" w:eastAsia="zh-CN"/>
                    </w:rPr>
                  </w:pPr>
                  <w:r>
                    <w:rPr>
                      <w:rFonts w:hint="eastAsia"/>
                      <w:sz w:val="21"/>
                      <w:szCs w:val="21"/>
                      <w:lang w:val="en-US" w:eastAsia="zh-CN"/>
                    </w:rPr>
                    <w:t>1.2</w:t>
                  </w:r>
                </w:p>
              </w:tc>
              <w:tc>
                <w:tcPr>
                  <w:tcW w:w="795"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14</w:t>
                  </w:r>
                </w:p>
              </w:tc>
              <w:tc>
                <w:tcPr>
                  <w:tcW w:w="1051" w:type="dxa"/>
                  <w:tcBorders>
                    <w:bottom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70.1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kern w:val="0"/>
                      <w:sz w:val="21"/>
                      <w:szCs w:val="21"/>
                      <w:lang w:val="en-US" w:eastAsia="zh-CN"/>
                    </w:rPr>
                  </w:pPr>
                  <w:r>
                    <w:rPr>
                      <w:rFonts w:hint="eastAsia"/>
                      <w:kern w:val="0"/>
                      <w:sz w:val="21"/>
                      <w:szCs w:val="21"/>
                      <w:lang w:val="en-US" w:eastAsia="zh-CN"/>
                    </w:rPr>
                    <w:t>8</w:t>
                  </w:r>
                </w:p>
              </w:tc>
              <w:tc>
                <w:tcPr>
                  <w:tcW w:w="675"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lang w:val="en-US" w:eastAsia="zh-CN"/>
                    </w:rPr>
                    <w:t>生产</w:t>
                  </w:r>
                  <w:r>
                    <w:rPr>
                      <w:rFonts w:hint="eastAsia"/>
                      <w:kern w:val="0"/>
                      <w:sz w:val="21"/>
                      <w:szCs w:val="21"/>
                    </w:rPr>
                    <w:t>车间</w:t>
                  </w:r>
                  <w:r>
                    <w:rPr>
                      <w:rFonts w:hint="eastAsia"/>
                      <w:kern w:val="0"/>
                      <w:sz w:val="21"/>
                      <w:szCs w:val="21"/>
                      <w:lang w:val="en-US" w:eastAsia="zh-CN"/>
                    </w:rPr>
                    <w:t>二期生产线</w:t>
                  </w:r>
                </w:p>
              </w:tc>
              <w:tc>
                <w:tcPr>
                  <w:tcW w:w="1853"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sz w:val="21"/>
                      <w:szCs w:val="21"/>
                      <w:lang w:val="en-US" w:eastAsia="zh-CN"/>
                    </w:rPr>
                    <w:t>电加热搅拌罐3号</w:t>
                  </w:r>
                </w:p>
              </w:tc>
              <w:tc>
                <w:tcPr>
                  <w:tcW w:w="7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90</w:t>
                  </w:r>
                </w:p>
              </w:tc>
              <w:tc>
                <w:tcPr>
                  <w:tcW w:w="660" w:type="dxa"/>
                  <w:vMerge w:val="restart"/>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r>
                    <w:rPr>
                      <w:rFonts w:hint="eastAsia"/>
                      <w:kern w:val="0"/>
                      <w:sz w:val="21"/>
                      <w:szCs w:val="21"/>
                    </w:rPr>
                    <w:t>基础减振</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-17</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-11</w:t>
                  </w:r>
                </w:p>
              </w:tc>
              <w:tc>
                <w:tcPr>
                  <w:tcW w:w="80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20</w:t>
                  </w:r>
                </w:p>
              </w:tc>
              <w:tc>
                <w:tcPr>
                  <w:tcW w:w="1051" w:type="dxa"/>
                  <w:tcBorders>
                    <w:top w:val="single" w:color="auto"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eastAsia="宋体"/>
                      <w:kern w:val="0"/>
                      <w:sz w:val="21"/>
                      <w:szCs w:val="21"/>
                      <w:lang w:val="en-US" w:eastAsia="zh-CN"/>
                    </w:rPr>
                  </w:pPr>
                  <w:r>
                    <w:rPr>
                      <w:rFonts w:hint="eastAsia"/>
                      <w:kern w:val="0"/>
                      <w:sz w:val="21"/>
                      <w:szCs w:val="21"/>
                      <w:lang w:val="en-US" w:eastAsia="zh-CN"/>
                    </w:rPr>
                    <w:t>9</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sz w:val="21"/>
                      <w:szCs w:val="21"/>
                      <w:lang w:val="en-US" w:eastAsia="zh-CN"/>
                    </w:rPr>
                    <w:t>电加热搅拌罐4号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-13</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-13</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18</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64.2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kern w:val="0"/>
                      <w:sz w:val="21"/>
                      <w:szCs w:val="21"/>
                      <w:lang w:val="en-US" w:eastAsia="zh-CN"/>
                    </w:rPr>
                  </w:pPr>
                  <w:r>
                    <w:rPr>
                      <w:rFonts w:hint="eastAsia"/>
                      <w:kern w:val="0"/>
                      <w:sz w:val="21"/>
                      <w:szCs w:val="21"/>
                      <w:lang w:val="en-US" w:eastAsia="zh-CN"/>
                    </w:rPr>
                    <w:t>10</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sz w:val="21"/>
                      <w:szCs w:val="21"/>
                      <w:lang w:val="en-US" w:eastAsia="zh-CN"/>
                    </w:rPr>
                    <w:t>电加热搅拌罐5号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-24</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-24</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34</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kern w:val="0"/>
                      <w:sz w:val="21"/>
                      <w:szCs w:val="21"/>
                      <w:lang w:val="en-US" w:eastAsia="zh-CN"/>
                    </w:rPr>
                  </w:pPr>
                  <w:r>
                    <w:rPr>
                      <w:rFonts w:hint="eastAsia"/>
                      <w:kern w:val="0"/>
                      <w:sz w:val="21"/>
                      <w:szCs w:val="21"/>
                      <w:lang w:val="en-US" w:eastAsia="zh-CN"/>
                    </w:rPr>
                    <w:t>11</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sz w:val="21"/>
                      <w:szCs w:val="21"/>
                      <w:lang w:val="en-US" w:eastAsia="zh-CN"/>
                    </w:rPr>
                    <w:t>电加热搅拌罐6号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-26</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32</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kern w:val="0"/>
                      <w:sz w:val="21"/>
                      <w:szCs w:val="21"/>
                      <w:lang w:val="en-US" w:eastAsia="zh-CN"/>
                    </w:rPr>
                  </w:pPr>
                  <w:r>
                    <w:rPr>
                      <w:rFonts w:hint="eastAsia"/>
                      <w:kern w:val="0"/>
                      <w:sz w:val="21"/>
                      <w:szCs w:val="21"/>
                      <w:lang w:val="en-US" w:eastAsia="zh-CN"/>
                    </w:rPr>
                    <w:t>12</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挤出机2号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-18</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-13</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22</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eastAsia="宋体"/>
                      <w:kern w:val="0"/>
                      <w:sz w:val="21"/>
                      <w:szCs w:val="21"/>
                      <w:lang w:val="en-US" w:eastAsia="zh-CN"/>
                    </w:rPr>
                  </w:pPr>
                  <w:r>
                    <w:rPr>
                      <w:rFonts w:hint="eastAsia"/>
                      <w:kern w:val="0"/>
                      <w:sz w:val="21"/>
                      <w:szCs w:val="21"/>
                      <w:lang w:val="en-US" w:eastAsia="zh-CN"/>
                    </w:rPr>
                    <w:t>13</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挤出机3号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-25</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-26</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36</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14</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拉条机2号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-14</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-15</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20</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15</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拉条机3号</w:t>
                  </w:r>
                </w:p>
              </w:tc>
              <w:tc>
                <w:tcPr>
                  <w:tcW w:w="7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-21</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-29</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35</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16</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切粒机2号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-18</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-17</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25</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17</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切粒机3号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90</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-24</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-30</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38</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18</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脱水机2号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-19</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-20</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27</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58.2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19</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脱水机3号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85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-26</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-32</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41</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57.6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20</w:t>
                  </w:r>
                </w:p>
              </w:tc>
              <w:tc>
                <w:tcPr>
                  <w:tcW w:w="6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振动筛2号</w:t>
                  </w:r>
                </w:p>
              </w:tc>
              <w:tc>
                <w:tcPr>
                  <w:tcW w:w="7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95</w:t>
                  </w:r>
                </w:p>
              </w:tc>
              <w:tc>
                <w:tcPr>
                  <w:tcW w:w="66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-20</w:t>
                  </w:r>
                </w:p>
              </w:tc>
              <w:tc>
                <w:tcPr>
                  <w:tcW w:w="80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-21</w:t>
                  </w:r>
                </w:p>
              </w:tc>
              <w:tc>
                <w:tcPr>
                  <w:tcW w:w="80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29</w:t>
                  </w:r>
                </w:p>
              </w:tc>
              <w:tc>
                <w:tcPr>
                  <w:tcW w:w="1051" w:type="dxa"/>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2"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21</w:t>
                  </w:r>
                </w:p>
              </w:tc>
              <w:tc>
                <w:tcPr>
                  <w:tcW w:w="675" w:type="dxa"/>
                  <w:vMerge w:val="continue"/>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1853"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kern w:val="0"/>
                      <w:sz w:val="21"/>
                      <w:szCs w:val="21"/>
                      <w:lang w:val="en-US" w:eastAsia="zh-CN"/>
                    </w:rPr>
                  </w:pPr>
                  <w:r>
                    <w:rPr>
                      <w:rFonts w:hint="eastAsia"/>
                      <w:kern w:val="0"/>
                      <w:sz w:val="21"/>
                      <w:szCs w:val="21"/>
                      <w:lang w:val="en-US" w:eastAsia="zh-CN"/>
                    </w:rPr>
                    <w:t>振动筛3号</w:t>
                  </w:r>
                </w:p>
              </w:tc>
              <w:tc>
                <w:tcPr>
                  <w:tcW w:w="705"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kern w:val="0"/>
                      <w:sz w:val="21"/>
                      <w:szCs w:val="21"/>
                      <w:lang w:val="en-US" w:eastAsia="zh-CN"/>
                    </w:rPr>
                  </w:pPr>
                  <w:r>
                    <w:rPr>
                      <w:rFonts w:hint="eastAsia"/>
                      <w:kern w:val="0"/>
                      <w:sz w:val="21"/>
                      <w:szCs w:val="21"/>
                      <w:lang w:val="en-US" w:eastAsia="zh-CN"/>
                    </w:rPr>
                    <w:t>95</w:t>
                  </w:r>
                </w:p>
              </w:tc>
              <w:tc>
                <w:tcPr>
                  <w:tcW w:w="660" w:type="dxa"/>
                  <w:vMerge w:val="continue"/>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eastAsia"/>
                      <w:sz w:val="21"/>
                      <w:szCs w:val="21"/>
                    </w:rPr>
                  </w:pPr>
                </w:p>
              </w:tc>
              <w:tc>
                <w:tcPr>
                  <w:tcW w:w="805"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-27</w:t>
                  </w:r>
                </w:p>
              </w:tc>
              <w:tc>
                <w:tcPr>
                  <w:tcW w:w="805"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-34</w:t>
                  </w:r>
                </w:p>
              </w:tc>
              <w:tc>
                <w:tcPr>
                  <w:tcW w:w="805"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textAlignment w:val="baseline"/>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1.2</w:t>
                  </w:r>
                </w:p>
              </w:tc>
              <w:tc>
                <w:tcPr>
                  <w:tcW w:w="795"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44</w:t>
                  </w:r>
                </w:p>
              </w:tc>
              <w:tc>
                <w:tcPr>
                  <w:tcW w:w="1051" w:type="dxa"/>
                  <w:tcBorders>
                    <w:bottom w:val="single" w:color="000000" w:sz="8" w:space="0"/>
                  </w:tcBorders>
                  <w:noWrap w:val="0"/>
                  <w:vAlign w:val="center"/>
                </w:tcPr>
                <w:p>
                  <w:pPr>
                    <w:keepNext w:val="0"/>
                    <w:keepLines w:val="0"/>
                    <w:suppressLineNumbers w:val="0"/>
                    <w:adjustRightInd w:val="0"/>
                    <w:snapToGrid w:val="0"/>
                    <w:spacing w:before="0" w:beforeAutospacing="0" w:after="0" w:afterAutospacing="0"/>
                    <w:ind w:left="0" w:right="0"/>
                    <w:jc w:val="center"/>
                    <w:textAlignment w:val="baseline"/>
                    <w:rPr>
                      <w:rFonts w:hint="default"/>
                      <w:sz w:val="21"/>
                      <w:szCs w:val="21"/>
                      <w:lang w:val="en-US" w:eastAsia="zh-CN"/>
                    </w:rPr>
                  </w:pPr>
                  <w:r>
                    <w:rPr>
                      <w:rFonts w:hint="eastAsia"/>
                      <w:sz w:val="21"/>
                      <w:szCs w:val="21"/>
                      <w:lang w:val="en-US" w:eastAsia="zh-CN"/>
                    </w:rPr>
                    <w:t>67.5</w:t>
                  </w:r>
                </w:p>
              </w:tc>
            </w:tr>
          </w:tbl>
          <w:p>
            <w:pPr>
              <w:keepNext w:val="0"/>
              <w:keepLines w:val="0"/>
              <w:suppressLineNumbers w:val="0"/>
              <w:spacing w:before="0" w:beforeAutospacing="0" w:after="0" w:afterAutospacing="0" w:line="440" w:lineRule="exact"/>
              <w:ind w:left="0" w:right="0" w:firstLine="480" w:firstLineChars="200"/>
              <w:rPr>
                <w:rFonts w:hint="default"/>
                <w:sz w:val="24"/>
              </w:rPr>
            </w:pPr>
            <w:r>
              <w:rPr>
                <w:rFonts w:hint="default"/>
                <w:sz w:val="24"/>
              </w:rPr>
              <w:t>本项目主要噪声源的</w:t>
            </w:r>
            <w:r>
              <w:rPr>
                <w:rFonts w:hint="eastAsia"/>
                <w:sz w:val="24"/>
                <w:lang w:val="en-US" w:eastAsia="zh-CN"/>
              </w:rPr>
              <w:t>叠加</w:t>
            </w:r>
            <w:r>
              <w:rPr>
                <w:rFonts w:hint="default"/>
                <w:sz w:val="24"/>
              </w:rPr>
              <w:t>声级及治理情况见下表。</w:t>
            </w:r>
          </w:p>
          <w:p>
            <w:pPr>
              <w:keepNext w:val="0"/>
              <w:keepLines w:val="0"/>
              <w:suppressLineNumbers w:val="0"/>
              <w:spacing w:before="0" w:beforeAutospacing="0" w:after="0" w:afterAutospacing="0" w:line="440" w:lineRule="exact"/>
              <w:ind w:left="0" w:right="0"/>
              <w:jc w:val="center"/>
              <w:rPr>
                <w:rFonts w:hint="default"/>
                <w:b/>
                <w:bCs/>
                <w:color w:val="auto"/>
              </w:rPr>
            </w:pPr>
            <w:r>
              <w:rPr>
                <w:rFonts w:hint="default"/>
                <w:b/>
                <w:bCs/>
                <w:color w:val="auto"/>
                <w:kern w:val="0"/>
                <w:sz w:val="24"/>
              </w:rPr>
              <w:t>表</w:t>
            </w:r>
            <w:r>
              <w:rPr>
                <w:rFonts w:hint="eastAsia"/>
                <w:b/>
                <w:bCs/>
                <w:color w:val="auto"/>
                <w:kern w:val="0"/>
                <w:sz w:val="24"/>
                <w:lang w:val="en-US" w:eastAsia="zh-CN"/>
              </w:rPr>
              <w:t xml:space="preserve">36  </w:t>
            </w:r>
            <w:r>
              <w:rPr>
                <w:rFonts w:hint="default"/>
                <w:b/>
                <w:bCs/>
                <w:color w:val="auto"/>
                <w:kern w:val="0"/>
                <w:sz w:val="24"/>
              </w:rPr>
              <w:t>本项目主要设备</w:t>
            </w:r>
            <w:r>
              <w:rPr>
                <w:rFonts w:hint="eastAsia"/>
                <w:b/>
                <w:bCs/>
                <w:color w:val="auto"/>
                <w:sz w:val="24"/>
                <w:lang w:val="en-US" w:eastAsia="zh-CN"/>
              </w:rPr>
              <w:t>叠加</w:t>
            </w:r>
            <w:r>
              <w:rPr>
                <w:rFonts w:hint="default"/>
                <w:b/>
                <w:bCs/>
                <w:color w:val="auto"/>
                <w:sz w:val="24"/>
              </w:rPr>
              <w:t>声级及治理情况</w:t>
            </w:r>
          </w:p>
          <w:tbl>
            <w:tblPr>
              <w:tblStyle w:val="23"/>
              <w:tblW w:w="5000"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4"/>
              <w:gridCol w:w="1578"/>
              <w:gridCol w:w="1455"/>
              <w:gridCol w:w="1456"/>
              <w:gridCol w:w="1456"/>
            </w:tblGrid>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Merge w:val="restart"/>
                  <w:tcBorders>
                    <w:top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bCs w:val="0"/>
                      <w:kern w:val="0"/>
                      <w:sz w:val="21"/>
                      <w:szCs w:val="21"/>
                      <w:lang w:val="en-US" w:eastAsia="zh-CN"/>
                    </w:rPr>
                  </w:pPr>
                  <w:r>
                    <w:rPr>
                      <w:rFonts w:hint="eastAsia"/>
                      <w:b/>
                      <w:bCs w:val="0"/>
                      <w:kern w:val="0"/>
                      <w:sz w:val="21"/>
                      <w:szCs w:val="21"/>
                      <w:lang w:val="en-US" w:eastAsia="zh-CN"/>
                    </w:rPr>
                    <w:t>项目建设情况</w:t>
                  </w:r>
                </w:p>
              </w:tc>
              <w:tc>
                <w:tcPr>
                  <w:tcW w:w="1334" w:type="dxa"/>
                  <w:vMerge w:val="restart"/>
                  <w:tcBorders>
                    <w:top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b/>
                      <w:bCs w:val="0"/>
                      <w:sz w:val="21"/>
                      <w:szCs w:val="21"/>
                      <w:vertAlign w:val="baseline"/>
                    </w:rPr>
                  </w:pPr>
                  <w:r>
                    <w:rPr>
                      <w:rFonts w:hint="default"/>
                      <w:b/>
                      <w:bCs w:val="0"/>
                      <w:kern w:val="0"/>
                      <w:sz w:val="21"/>
                      <w:szCs w:val="21"/>
                    </w:rPr>
                    <w:t>室内边界</w:t>
                  </w:r>
                  <w:r>
                    <w:rPr>
                      <w:rFonts w:hint="eastAsia"/>
                      <w:b/>
                      <w:bCs w:val="0"/>
                      <w:kern w:val="0"/>
                      <w:sz w:val="21"/>
                      <w:szCs w:val="21"/>
                    </w:rPr>
                    <w:t>叠加</w:t>
                  </w:r>
                  <w:r>
                    <w:rPr>
                      <w:rFonts w:hint="default"/>
                      <w:b/>
                      <w:bCs w:val="0"/>
                      <w:kern w:val="0"/>
                      <w:sz w:val="21"/>
                      <w:szCs w:val="21"/>
                    </w:rPr>
                    <w:t>声级/dB（A）</w:t>
                  </w:r>
                </w:p>
              </w:tc>
              <w:tc>
                <w:tcPr>
                  <w:tcW w:w="1578" w:type="dxa"/>
                  <w:vMerge w:val="restart"/>
                  <w:tcBorders>
                    <w:top w:val="single" w:color="auto" w:sz="8" w:space="0"/>
                    <w:left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b/>
                      <w:bCs w:val="0"/>
                      <w:sz w:val="21"/>
                      <w:szCs w:val="21"/>
                      <w:vertAlign w:val="baseline"/>
                    </w:rPr>
                  </w:pPr>
                  <w:r>
                    <w:rPr>
                      <w:rFonts w:hint="default"/>
                      <w:b/>
                      <w:bCs w:val="0"/>
                      <w:kern w:val="0"/>
                      <w:sz w:val="21"/>
                      <w:szCs w:val="21"/>
                    </w:rPr>
                    <w:t>运行时段</w:t>
                  </w:r>
                </w:p>
              </w:tc>
              <w:tc>
                <w:tcPr>
                  <w:tcW w:w="1455" w:type="dxa"/>
                  <w:vMerge w:val="restart"/>
                  <w:tcBorders>
                    <w:top w:val="single" w:color="auto" w:sz="8" w:space="0"/>
                    <w:left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b/>
                      <w:bCs w:val="0"/>
                      <w:sz w:val="21"/>
                      <w:szCs w:val="21"/>
                      <w:vertAlign w:val="baseline"/>
                    </w:rPr>
                  </w:pPr>
                  <w:r>
                    <w:rPr>
                      <w:rFonts w:hint="default"/>
                      <w:b/>
                      <w:bCs w:val="0"/>
                      <w:kern w:val="0"/>
                      <w:sz w:val="21"/>
                      <w:szCs w:val="21"/>
                    </w:rPr>
                    <w:t>建筑物插入损失/dB（A）</w:t>
                  </w:r>
                </w:p>
              </w:tc>
              <w:tc>
                <w:tcPr>
                  <w:tcW w:w="2912" w:type="dxa"/>
                  <w:gridSpan w:val="2"/>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default"/>
                      <w:b/>
                      <w:bCs w:val="0"/>
                      <w:sz w:val="21"/>
                      <w:szCs w:val="21"/>
                      <w:vertAlign w:val="baseline"/>
                    </w:rPr>
                  </w:pPr>
                  <w:r>
                    <w:rPr>
                      <w:rFonts w:hint="default"/>
                      <w:b/>
                      <w:bCs w:val="0"/>
                      <w:kern w:val="0"/>
                      <w:sz w:val="21"/>
                      <w:szCs w:val="21"/>
                    </w:rPr>
                    <w:t>建筑物外噪声</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vMerge w:val="continue"/>
                  <w:tcBorders>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sz w:val="21"/>
                      <w:szCs w:val="21"/>
                    </w:rPr>
                  </w:pPr>
                </w:p>
              </w:tc>
              <w:tc>
                <w:tcPr>
                  <w:tcW w:w="1334" w:type="dxa"/>
                  <w:vMerge w:val="continue"/>
                  <w:tcBorders>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sz w:val="21"/>
                      <w:szCs w:val="21"/>
                    </w:rPr>
                  </w:pPr>
                </w:p>
              </w:tc>
              <w:tc>
                <w:tcPr>
                  <w:tcW w:w="1578" w:type="dxa"/>
                  <w:vMerge w:val="continue"/>
                  <w:tcBorders>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sz w:val="21"/>
                      <w:szCs w:val="21"/>
                    </w:rPr>
                  </w:pPr>
                </w:p>
              </w:tc>
              <w:tc>
                <w:tcPr>
                  <w:tcW w:w="1455" w:type="dxa"/>
                  <w:vMerge w:val="continue"/>
                  <w:tcBorders>
                    <w:left w:val="single" w:color="auto" w:sz="8" w:space="0"/>
                    <w:bottom w:val="single" w:color="auto" w:sz="8" w:space="0"/>
                    <w:right w:val="single" w:color="auto" w:sz="8" w:space="0"/>
                  </w:tcBorders>
                  <w:vAlign w:val="center"/>
                </w:tcPr>
                <w:p>
                  <w:pPr>
                    <w:keepNext w:val="0"/>
                    <w:keepLines w:val="0"/>
                    <w:suppressLineNumbers w:val="0"/>
                    <w:spacing w:before="0" w:beforeAutospacing="0" w:after="0" w:afterAutospacing="0" w:line="240" w:lineRule="auto"/>
                    <w:ind w:left="0" w:right="0"/>
                    <w:jc w:val="center"/>
                    <w:rPr>
                      <w:rFonts w:hint="default"/>
                      <w:sz w:val="21"/>
                      <w:szCs w:val="21"/>
                    </w:rPr>
                  </w:pPr>
                </w:p>
              </w:tc>
              <w:tc>
                <w:tcPr>
                  <w:tcW w:w="1456" w:type="dxa"/>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default"/>
                      <w:b/>
                      <w:bCs/>
                      <w:kern w:val="0"/>
                      <w:sz w:val="21"/>
                      <w:szCs w:val="21"/>
                    </w:rPr>
                  </w:pPr>
                  <w:r>
                    <w:rPr>
                      <w:rFonts w:hint="default"/>
                      <w:b/>
                      <w:bCs/>
                      <w:kern w:val="0"/>
                      <w:sz w:val="21"/>
                      <w:szCs w:val="21"/>
                    </w:rPr>
                    <w:t>声压级</w:t>
                  </w:r>
                </w:p>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kern w:val="2"/>
                      <w:sz w:val="21"/>
                      <w:szCs w:val="21"/>
                      <w:vertAlign w:val="baseline"/>
                      <w:lang w:val="en-US" w:eastAsia="zh-CN" w:bidi="ar-SA"/>
                    </w:rPr>
                  </w:pPr>
                  <w:r>
                    <w:rPr>
                      <w:rFonts w:hint="default"/>
                      <w:b/>
                      <w:bCs/>
                      <w:kern w:val="0"/>
                      <w:sz w:val="21"/>
                      <w:szCs w:val="21"/>
                    </w:rPr>
                    <w:t>/dB（A</w:t>
                  </w:r>
                  <w:r>
                    <w:rPr>
                      <w:rFonts w:hint="eastAsia"/>
                      <w:b/>
                      <w:bCs/>
                      <w:kern w:val="0"/>
                      <w:sz w:val="21"/>
                      <w:szCs w:val="21"/>
                      <w:lang w:eastAsia="zh-CN"/>
                    </w:rPr>
                    <w:t>）</w:t>
                  </w:r>
                </w:p>
              </w:tc>
              <w:tc>
                <w:tcPr>
                  <w:tcW w:w="1456" w:type="dxa"/>
                  <w:tcBorders>
                    <w:top w:val="single" w:color="auto" w:sz="8" w:space="0"/>
                    <w:left w:val="single" w:color="auto" w:sz="8"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default"/>
                      <w:b/>
                      <w:bCs/>
                      <w:kern w:val="0"/>
                      <w:sz w:val="21"/>
                      <w:szCs w:val="21"/>
                    </w:rPr>
                  </w:pPr>
                  <w:r>
                    <w:rPr>
                      <w:rFonts w:hint="default"/>
                      <w:b/>
                      <w:bCs/>
                      <w:kern w:val="0"/>
                      <w:sz w:val="21"/>
                      <w:szCs w:val="21"/>
                    </w:rPr>
                    <w:t>建筑物外</w:t>
                  </w:r>
                </w:p>
                <w:p>
                  <w:pPr>
                    <w:keepNext w:val="0"/>
                    <w:keepLines w:val="0"/>
                    <w:suppressLineNumbers w:val="0"/>
                    <w:spacing w:before="0" w:beforeAutospacing="0" w:after="0" w:afterAutospacing="0" w:line="240" w:lineRule="auto"/>
                    <w:ind w:left="0" w:right="0"/>
                    <w:jc w:val="center"/>
                    <w:rPr>
                      <w:rFonts w:hint="default"/>
                      <w:b/>
                      <w:bCs/>
                      <w:kern w:val="0"/>
                      <w:sz w:val="21"/>
                      <w:szCs w:val="21"/>
                    </w:rPr>
                  </w:pPr>
                  <w:r>
                    <w:rPr>
                      <w:rFonts w:hint="default"/>
                      <w:b/>
                      <w:bCs/>
                      <w:kern w:val="0"/>
                      <w:sz w:val="21"/>
                      <w:szCs w:val="21"/>
                    </w:rPr>
                    <w:t>距离/m</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tcBorders>
                    <w:top w:val="single" w:color="auto" w:sz="8" w:space="0"/>
                    <w:left w:val="nil"/>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一期</w:t>
                  </w:r>
                </w:p>
              </w:tc>
              <w:tc>
                <w:tcPr>
                  <w:tcW w:w="1334"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74.45</w:t>
                  </w:r>
                </w:p>
              </w:tc>
              <w:tc>
                <w:tcPr>
                  <w:tcW w:w="1578" w:type="dxa"/>
                  <w:vMerge w:val="restart"/>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8:30—18:30</w:t>
                  </w:r>
                </w:p>
              </w:tc>
              <w:tc>
                <w:tcPr>
                  <w:tcW w:w="1455" w:type="dxa"/>
                  <w:vMerge w:val="restart"/>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30</w:t>
                  </w:r>
                </w:p>
              </w:tc>
              <w:tc>
                <w:tcPr>
                  <w:tcW w:w="1456" w:type="dxa"/>
                  <w:tcBorders>
                    <w:top w:val="single" w:color="auto" w:sz="8" w:space="0"/>
                    <w:left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val="0"/>
                      <w:bCs w:val="0"/>
                      <w:sz w:val="21"/>
                      <w:szCs w:val="21"/>
                      <w:vertAlign w:val="baseline"/>
                      <w:lang w:val="en-US" w:eastAsia="zh-CN"/>
                    </w:rPr>
                  </w:pPr>
                  <w:r>
                    <w:rPr>
                      <w:rFonts w:hint="eastAsia" w:eastAsia="宋体"/>
                      <w:b w:val="0"/>
                      <w:bCs w:val="0"/>
                      <w:sz w:val="21"/>
                      <w:szCs w:val="21"/>
                      <w:vertAlign w:val="baseline"/>
                      <w:lang w:val="en-US" w:eastAsia="zh-CN"/>
                    </w:rPr>
                    <w:t>38.45</w:t>
                  </w:r>
                </w:p>
              </w:tc>
              <w:tc>
                <w:tcPr>
                  <w:tcW w:w="1456" w:type="dxa"/>
                  <w:vMerge w:val="restart"/>
                  <w:tcBorders>
                    <w:top w:val="single" w:color="auto" w:sz="8" w:space="0"/>
                    <w:left w:val="single" w:color="auto" w:sz="4" w:space="0"/>
                    <w:right w:val="nil"/>
                  </w:tcBorders>
                  <w:vAlign w:val="center"/>
                </w:tcPr>
                <w:p>
                  <w:pPr>
                    <w:keepNext w:val="0"/>
                    <w:keepLines w:val="0"/>
                    <w:suppressLineNumbers w:val="0"/>
                    <w:spacing w:before="0" w:beforeAutospacing="0" w:after="0" w:afterAutospacing="0" w:line="240" w:lineRule="auto"/>
                    <w:ind w:left="0" w:right="0"/>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1</w:t>
                  </w:r>
                </w:p>
              </w:tc>
            </w:tr>
            <w:tr>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2" w:type="dxa"/>
                  <w:tcBorders>
                    <w:left w:val="nil"/>
                    <w:bottom w:val="single" w:color="auto" w:sz="8"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eastAsia" w:eastAsia="宋体"/>
                      <w:b w:val="0"/>
                      <w:bCs w:val="0"/>
                      <w:sz w:val="21"/>
                      <w:szCs w:val="21"/>
                      <w:vertAlign w:val="baseline"/>
                      <w:lang w:val="en-US" w:eastAsia="zh-CN"/>
                    </w:rPr>
                  </w:pPr>
                  <w:r>
                    <w:rPr>
                      <w:rFonts w:hint="eastAsia"/>
                      <w:b w:val="0"/>
                      <w:bCs w:val="0"/>
                      <w:sz w:val="21"/>
                      <w:szCs w:val="21"/>
                      <w:vertAlign w:val="baseline"/>
                      <w:lang w:val="en-US" w:eastAsia="zh-CN"/>
                    </w:rPr>
                    <w:t>项目建成后</w:t>
                  </w:r>
                </w:p>
              </w:tc>
              <w:tc>
                <w:tcPr>
                  <w:tcW w:w="1334" w:type="dxa"/>
                  <w:tcBorders>
                    <w:left w:val="single" w:color="auto" w:sz="4" w:space="0"/>
                    <w:bottom w:val="single" w:color="auto" w:sz="8"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eastAsia="宋体"/>
                      <w:b w:val="0"/>
                      <w:bCs w:val="0"/>
                      <w:sz w:val="21"/>
                      <w:szCs w:val="21"/>
                      <w:vertAlign w:val="baseline"/>
                      <w:lang w:val="en-US" w:eastAsia="zh-CN"/>
                    </w:rPr>
                  </w:pPr>
                  <w:r>
                    <w:rPr>
                      <w:rFonts w:hint="eastAsia"/>
                      <w:b w:val="0"/>
                      <w:bCs w:val="0"/>
                      <w:sz w:val="21"/>
                      <w:szCs w:val="21"/>
                      <w:vertAlign w:val="baseline"/>
                      <w:lang w:val="en-US" w:eastAsia="zh-CN"/>
                    </w:rPr>
                    <w:t>78.06</w:t>
                  </w:r>
                </w:p>
              </w:tc>
              <w:tc>
                <w:tcPr>
                  <w:tcW w:w="1578" w:type="dxa"/>
                  <w:vMerge w:val="continue"/>
                  <w:tcBorders>
                    <w:left w:val="single" w:color="auto" w:sz="4" w:space="0"/>
                    <w:bottom w:val="single" w:color="auto" w:sz="8"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b w:val="0"/>
                      <w:bCs w:val="0"/>
                      <w:sz w:val="21"/>
                      <w:szCs w:val="21"/>
                      <w:vertAlign w:val="baseline"/>
                    </w:rPr>
                  </w:pPr>
                </w:p>
              </w:tc>
              <w:tc>
                <w:tcPr>
                  <w:tcW w:w="1455" w:type="dxa"/>
                  <w:vMerge w:val="continue"/>
                  <w:tcBorders>
                    <w:left w:val="single" w:color="auto" w:sz="4" w:space="0"/>
                    <w:bottom w:val="single" w:color="auto" w:sz="8"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b w:val="0"/>
                      <w:bCs w:val="0"/>
                      <w:sz w:val="21"/>
                      <w:szCs w:val="21"/>
                      <w:vertAlign w:val="baseline"/>
                    </w:rPr>
                  </w:pPr>
                </w:p>
              </w:tc>
              <w:tc>
                <w:tcPr>
                  <w:tcW w:w="1456" w:type="dxa"/>
                  <w:tcBorders>
                    <w:left w:val="single" w:color="auto" w:sz="4" w:space="0"/>
                    <w:bottom w:val="single" w:color="auto" w:sz="8" w:space="0"/>
                    <w:right w:val="single" w:color="auto" w:sz="4" w:space="0"/>
                  </w:tcBorders>
                  <w:vAlign w:val="center"/>
                </w:tcPr>
                <w:p>
                  <w:pPr>
                    <w:keepNext w:val="0"/>
                    <w:keepLines w:val="0"/>
                    <w:suppressLineNumbers w:val="0"/>
                    <w:spacing w:before="0" w:beforeAutospacing="0" w:after="0" w:afterAutospacing="0" w:line="240" w:lineRule="auto"/>
                    <w:ind w:left="0" w:right="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42.06</w:t>
                  </w:r>
                </w:p>
              </w:tc>
              <w:tc>
                <w:tcPr>
                  <w:tcW w:w="1456" w:type="dxa"/>
                  <w:vMerge w:val="continue"/>
                  <w:tcBorders>
                    <w:left w:val="single" w:color="auto" w:sz="4" w:space="0"/>
                    <w:bottom w:val="single" w:color="auto" w:sz="8" w:space="0"/>
                    <w:right w:val="nil"/>
                  </w:tcBorders>
                  <w:vAlign w:val="center"/>
                </w:tcPr>
                <w:p>
                  <w:pPr>
                    <w:keepNext w:val="0"/>
                    <w:keepLines w:val="0"/>
                    <w:suppressLineNumbers w:val="0"/>
                    <w:spacing w:before="0" w:beforeAutospacing="0" w:after="0" w:afterAutospacing="0" w:line="240" w:lineRule="auto"/>
                    <w:ind w:left="0" w:right="0"/>
                    <w:jc w:val="center"/>
                    <w:rPr>
                      <w:rFonts w:hint="eastAsia"/>
                      <w:b w:val="0"/>
                      <w:bCs w:val="0"/>
                      <w:sz w:val="21"/>
                      <w:szCs w:val="21"/>
                      <w:vertAlign w:val="baseline"/>
                      <w:lang w:val="en-US" w:eastAsia="zh-CN"/>
                    </w:rPr>
                  </w:pPr>
                </w:p>
              </w:tc>
            </w:tr>
          </w:tbl>
          <w:p>
            <w:pPr>
              <w:keepNext w:val="0"/>
              <w:keepLines w:val="0"/>
              <w:suppressLineNumbers w:val="0"/>
              <w:spacing w:before="0" w:beforeAutospacing="0" w:after="0" w:afterAutospacing="0" w:line="440" w:lineRule="exact"/>
              <w:ind w:left="0" w:right="0" w:firstLine="480" w:firstLineChars="200"/>
              <w:rPr>
                <w:rFonts w:hint="default"/>
                <w:sz w:val="24"/>
              </w:rPr>
            </w:pPr>
            <w:r>
              <w:rPr>
                <w:rFonts w:hint="default"/>
                <w:sz w:val="24"/>
              </w:rPr>
              <w:t>根据本项目主要高噪声设备的分布状况和房间外源强，</w:t>
            </w:r>
            <w:r>
              <w:rPr>
                <w:rFonts w:hint="eastAsia"/>
                <w:sz w:val="24"/>
              </w:rPr>
              <w:t>根据导则中</w:t>
            </w:r>
            <w:r>
              <w:rPr>
                <w:rFonts w:hint="default"/>
                <w:sz w:val="24"/>
              </w:rPr>
              <w:t>噪声预测模型</w:t>
            </w:r>
            <w:r>
              <w:rPr>
                <w:rFonts w:hint="eastAsia"/>
                <w:sz w:val="24"/>
              </w:rPr>
              <w:t>，</w:t>
            </w:r>
            <w:r>
              <w:rPr>
                <w:rFonts w:hint="default"/>
                <w:sz w:val="24"/>
              </w:rPr>
              <w:t>计算出各声源对</w:t>
            </w:r>
            <w:r>
              <w:rPr>
                <w:rFonts w:hint="eastAsia"/>
                <w:sz w:val="24"/>
              </w:rPr>
              <w:t>厂界的噪声</w:t>
            </w:r>
            <w:r>
              <w:rPr>
                <w:rFonts w:hint="default"/>
                <w:sz w:val="24"/>
              </w:rPr>
              <w:t>贡献值</w:t>
            </w:r>
            <w:r>
              <w:rPr>
                <w:rFonts w:hint="eastAsia"/>
                <w:sz w:val="24"/>
              </w:rPr>
              <w:t>。</w:t>
            </w:r>
          </w:p>
          <w:p>
            <w:pPr>
              <w:keepNext w:val="0"/>
              <w:keepLines w:val="0"/>
              <w:suppressLineNumbers w:val="0"/>
              <w:spacing w:before="0" w:beforeAutospacing="0" w:after="0" w:afterAutospacing="0" w:line="440" w:lineRule="exact"/>
              <w:ind w:left="0" w:right="0" w:firstLine="480" w:firstLineChars="200"/>
              <w:rPr>
                <w:rFonts w:hint="default"/>
                <w:sz w:val="24"/>
              </w:rPr>
            </w:pPr>
            <w:r>
              <w:rPr>
                <w:rFonts w:hint="eastAsia"/>
                <w:sz w:val="24"/>
              </w:rPr>
              <w:t>点声源</w:t>
            </w:r>
            <w:r>
              <w:rPr>
                <w:rFonts w:hint="default"/>
                <w:sz w:val="24"/>
              </w:rPr>
              <w:t>的</w:t>
            </w:r>
            <w:r>
              <w:rPr>
                <w:rFonts w:hint="eastAsia"/>
                <w:sz w:val="24"/>
              </w:rPr>
              <w:t>几何</w:t>
            </w:r>
            <w:r>
              <w:rPr>
                <w:rFonts w:hint="default"/>
                <w:sz w:val="24"/>
              </w:rPr>
              <w:t>发散衰减的</w:t>
            </w:r>
            <w:r>
              <w:rPr>
                <w:rFonts w:hint="eastAsia"/>
                <w:sz w:val="24"/>
              </w:rPr>
              <w:t>基本公式</w:t>
            </w:r>
            <w:r>
              <w:rPr>
                <w:rFonts w:hint="default"/>
                <w:sz w:val="24"/>
              </w:rPr>
              <w:t>如下：</w:t>
            </w:r>
          </w:p>
          <w:p>
            <w:pPr>
              <w:keepNext w:val="0"/>
              <w:keepLines w:val="0"/>
              <w:suppressLineNumbers w:val="0"/>
              <w:spacing w:before="0" w:beforeAutospacing="0" w:after="0" w:afterAutospacing="0" w:line="440" w:lineRule="exact"/>
              <w:ind w:left="0" w:right="0"/>
              <w:jc w:val="center"/>
              <w:rPr>
                <w:rFonts w:hint="default"/>
                <w:sz w:val="24"/>
              </w:rPr>
            </w:pPr>
            <w:r>
              <w:rPr>
                <w:rFonts w:hint="default"/>
                <w:sz w:val="24"/>
              </w:rPr>
              <w:t>Lp（</w:t>
            </w:r>
            <w:r>
              <w:rPr>
                <w:rFonts w:hint="eastAsia"/>
                <w:sz w:val="24"/>
              </w:rPr>
              <w:t>r</w:t>
            </w:r>
            <w:r>
              <w:rPr>
                <w:rFonts w:hint="default"/>
                <w:sz w:val="24"/>
              </w:rPr>
              <w:t>）</w:t>
            </w:r>
            <w:r>
              <w:rPr>
                <w:rFonts w:hint="eastAsia"/>
                <w:sz w:val="24"/>
              </w:rPr>
              <w:t>=</w:t>
            </w:r>
            <w:r>
              <w:rPr>
                <w:rFonts w:hint="default"/>
                <w:sz w:val="24"/>
              </w:rPr>
              <w:t>L</w:t>
            </w:r>
            <w:r>
              <w:rPr>
                <w:rFonts w:hint="eastAsia"/>
                <w:sz w:val="24"/>
              </w:rPr>
              <w:t>w-20</w:t>
            </w:r>
            <w:r>
              <w:rPr>
                <w:rFonts w:hint="default"/>
                <w:sz w:val="24"/>
              </w:rPr>
              <w:t>lg</w:t>
            </w:r>
            <w:r>
              <w:rPr>
                <w:rFonts w:hint="eastAsia"/>
                <w:sz w:val="24"/>
              </w:rPr>
              <w:t>r-8</w:t>
            </w:r>
          </w:p>
          <w:p>
            <w:pPr>
              <w:keepNext w:val="0"/>
              <w:keepLines w:val="0"/>
              <w:suppressLineNumbers w:val="0"/>
              <w:spacing w:before="0" w:beforeAutospacing="0" w:after="0" w:afterAutospacing="0" w:line="440" w:lineRule="exact"/>
              <w:ind w:left="0" w:right="0"/>
              <w:rPr>
                <w:rFonts w:hint="default"/>
                <w:sz w:val="24"/>
              </w:rPr>
            </w:pPr>
            <w:r>
              <w:rPr>
                <w:rFonts w:hint="eastAsia"/>
                <w:sz w:val="24"/>
              </w:rPr>
              <w:t>式中</w:t>
            </w:r>
            <w:r>
              <w:rPr>
                <w:rFonts w:hint="default"/>
                <w:sz w:val="24"/>
              </w:rPr>
              <w:t>：Lp（</w:t>
            </w:r>
            <w:r>
              <w:rPr>
                <w:rFonts w:hint="eastAsia"/>
                <w:sz w:val="24"/>
              </w:rPr>
              <w:t>r</w:t>
            </w:r>
            <w:r>
              <w:rPr>
                <w:rFonts w:hint="default"/>
                <w:sz w:val="24"/>
              </w:rPr>
              <w:t>）</w:t>
            </w:r>
            <w:r>
              <w:rPr>
                <w:rFonts w:hint="eastAsia"/>
                <w:sz w:val="24"/>
                <w:lang w:eastAsia="zh-CN"/>
              </w:rPr>
              <w:t>—</w:t>
            </w:r>
            <w:r>
              <w:rPr>
                <w:rFonts w:hint="eastAsia"/>
                <w:sz w:val="24"/>
              </w:rPr>
              <w:t>预测点处声压级，dB；</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L</w:t>
            </w:r>
            <w:r>
              <w:rPr>
                <w:rFonts w:hint="eastAsia"/>
                <w:sz w:val="24"/>
              </w:rPr>
              <w:t>w—由点声源产生的倍频带声功率级，dB；</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r—</w:t>
            </w:r>
            <w:r>
              <w:rPr>
                <w:rFonts w:hint="eastAsia"/>
                <w:sz w:val="24"/>
              </w:rPr>
              <w:t>预测点距声源的距离，</w:t>
            </w:r>
            <w:r>
              <w:rPr>
                <w:rFonts w:hint="default"/>
                <w:sz w:val="24"/>
              </w:rPr>
              <w:t>m；</w:t>
            </w:r>
          </w:p>
          <w:p>
            <w:pPr>
              <w:keepNext w:val="0"/>
              <w:keepLines w:val="0"/>
              <w:suppressLineNumbers w:val="0"/>
              <w:spacing w:before="0" w:beforeAutospacing="0" w:after="0" w:afterAutospacing="0" w:line="440" w:lineRule="exact"/>
              <w:ind w:left="0" w:right="0" w:firstLine="480" w:firstLineChars="200"/>
              <w:rPr>
                <w:rFonts w:hint="eastAsia"/>
                <w:sz w:val="24"/>
                <w:lang w:eastAsia="zh-CN"/>
              </w:rPr>
            </w:pPr>
            <w:r>
              <w:rPr>
                <w:rFonts w:hint="eastAsia"/>
                <w:sz w:val="24"/>
              </w:rPr>
              <w:t>本项目</w:t>
            </w:r>
            <w:r>
              <w:rPr>
                <w:rFonts w:hint="default"/>
                <w:sz w:val="24"/>
              </w:rPr>
              <w:t>声源在预测点产生的贡献值（Leqg）计算公式</w:t>
            </w:r>
            <w:r>
              <w:rPr>
                <w:rFonts w:hint="eastAsia"/>
                <w:sz w:val="24"/>
                <w:lang w:eastAsia="zh-CN"/>
              </w:rPr>
              <w:t>：</w:t>
            </w:r>
          </w:p>
          <w:p>
            <w:pPr>
              <w:keepNext w:val="0"/>
              <w:keepLines w:val="0"/>
              <w:suppressLineNumbers w:val="0"/>
              <w:spacing w:before="0" w:beforeAutospacing="0" w:after="0" w:afterAutospacing="0" w:line="360" w:lineRule="auto"/>
              <w:ind w:left="0" w:right="0"/>
              <w:jc w:val="center"/>
              <w:rPr>
                <w:rFonts w:hint="default" w:hAnsi="Cambria Math" w:cs="Times New Roman"/>
                <w:i w:val="0"/>
                <w:color w:val="0C0C0C"/>
                <w:sz w:val="24"/>
                <w:szCs w:val="24"/>
              </w:rPr>
            </w:pPr>
            <w:r>
              <w:rPr>
                <w:rFonts w:hint="default" w:ascii="Times New Roman" w:hAnsi="Times New Roman" w:cs="Times New Roman"/>
                <w:color w:val="0C0C0C"/>
                <w:sz w:val="24"/>
                <w:szCs w:val="24"/>
              </w:rPr>
              <w:t>L</w:t>
            </w:r>
            <w:r>
              <w:rPr>
                <w:rFonts w:hint="eastAsia" w:ascii="Times New Roman" w:hAnsi="Times New Roman" w:cs="Times New Roman"/>
                <w:color w:val="0C0C0C"/>
                <w:sz w:val="24"/>
                <w:szCs w:val="24"/>
                <w:vertAlign w:val="subscript"/>
              </w:rPr>
              <w:t>eqg</w:t>
            </w:r>
            <w:r>
              <w:rPr>
                <w:rFonts w:hint="default" w:ascii="Times New Roman" w:hAnsi="Times New Roman" w:cs="Times New Roman"/>
                <w:color w:val="0C0C0C"/>
                <w:sz w:val="24"/>
                <w:szCs w:val="24"/>
              </w:rPr>
              <w:t>=10lg</w:t>
            </w:r>
            <m:oMath>
              <m:d>
                <m:dPr>
                  <m:begChr m:val="["/>
                  <m:endChr m:val="]"/>
                  <m:ctrlPr>
                    <w:rPr>
                      <w:rFonts w:hint="default" w:ascii="Cambria Math" w:hAnsi="Cambria Math" w:cs="Times New Roman"/>
                      <w:color w:val="0C0C0C"/>
                      <w:sz w:val="24"/>
                      <w:szCs w:val="24"/>
                    </w:rPr>
                  </m:ctrlPr>
                </m:dPr>
                <m:e>
                  <m:f>
                    <m:fPr>
                      <m:ctrlPr>
                        <w:rPr>
                          <w:rFonts w:hint="default" w:ascii="Cambria Math" w:hAnsi="Cambria Math" w:cs="Times New Roman"/>
                          <w:i/>
                          <w:color w:val="0C0C0C"/>
                          <w:sz w:val="24"/>
                          <w:szCs w:val="24"/>
                        </w:rPr>
                      </m:ctrlPr>
                    </m:fPr>
                    <m:num>
                      <m:r>
                        <m:rPr/>
                        <w:rPr>
                          <w:rFonts w:hint="default" w:ascii="Cambria Math" w:hAnsi="Cambria Math" w:cs="Times New Roman"/>
                          <w:color w:val="0C0C0C"/>
                          <w:sz w:val="24"/>
                          <w:szCs w:val="24"/>
                        </w:rPr>
                        <m:t>1</m:t>
                      </m:r>
                      <m:ctrlPr>
                        <w:rPr>
                          <w:rFonts w:hint="default" w:ascii="Cambria Math" w:hAnsi="Cambria Math" w:cs="Times New Roman"/>
                          <w:i/>
                          <w:color w:val="0C0C0C"/>
                          <w:sz w:val="24"/>
                          <w:szCs w:val="24"/>
                        </w:rPr>
                      </m:ctrlPr>
                    </m:num>
                    <m:den>
                      <m:r>
                        <m:rPr/>
                        <w:rPr>
                          <w:rFonts w:hint="default" w:ascii="Cambria Math" w:hAnsi="Cambria Math" w:cs="Times New Roman"/>
                          <w:color w:val="0C0C0C"/>
                          <w:sz w:val="24"/>
                          <w:szCs w:val="24"/>
                        </w:rPr>
                        <m:t>T</m:t>
                      </m:r>
                      <m:ctrlPr>
                        <w:rPr>
                          <w:rFonts w:hint="default" w:ascii="Cambria Math" w:hAnsi="Cambria Math" w:cs="Times New Roman"/>
                          <w:i/>
                          <w:color w:val="0C0C0C"/>
                          <w:sz w:val="24"/>
                          <w:szCs w:val="24"/>
                        </w:rPr>
                      </m:ctrlPr>
                    </m:den>
                  </m:f>
                  <m:d>
                    <m:dPr>
                      <m:begChr m:val="{"/>
                      <m:endChr m:val="}"/>
                      <m:ctrlPr>
                        <w:rPr>
                          <w:rFonts w:hint="default" w:ascii="Cambria Math" w:hAnsi="Cambria Math" w:cs="Times New Roman"/>
                          <w:i/>
                          <w:color w:val="0C0C0C"/>
                          <w:sz w:val="24"/>
                          <w:szCs w:val="24"/>
                        </w:rPr>
                      </m:ctrlPr>
                    </m:dPr>
                    <m:e>
                      <m:limLow>
                        <m:limLowPr>
                          <m:ctrlPr>
                            <w:rPr>
                              <w:rFonts w:hint="default" w:ascii="Cambria Math" w:hAnsi="Cambria Math" w:cs="Times New Roman"/>
                              <w:color w:val="0C0C0C"/>
                              <w:sz w:val="24"/>
                              <w:szCs w:val="24"/>
                            </w:rPr>
                          </m:ctrlPr>
                        </m:limLowPr>
                        <m:e>
                          <m:limUpp>
                            <m:limUppPr>
                              <m:ctrlPr>
                                <w:rPr>
                                  <w:rFonts w:hint="default" w:ascii="Cambria Math" w:hAnsi="Cambria Math" w:cs="Times New Roman"/>
                                  <w:i/>
                                  <w:color w:val="0C0C0C"/>
                                  <w:sz w:val="24"/>
                                  <w:szCs w:val="24"/>
                                </w:rPr>
                              </m:ctrlPr>
                            </m:limUppPr>
                            <m:e>
                              <m:r>
                                <m:rPr/>
                                <w:rPr>
                                  <w:rFonts w:hint="default" w:ascii="Cambria Math" w:hAnsi="Cambria Math" w:cs="Times New Roman"/>
                                  <w:color w:val="0C0C0C"/>
                                  <w:sz w:val="24"/>
                                  <w:szCs w:val="24"/>
                                </w:rPr>
                                <m:t>∑</m:t>
                              </m:r>
                              <m:ctrlPr>
                                <w:rPr>
                                  <w:rFonts w:hint="default" w:ascii="Cambria Math" w:hAnsi="Cambria Math" w:cs="Times New Roman"/>
                                  <w:i/>
                                  <w:color w:val="0C0C0C"/>
                                  <w:sz w:val="24"/>
                                  <w:szCs w:val="24"/>
                                </w:rPr>
                              </m:ctrlPr>
                            </m:e>
                            <m:lim>
                              <m:r>
                                <m:rPr/>
                                <w:rPr>
                                  <w:rFonts w:hint="default" w:ascii="Cambria Math" w:hAnsi="Cambria Math" w:cs="Times New Roman"/>
                                  <w:color w:val="0C0C0C"/>
                                  <w:sz w:val="24"/>
                                  <w:szCs w:val="24"/>
                                </w:rPr>
                                <m:t>N</m:t>
                              </m:r>
                              <m:ctrlPr>
                                <w:rPr>
                                  <w:rFonts w:hint="default" w:ascii="Cambria Math" w:hAnsi="Cambria Math" w:cs="Times New Roman"/>
                                  <w:i/>
                                  <w:color w:val="0C0C0C"/>
                                  <w:sz w:val="24"/>
                                  <w:szCs w:val="24"/>
                                </w:rPr>
                              </m:ctrlPr>
                            </m:lim>
                          </m:limUpp>
                          <m:ctrlPr>
                            <w:rPr>
                              <w:rFonts w:hint="default" w:ascii="Cambria Math" w:hAnsi="Cambria Math" w:cs="Times New Roman"/>
                              <w:i/>
                              <w:sz w:val="24"/>
                              <w:szCs w:val="24"/>
                            </w:rPr>
                          </m:ctrlPr>
                        </m:e>
                        <m:lim>
                          <m:r>
                            <m:rPr/>
                            <w:rPr>
                              <w:rFonts w:hint="default" w:ascii="Cambria Math" w:hAnsi="Cambria Math" w:cs="Times New Roman"/>
                              <w:sz w:val="24"/>
                              <w:szCs w:val="24"/>
                            </w:rPr>
                            <m:t>i=1</m:t>
                          </m:r>
                          <m:ctrlPr>
                            <w:rPr>
                              <w:rFonts w:hint="default" w:ascii="Cambria Math" w:hAnsi="Cambria Math" w:cs="Times New Roman"/>
                              <w:color w:val="0C0C0C"/>
                              <w:sz w:val="24"/>
                              <w:szCs w:val="24"/>
                            </w:rPr>
                          </m:ctrlPr>
                        </m:lim>
                      </m:limLow>
                      <m:sSub>
                        <m:sSubPr>
                          <m:ctrlPr>
                            <w:rPr>
                              <w:rFonts w:hint="default" w:ascii="Cambria Math" w:hAnsi="Cambria Math" w:cs="Times New Roman"/>
                              <w:i/>
                              <w:color w:val="0C0C0C"/>
                              <w:sz w:val="24"/>
                              <w:szCs w:val="24"/>
                            </w:rPr>
                          </m:ctrlPr>
                        </m:sSubPr>
                        <m:e>
                          <m:r>
                            <m:rPr/>
                            <w:rPr>
                              <w:rFonts w:hint="default" w:ascii="Cambria Math" w:hAnsi="Cambria Math" w:cs="Times New Roman"/>
                              <w:color w:val="0C0C0C"/>
                              <w:sz w:val="24"/>
                              <w:szCs w:val="24"/>
                            </w:rPr>
                            <m:t>t</m:t>
                          </m:r>
                          <m:ctrlPr>
                            <w:rPr>
                              <w:rFonts w:hint="default" w:ascii="Cambria Math" w:hAnsi="Cambria Math" w:cs="Times New Roman"/>
                              <w:i/>
                              <w:color w:val="0C0C0C"/>
                              <w:sz w:val="24"/>
                              <w:szCs w:val="24"/>
                            </w:rPr>
                          </m:ctrlPr>
                        </m:e>
                        <m:sub>
                          <m:r>
                            <m:rPr/>
                            <w:rPr>
                              <w:rFonts w:hint="default" w:ascii="Cambria Math" w:hAnsi="Cambria Math" w:cs="Times New Roman"/>
                              <w:color w:val="0C0C0C"/>
                              <w:sz w:val="24"/>
                              <w:szCs w:val="24"/>
                            </w:rPr>
                            <m:t>i</m:t>
                          </m:r>
                          <m:ctrlPr>
                            <w:rPr>
                              <w:rFonts w:hint="default" w:ascii="Cambria Math" w:hAnsi="Cambria Math" w:cs="Times New Roman"/>
                              <w:i/>
                              <w:color w:val="0C0C0C"/>
                              <w:sz w:val="24"/>
                              <w:szCs w:val="24"/>
                            </w:rPr>
                          </m:ctrlPr>
                        </m:sub>
                      </m:sSub>
                      <m:sSup>
                        <m:sSupPr>
                          <m:ctrlPr>
                            <w:rPr>
                              <w:rFonts w:hint="default" w:ascii="Cambria Math" w:hAnsi="Cambria Math" w:cs="Times New Roman"/>
                              <w:i/>
                              <w:color w:val="0C0C0C"/>
                              <w:sz w:val="24"/>
                              <w:szCs w:val="24"/>
                            </w:rPr>
                          </m:ctrlPr>
                        </m:sSupPr>
                        <m:e>
                          <m:r>
                            <m:rPr/>
                            <w:rPr>
                              <w:rFonts w:hint="default" w:ascii="Cambria Math" w:hAnsi="Cambria Math" w:cs="Times New Roman"/>
                              <w:color w:val="0C0C0C"/>
                              <w:sz w:val="24"/>
                              <w:szCs w:val="24"/>
                            </w:rPr>
                            <m:t>10</m:t>
                          </m:r>
                          <m:ctrlPr>
                            <w:rPr>
                              <w:rFonts w:hint="default" w:ascii="Cambria Math" w:hAnsi="Cambria Math" w:cs="Times New Roman"/>
                              <w:i/>
                              <w:color w:val="0C0C0C"/>
                              <w:sz w:val="24"/>
                              <w:szCs w:val="24"/>
                            </w:rPr>
                          </m:ctrlPr>
                        </m:e>
                        <m:sup>
                          <m:sSub>
                            <m:sSubPr>
                              <m:ctrlPr>
                                <w:rPr>
                                  <w:rFonts w:hint="default" w:ascii="Cambria Math" w:hAnsi="Cambria Math" w:cs="Times New Roman"/>
                                  <w:i/>
                                  <w:color w:val="0C0C0C"/>
                                  <w:sz w:val="24"/>
                                  <w:szCs w:val="24"/>
                                </w:rPr>
                              </m:ctrlPr>
                            </m:sSubPr>
                            <m:e>
                              <m:r>
                                <m:rPr/>
                                <w:rPr>
                                  <w:rFonts w:hint="default" w:ascii="Cambria Math" w:hAnsi="Cambria Math" w:cs="Times New Roman"/>
                                  <w:color w:val="0C0C0C"/>
                                  <w:sz w:val="24"/>
                                  <w:szCs w:val="24"/>
                                </w:rPr>
                                <m:t>0.1L</m:t>
                              </m:r>
                              <m:ctrlPr>
                                <w:rPr>
                                  <w:rFonts w:hint="default" w:ascii="Cambria Math" w:hAnsi="Cambria Math" w:cs="Times New Roman"/>
                                  <w:i/>
                                  <w:color w:val="0C0C0C"/>
                                  <w:sz w:val="24"/>
                                  <w:szCs w:val="24"/>
                                </w:rPr>
                              </m:ctrlPr>
                            </m:e>
                            <m:sub>
                              <m:r>
                                <m:rPr/>
                                <w:rPr>
                                  <w:rFonts w:hint="default" w:ascii="Cambria Math" w:hAnsi="Cambria Math" w:cs="Times New Roman"/>
                                  <w:color w:val="0C0C0C"/>
                                  <w:sz w:val="24"/>
                                  <w:szCs w:val="24"/>
                                </w:rPr>
                                <m:t>Ai</m:t>
                              </m:r>
                              <m:ctrlPr>
                                <w:rPr>
                                  <w:rFonts w:hint="default" w:ascii="Cambria Math" w:hAnsi="Cambria Math" w:cs="Times New Roman"/>
                                  <w:i/>
                                  <w:color w:val="0C0C0C"/>
                                  <w:sz w:val="24"/>
                                  <w:szCs w:val="24"/>
                                </w:rPr>
                              </m:ctrlPr>
                            </m:sub>
                          </m:sSub>
                          <m:ctrlPr>
                            <w:rPr>
                              <w:rFonts w:hint="default" w:ascii="Cambria Math" w:hAnsi="Cambria Math" w:cs="Times New Roman"/>
                              <w:i/>
                              <w:color w:val="0C0C0C"/>
                              <w:sz w:val="24"/>
                              <w:szCs w:val="24"/>
                            </w:rPr>
                          </m:ctrlPr>
                        </m:sup>
                      </m:sSup>
                      <m:r>
                        <m:rPr/>
                        <w:rPr>
                          <w:rFonts w:hint="default" w:ascii="Cambria Math" w:hAnsi="Cambria Math" w:cs="Times New Roman"/>
                          <w:color w:val="0C0C0C"/>
                          <w:sz w:val="24"/>
                          <w:szCs w:val="24"/>
                        </w:rPr>
                        <m:t>+</m:t>
                      </m:r>
                      <m:limLow>
                        <m:limLowPr>
                          <m:ctrlPr>
                            <w:rPr>
                              <w:rFonts w:hint="default" w:ascii="Cambria Math" w:hAnsi="Cambria Math" w:cs="Times New Roman"/>
                              <w:color w:val="0C0C0C"/>
                              <w:sz w:val="24"/>
                              <w:szCs w:val="24"/>
                            </w:rPr>
                          </m:ctrlPr>
                        </m:limLowPr>
                        <m:e>
                          <m:limUpp>
                            <m:limUppPr>
                              <m:ctrlPr>
                                <w:rPr>
                                  <w:rFonts w:hint="default" w:ascii="Cambria Math" w:hAnsi="Cambria Math" w:cs="Times New Roman"/>
                                  <w:i/>
                                  <w:color w:val="0C0C0C"/>
                                  <w:sz w:val="24"/>
                                  <w:szCs w:val="24"/>
                                </w:rPr>
                              </m:ctrlPr>
                            </m:limUppPr>
                            <m:e>
                              <m:r>
                                <m:rPr/>
                                <w:rPr>
                                  <w:rFonts w:hint="default" w:ascii="Cambria Math" w:hAnsi="Cambria Math" w:cs="Times New Roman"/>
                                  <w:color w:val="0C0C0C"/>
                                  <w:sz w:val="24"/>
                                  <w:szCs w:val="24"/>
                                </w:rPr>
                                <m:t>∑</m:t>
                              </m:r>
                              <m:ctrlPr>
                                <w:rPr>
                                  <w:rFonts w:hint="default" w:ascii="Cambria Math" w:hAnsi="Cambria Math" w:cs="Times New Roman"/>
                                  <w:i/>
                                  <w:color w:val="0C0C0C"/>
                                  <w:sz w:val="24"/>
                                  <w:szCs w:val="24"/>
                                </w:rPr>
                              </m:ctrlPr>
                            </m:e>
                            <m:lim>
                              <m:r>
                                <m:rPr/>
                                <w:rPr>
                                  <w:rFonts w:hint="default" w:ascii="Cambria Math" w:hAnsi="Cambria Math" w:cs="Times New Roman"/>
                                  <w:color w:val="0C0C0C"/>
                                  <w:sz w:val="24"/>
                                  <w:szCs w:val="24"/>
                                </w:rPr>
                                <m:t>M</m:t>
                              </m:r>
                              <m:ctrlPr>
                                <w:rPr>
                                  <w:rFonts w:hint="default" w:ascii="Cambria Math" w:hAnsi="Cambria Math" w:cs="Times New Roman"/>
                                  <w:i/>
                                  <w:color w:val="0C0C0C"/>
                                  <w:sz w:val="24"/>
                                  <w:szCs w:val="24"/>
                                </w:rPr>
                              </m:ctrlPr>
                            </m:lim>
                          </m:limUpp>
                          <m:ctrlPr>
                            <w:rPr>
                              <w:rFonts w:hint="default" w:ascii="Cambria Math" w:hAnsi="Cambria Math" w:cs="Times New Roman"/>
                              <w:i/>
                              <w:sz w:val="24"/>
                              <w:szCs w:val="24"/>
                            </w:rPr>
                          </m:ctrlPr>
                        </m:e>
                        <m:lim>
                          <m:r>
                            <m:rPr/>
                            <w:rPr>
                              <w:rFonts w:hint="default" w:ascii="Cambria Math" w:hAnsi="Cambria Math" w:cs="Times New Roman"/>
                              <w:sz w:val="24"/>
                              <w:szCs w:val="24"/>
                            </w:rPr>
                            <m:t>j=1</m:t>
                          </m:r>
                          <m:ctrlPr>
                            <w:rPr>
                              <w:rFonts w:hint="default" w:ascii="Cambria Math" w:hAnsi="Cambria Math" w:cs="Times New Roman"/>
                              <w:color w:val="0C0C0C"/>
                              <w:sz w:val="24"/>
                              <w:szCs w:val="24"/>
                            </w:rPr>
                          </m:ctrlPr>
                        </m:lim>
                      </m:limLow>
                      <m:sSub>
                        <m:sSubPr>
                          <m:ctrlPr>
                            <w:rPr>
                              <w:rFonts w:hint="default" w:ascii="Cambria Math" w:hAnsi="Cambria Math" w:cs="Times New Roman"/>
                              <w:i/>
                              <w:color w:val="0C0C0C"/>
                              <w:sz w:val="24"/>
                              <w:szCs w:val="24"/>
                            </w:rPr>
                          </m:ctrlPr>
                        </m:sSubPr>
                        <m:e>
                          <m:r>
                            <m:rPr/>
                            <w:rPr>
                              <w:rFonts w:hint="default" w:ascii="Cambria Math" w:hAnsi="Cambria Math" w:cs="Times New Roman"/>
                              <w:color w:val="0C0C0C"/>
                              <w:sz w:val="24"/>
                              <w:szCs w:val="24"/>
                            </w:rPr>
                            <m:t>t</m:t>
                          </m:r>
                          <m:ctrlPr>
                            <w:rPr>
                              <w:rFonts w:hint="default" w:ascii="Cambria Math" w:hAnsi="Cambria Math" w:cs="Times New Roman"/>
                              <w:i/>
                              <w:color w:val="0C0C0C"/>
                              <w:sz w:val="24"/>
                              <w:szCs w:val="24"/>
                            </w:rPr>
                          </m:ctrlPr>
                        </m:e>
                        <m:sub>
                          <m:r>
                            <m:rPr/>
                            <w:rPr>
                              <w:rFonts w:hint="default" w:ascii="Cambria Math" w:hAnsi="Cambria Math" w:cs="Times New Roman"/>
                              <w:color w:val="0C0C0C"/>
                              <w:sz w:val="24"/>
                              <w:szCs w:val="24"/>
                            </w:rPr>
                            <m:t>j</m:t>
                          </m:r>
                          <m:ctrlPr>
                            <w:rPr>
                              <w:rFonts w:hint="default" w:ascii="Cambria Math" w:hAnsi="Cambria Math" w:cs="Times New Roman"/>
                              <w:i/>
                              <w:color w:val="0C0C0C"/>
                              <w:sz w:val="24"/>
                              <w:szCs w:val="24"/>
                            </w:rPr>
                          </m:ctrlPr>
                        </m:sub>
                      </m:sSub>
                      <m:sSup>
                        <m:sSupPr>
                          <m:ctrlPr>
                            <w:rPr>
                              <w:rFonts w:hint="default" w:ascii="Cambria Math" w:hAnsi="Cambria Math" w:cs="Times New Roman"/>
                              <w:i/>
                              <w:color w:val="0C0C0C"/>
                              <w:sz w:val="24"/>
                              <w:szCs w:val="24"/>
                            </w:rPr>
                          </m:ctrlPr>
                        </m:sSupPr>
                        <m:e>
                          <m:r>
                            <m:rPr/>
                            <w:rPr>
                              <w:rFonts w:hint="default" w:ascii="Cambria Math" w:hAnsi="Cambria Math" w:cs="Times New Roman"/>
                              <w:color w:val="0C0C0C"/>
                              <w:sz w:val="24"/>
                              <w:szCs w:val="24"/>
                            </w:rPr>
                            <m:t>10</m:t>
                          </m:r>
                          <m:ctrlPr>
                            <w:rPr>
                              <w:rFonts w:hint="default" w:ascii="Cambria Math" w:hAnsi="Cambria Math" w:cs="Times New Roman"/>
                              <w:i/>
                              <w:color w:val="0C0C0C"/>
                              <w:sz w:val="24"/>
                              <w:szCs w:val="24"/>
                            </w:rPr>
                          </m:ctrlPr>
                        </m:e>
                        <m:sup>
                          <m:sSub>
                            <m:sSubPr>
                              <m:ctrlPr>
                                <w:rPr>
                                  <w:rFonts w:hint="default" w:ascii="Cambria Math" w:hAnsi="Cambria Math" w:cs="Times New Roman"/>
                                  <w:i/>
                                  <w:color w:val="0C0C0C"/>
                                  <w:sz w:val="24"/>
                                  <w:szCs w:val="24"/>
                                </w:rPr>
                              </m:ctrlPr>
                            </m:sSubPr>
                            <m:e>
                              <m:r>
                                <m:rPr/>
                                <w:rPr>
                                  <w:rFonts w:hint="default" w:ascii="Cambria Math" w:hAnsi="Cambria Math" w:cs="Times New Roman"/>
                                  <w:color w:val="0C0C0C"/>
                                  <w:sz w:val="24"/>
                                  <w:szCs w:val="24"/>
                                </w:rPr>
                                <m:t>0.1L</m:t>
                              </m:r>
                              <m:ctrlPr>
                                <w:rPr>
                                  <w:rFonts w:hint="default" w:ascii="Cambria Math" w:hAnsi="Cambria Math" w:cs="Times New Roman"/>
                                  <w:i/>
                                  <w:color w:val="0C0C0C"/>
                                  <w:sz w:val="24"/>
                                  <w:szCs w:val="24"/>
                                </w:rPr>
                              </m:ctrlPr>
                            </m:e>
                            <m:sub>
                              <m:r>
                                <m:rPr/>
                                <w:rPr>
                                  <w:rFonts w:hint="default" w:ascii="Cambria Math" w:hAnsi="Cambria Math" w:cs="Times New Roman"/>
                                  <w:color w:val="0C0C0C"/>
                                  <w:sz w:val="24"/>
                                  <w:szCs w:val="24"/>
                                </w:rPr>
                                <m:t>Aj</m:t>
                              </m:r>
                              <m:ctrlPr>
                                <w:rPr>
                                  <w:rFonts w:hint="default" w:ascii="Cambria Math" w:hAnsi="Cambria Math" w:cs="Times New Roman"/>
                                  <w:i/>
                                  <w:color w:val="0C0C0C"/>
                                  <w:sz w:val="24"/>
                                  <w:szCs w:val="24"/>
                                </w:rPr>
                              </m:ctrlPr>
                            </m:sub>
                          </m:sSub>
                          <m:ctrlPr>
                            <w:rPr>
                              <w:rFonts w:hint="default" w:ascii="Cambria Math" w:hAnsi="Cambria Math" w:cs="Times New Roman"/>
                              <w:i/>
                              <w:color w:val="0C0C0C"/>
                              <w:sz w:val="24"/>
                              <w:szCs w:val="24"/>
                            </w:rPr>
                          </m:ctrlPr>
                        </m:sup>
                      </m:sSup>
                      <m:ctrlPr>
                        <w:rPr>
                          <w:rFonts w:hint="default" w:ascii="Cambria Math" w:hAnsi="Cambria Math" w:cs="Times New Roman"/>
                          <w:i/>
                          <w:color w:val="0C0C0C"/>
                          <w:sz w:val="24"/>
                          <w:szCs w:val="24"/>
                        </w:rPr>
                      </m:ctrlPr>
                    </m:e>
                  </m:d>
                  <m:ctrlPr>
                    <w:rPr>
                      <w:rFonts w:hint="default" w:ascii="Cambria Math" w:hAnsi="Cambria Math" w:cs="Times New Roman"/>
                      <w:color w:val="0C0C0C"/>
                      <w:sz w:val="24"/>
                      <w:szCs w:val="24"/>
                    </w:rPr>
                  </m:ctrlPr>
                </m:e>
              </m:d>
            </m:oMath>
          </w:p>
          <w:p>
            <w:pPr>
              <w:keepNext w:val="0"/>
              <w:keepLines w:val="0"/>
              <w:suppressLineNumbers w:val="0"/>
              <w:spacing w:before="0" w:beforeAutospacing="0" w:after="0" w:afterAutospacing="0" w:line="440" w:lineRule="exact"/>
              <w:ind w:left="0" w:right="0"/>
              <w:rPr>
                <w:rFonts w:hint="default"/>
                <w:sz w:val="24"/>
              </w:rPr>
            </w:pPr>
            <w:r>
              <w:rPr>
                <w:rFonts w:hint="default"/>
                <w:sz w:val="24"/>
              </w:rPr>
              <w:t>式中：Leqg—建设项目声源在预测的产生的噪声贡献值，dB；</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T—用于计算等效声级的时间，s；</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N—室外声源个数；</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ti—在T时间内i声源内工作时间，s；</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M—等效室外声源个数；</w:t>
            </w:r>
          </w:p>
          <w:p>
            <w:pPr>
              <w:keepNext w:val="0"/>
              <w:keepLines w:val="0"/>
              <w:suppressLineNumbers w:val="0"/>
              <w:spacing w:before="0" w:beforeAutospacing="0" w:after="0" w:afterAutospacing="0" w:line="440" w:lineRule="exact"/>
              <w:ind w:left="0" w:right="0" w:firstLine="720" w:firstLineChars="300"/>
              <w:rPr>
                <w:rFonts w:hint="default"/>
                <w:sz w:val="24"/>
              </w:rPr>
            </w:pPr>
            <w:r>
              <w:rPr>
                <w:rFonts w:hint="default"/>
                <w:sz w:val="24"/>
              </w:rPr>
              <w:t>ti—在T时间内j声源内工作时间，s；</w:t>
            </w:r>
          </w:p>
          <w:p>
            <w:pPr>
              <w:keepNext w:val="0"/>
              <w:keepLines w:val="0"/>
              <w:suppressLineNumbers w:val="0"/>
              <w:tabs>
                <w:tab w:val="left" w:pos="8370"/>
                <w:tab w:val="left" w:pos="8600"/>
              </w:tabs>
              <w:spacing w:before="0" w:beforeAutospacing="0" w:after="0" w:afterAutospacing="0" w:line="440" w:lineRule="exact"/>
              <w:ind w:left="0" w:right="0" w:firstLine="480" w:firstLineChars="200"/>
              <w:rPr>
                <w:rFonts w:hint="eastAsia"/>
                <w:sz w:val="24"/>
              </w:rPr>
            </w:pPr>
            <w:r>
              <w:rPr>
                <w:rFonts w:hint="default"/>
                <w:sz w:val="24"/>
              </w:rPr>
              <w:t>根据本</w:t>
            </w:r>
            <w:r>
              <w:rPr>
                <w:rFonts w:hint="eastAsia"/>
                <w:sz w:val="24"/>
              </w:rPr>
              <w:t>项目</w:t>
            </w:r>
            <w:r>
              <w:rPr>
                <w:rFonts w:hint="default"/>
                <w:sz w:val="24"/>
              </w:rPr>
              <w:t>噪声源的分布，对项目四周厂界噪声</w:t>
            </w:r>
            <w:r>
              <w:rPr>
                <w:rFonts w:hint="eastAsia"/>
                <w:sz w:val="24"/>
              </w:rPr>
              <w:t>贡献值</w:t>
            </w:r>
            <w:r>
              <w:rPr>
                <w:rFonts w:hint="default"/>
                <w:sz w:val="24"/>
              </w:rPr>
              <w:t>进行计算，</w:t>
            </w:r>
            <w:r>
              <w:rPr>
                <w:rFonts w:hint="eastAsia"/>
                <w:sz w:val="24"/>
              </w:rPr>
              <w:t>本次评价</w:t>
            </w:r>
            <w:r>
              <w:rPr>
                <w:rFonts w:hint="default"/>
                <w:sz w:val="24"/>
              </w:rPr>
              <w:t>厂界噪声的预测结果见</w:t>
            </w:r>
            <w:r>
              <w:rPr>
                <w:rFonts w:hint="eastAsia"/>
                <w:sz w:val="24"/>
              </w:rPr>
              <w:t>下</w:t>
            </w:r>
            <w:r>
              <w:rPr>
                <w:rFonts w:hint="default"/>
                <w:sz w:val="24"/>
              </w:rPr>
              <w:t>表。</w:t>
            </w:r>
          </w:p>
          <w:p>
            <w:pPr>
              <w:keepNext w:val="0"/>
              <w:keepLines w:val="0"/>
              <w:suppressLineNumbers w:val="0"/>
              <w:adjustRightInd w:val="0"/>
              <w:snapToGrid w:val="0"/>
              <w:spacing w:before="0" w:beforeAutospacing="0" w:after="0" w:afterAutospacing="0" w:line="420" w:lineRule="exact"/>
              <w:ind w:left="0" w:right="0"/>
              <w:jc w:val="center"/>
              <w:textAlignment w:val="baseline"/>
              <w:rPr>
                <w:rFonts w:hint="default" w:eastAsia="黑体"/>
                <w:sz w:val="24"/>
              </w:rPr>
            </w:pPr>
            <w:r>
              <w:rPr>
                <w:rFonts w:hint="default" w:ascii="宋体" w:hAnsi="宋体"/>
                <w:b/>
                <w:color w:val="000000"/>
                <w:sz w:val="24"/>
              </w:rPr>
              <w:t>表</w:t>
            </w:r>
            <w:r>
              <w:rPr>
                <w:rFonts w:hint="eastAsia" w:ascii="宋体" w:hAnsi="宋体"/>
                <w:b/>
                <w:color w:val="000000"/>
                <w:sz w:val="24"/>
              </w:rPr>
              <w:t>3</w:t>
            </w:r>
            <w:r>
              <w:rPr>
                <w:rFonts w:hint="eastAsia" w:ascii="宋体" w:hAnsi="宋体"/>
                <w:b/>
                <w:color w:val="000000"/>
                <w:sz w:val="24"/>
                <w:lang w:val="en-US" w:eastAsia="zh-CN"/>
              </w:rPr>
              <w:t xml:space="preserve">7  </w:t>
            </w:r>
            <w:r>
              <w:rPr>
                <w:rFonts w:hint="eastAsia" w:ascii="宋体" w:hAnsi="宋体"/>
                <w:b/>
                <w:color w:val="000000"/>
                <w:sz w:val="24"/>
              </w:rPr>
              <w:t>各厂界噪声预测值</w:t>
            </w:r>
            <w:r>
              <w:rPr>
                <w:rFonts w:hint="eastAsia" w:ascii="宋体" w:hAnsi="宋体"/>
                <w:b/>
                <w:color w:val="000000"/>
                <w:sz w:val="24"/>
                <w:lang w:val="en-US" w:eastAsia="zh-CN"/>
              </w:rPr>
              <w:t xml:space="preserve">  </w:t>
            </w:r>
            <w:r>
              <w:rPr>
                <w:rFonts w:hint="default" w:ascii="宋体" w:hAnsi="宋体"/>
                <w:b/>
                <w:color w:val="000000"/>
                <w:sz w:val="24"/>
              </w:rPr>
              <w:t>单位：dB（A）</w:t>
            </w:r>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595"/>
              <w:gridCol w:w="1287"/>
              <w:gridCol w:w="1612"/>
              <w:gridCol w:w="1612"/>
              <w:gridCol w:w="14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5" w:type="dxa"/>
                  <w:tcBorders>
                    <w:top w:val="single" w:color="auto" w:sz="8" w:space="0"/>
                    <w:left w:val="nil"/>
                    <w:bottom w:val="single" w:color="auto" w:sz="8" w:space="0"/>
                    <w:right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b/>
                      <w:sz w:val="21"/>
                      <w:szCs w:val="21"/>
                    </w:rPr>
                  </w:pPr>
                  <w:r>
                    <w:rPr>
                      <w:rFonts w:hint="default" w:hAnsi="宋体"/>
                      <w:b/>
                      <w:sz w:val="21"/>
                      <w:szCs w:val="21"/>
                    </w:rPr>
                    <w:t>预测点</w:t>
                  </w:r>
                </w:p>
              </w:tc>
              <w:tc>
                <w:tcPr>
                  <w:tcW w:w="1287"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b/>
                      <w:sz w:val="21"/>
                      <w:szCs w:val="21"/>
                    </w:rPr>
                  </w:pPr>
                  <w:r>
                    <w:rPr>
                      <w:rFonts w:hint="eastAsia" w:hAnsi="宋体"/>
                      <w:b/>
                      <w:sz w:val="21"/>
                      <w:szCs w:val="21"/>
                    </w:rPr>
                    <w:t>北</w:t>
                  </w:r>
                  <w:r>
                    <w:rPr>
                      <w:rFonts w:hint="default" w:hAnsi="宋体"/>
                      <w:b/>
                      <w:sz w:val="21"/>
                      <w:szCs w:val="21"/>
                    </w:rPr>
                    <w:t>厂界</w:t>
                  </w:r>
                </w:p>
              </w:tc>
              <w:tc>
                <w:tcPr>
                  <w:tcW w:w="1612"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b/>
                      <w:sz w:val="21"/>
                      <w:szCs w:val="21"/>
                    </w:rPr>
                  </w:pPr>
                  <w:r>
                    <w:rPr>
                      <w:rFonts w:hint="default" w:hAnsi="宋体"/>
                      <w:b/>
                      <w:sz w:val="21"/>
                      <w:szCs w:val="21"/>
                    </w:rPr>
                    <w:t>南厂界</w:t>
                  </w:r>
                </w:p>
              </w:tc>
              <w:tc>
                <w:tcPr>
                  <w:tcW w:w="1612" w:type="dxa"/>
                  <w:tcBorders>
                    <w:top w:val="single" w:color="auto" w:sz="8" w:space="0"/>
                    <w:left w:val="single" w:color="auto" w:sz="8" w:space="0"/>
                    <w:bottom w:val="single" w:color="auto" w:sz="8" w:space="0"/>
                    <w:right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b/>
                      <w:sz w:val="21"/>
                      <w:szCs w:val="21"/>
                    </w:rPr>
                  </w:pPr>
                  <w:r>
                    <w:rPr>
                      <w:rFonts w:hint="default" w:hAnsi="宋体"/>
                      <w:b/>
                      <w:sz w:val="21"/>
                      <w:szCs w:val="21"/>
                    </w:rPr>
                    <w:t>西厂界</w:t>
                  </w:r>
                </w:p>
              </w:tc>
              <w:tc>
                <w:tcPr>
                  <w:tcW w:w="1490" w:type="dxa"/>
                  <w:tcBorders>
                    <w:top w:val="single" w:color="auto" w:sz="8" w:space="0"/>
                    <w:left w:val="single" w:color="auto" w:sz="8" w:space="0"/>
                    <w:bottom w:val="single" w:color="auto" w:sz="8" w:space="0"/>
                    <w:right w:val="nil"/>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b/>
                      <w:sz w:val="21"/>
                      <w:szCs w:val="21"/>
                    </w:rPr>
                  </w:pPr>
                  <w:r>
                    <w:rPr>
                      <w:rFonts w:hint="eastAsia" w:hAnsi="宋体"/>
                      <w:b/>
                      <w:sz w:val="21"/>
                      <w:szCs w:val="21"/>
                    </w:rPr>
                    <w:t>东</w:t>
                  </w:r>
                  <w:r>
                    <w:rPr>
                      <w:rFonts w:hint="default" w:hAnsi="宋体"/>
                      <w:b/>
                      <w:sz w:val="21"/>
                      <w:szCs w:val="21"/>
                    </w:rPr>
                    <w:t>厂界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5" w:type="dxa"/>
                  <w:tcBorders>
                    <w:top w:val="single" w:color="auto" w:sz="8" w:space="0"/>
                    <w:left w:val="nil"/>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rPr>
                    <w:t>与噪声源距离（</w:t>
                  </w:r>
                  <w:r>
                    <w:rPr>
                      <w:rFonts w:hint="default"/>
                      <w:sz w:val="21"/>
                      <w:szCs w:val="21"/>
                    </w:rPr>
                    <w:t>m</w:t>
                  </w:r>
                  <w:r>
                    <w:rPr>
                      <w:rFonts w:hint="eastAsia"/>
                      <w:sz w:val="21"/>
                      <w:szCs w:val="21"/>
                    </w:rPr>
                    <w:t>）</w:t>
                  </w:r>
                </w:p>
              </w:tc>
              <w:tc>
                <w:tcPr>
                  <w:tcW w:w="1287" w:type="dxa"/>
                  <w:tcBorders>
                    <w:top w:val="single" w:color="auto" w:sz="8"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lang w:val="en-US" w:eastAsia="zh-CN"/>
                    </w:rPr>
                    <w:t>1</w:t>
                  </w:r>
                  <w:r>
                    <w:rPr>
                      <w:rFonts w:hint="default"/>
                      <w:sz w:val="21"/>
                      <w:szCs w:val="21"/>
                    </w:rPr>
                    <w:t>m</w:t>
                  </w:r>
                </w:p>
              </w:tc>
              <w:tc>
                <w:tcPr>
                  <w:tcW w:w="1612" w:type="dxa"/>
                  <w:tcBorders>
                    <w:top w:val="single" w:color="auto" w:sz="8"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lang w:val="en-US" w:eastAsia="zh-CN"/>
                    </w:rPr>
                    <w:t>60</w:t>
                  </w:r>
                  <w:r>
                    <w:rPr>
                      <w:rFonts w:hint="default"/>
                      <w:sz w:val="21"/>
                      <w:szCs w:val="21"/>
                    </w:rPr>
                    <w:t>m</w:t>
                  </w:r>
                </w:p>
              </w:tc>
              <w:tc>
                <w:tcPr>
                  <w:tcW w:w="1612" w:type="dxa"/>
                  <w:tcBorders>
                    <w:top w:val="single" w:color="auto" w:sz="8"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lang w:val="en-US" w:eastAsia="zh-CN"/>
                    </w:rPr>
                    <w:t>10</w:t>
                  </w:r>
                  <w:r>
                    <w:rPr>
                      <w:rFonts w:hint="default"/>
                      <w:sz w:val="21"/>
                      <w:szCs w:val="21"/>
                    </w:rPr>
                    <w:t>m</w:t>
                  </w:r>
                </w:p>
              </w:tc>
              <w:tc>
                <w:tcPr>
                  <w:tcW w:w="1490" w:type="dxa"/>
                  <w:tcBorders>
                    <w:top w:val="single" w:color="auto" w:sz="8" w:space="0"/>
                    <w:bottom w:val="single" w:color="auto" w:sz="4" w:space="0"/>
                    <w:right w:val="nil"/>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lang w:val="en-US" w:eastAsia="zh-CN"/>
                    </w:rPr>
                    <w:t>10</w:t>
                  </w:r>
                  <w:r>
                    <w:rPr>
                      <w:rFonts w:hint="default"/>
                      <w:sz w:val="21"/>
                      <w:szCs w:val="21"/>
                    </w:rPr>
                    <w:t>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5" w:type="dxa"/>
                  <w:tcBorders>
                    <w:top w:val="single" w:color="auto" w:sz="4" w:space="0"/>
                    <w:left w:val="nil"/>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rPr>
                  </w:pPr>
                  <w:r>
                    <w:rPr>
                      <w:rFonts w:hint="eastAsia"/>
                      <w:sz w:val="21"/>
                      <w:szCs w:val="21"/>
                      <w:lang w:val="en-US" w:eastAsia="zh-CN"/>
                    </w:rPr>
                    <w:t>项目一期</w:t>
                  </w:r>
                  <w:r>
                    <w:rPr>
                      <w:rFonts w:hint="eastAsia"/>
                      <w:sz w:val="21"/>
                      <w:szCs w:val="21"/>
                    </w:rPr>
                    <w:t>贡献值</w:t>
                  </w:r>
                </w:p>
              </w:tc>
              <w:tc>
                <w:tcPr>
                  <w:tcW w:w="1287" w:type="dxa"/>
                  <w:tcBorders>
                    <w:top w:val="single" w:color="auto" w:sz="4"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46.8</w:t>
                  </w:r>
                </w:p>
              </w:tc>
              <w:tc>
                <w:tcPr>
                  <w:tcW w:w="1612" w:type="dxa"/>
                  <w:tcBorders>
                    <w:top w:val="single" w:color="auto" w:sz="4"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10.9</w:t>
                  </w:r>
                </w:p>
              </w:tc>
              <w:tc>
                <w:tcPr>
                  <w:tcW w:w="1612" w:type="dxa"/>
                  <w:tcBorders>
                    <w:top w:val="single" w:color="auto" w:sz="4" w:space="0"/>
                    <w:bottom w:val="single" w:color="auto" w:sz="4"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26.5</w:t>
                  </w:r>
                </w:p>
              </w:tc>
              <w:tc>
                <w:tcPr>
                  <w:tcW w:w="1490" w:type="dxa"/>
                  <w:tcBorders>
                    <w:top w:val="single" w:color="auto" w:sz="4" w:space="0"/>
                    <w:bottom w:val="single" w:color="auto" w:sz="4" w:space="0"/>
                    <w:right w:val="nil"/>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26.5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95" w:type="dxa"/>
                  <w:tcBorders>
                    <w:top w:val="single" w:color="auto" w:sz="4" w:space="0"/>
                    <w:left w:val="nil"/>
                    <w:bottom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eastAsia="宋体"/>
                      <w:sz w:val="21"/>
                      <w:szCs w:val="21"/>
                      <w:lang w:val="en-US" w:eastAsia="zh-CN"/>
                    </w:rPr>
                  </w:pPr>
                  <w:r>
                    <w:rPr>
                      <w:rFonts w:hint="eastAsia"/>
                      <w:sz w:val="21"/>
                      <w:szCs w:val="21"/>
                      <w:lang w:val="en-US" w:eastAsia="zh-CN"/>
                    </w:rPr>
                    <w:t>项目建成后贡献值</w:t>
                  </w:r>
                </w:p>
              </w:tc>
              <w:tc>
                <w:tcPr>
                  <w:tcW w:w="1287" w:type="dxa"/>
                  <w:tcBorders>
                    <w:top w:val="single" w:color="auto" w:sz="4" w:space="0"/>
                    <w:bottom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50.1</w:t>
                  </w:r>
                </w:p>
              </w:tc>
              <w:tc>
                <w:tcPr>
                  <w:tcW w:w="1612" w:type="dxa"/>
                  <w:tcBorders>
                    <w:top w:val="single" w:color="auto" w:sz="4" w:space="0"/>
                    <w:bottom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14.5</w:t>
                  </w:r>
                </w:p>
              </w:tc>
              <w:tc>
                <w:tcPr>
                  <w:tcW w:w="1612" w:type="dxa"/>
                  <w:tcBorders>
                    <w:top w:val="single" w:color="auto" w:sz="4" w:space="0"/>
                    <w:bottom w:val="single" w:color="auto" w:sz="8" w:space="0"/>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default"/>
                      <w:sz w:val="21"/>
                      <w:szCs w:val="21"/>
                      <w:lang w:val="en-US" w:eastAsia="zh-CN"/>
                    </w:rPr>
                  </w:pPr>
                  <w:r>
                    <w:rPr>
                      <w:rFonts w:hint="eastAsia"/>
                      <w:sz w:val="21"/>
                      <w:szCs w:val="21"/>
                      <w:lang w:val="en-US" w:eastAsia="zh-CN"/>
                    </w:rPr>
                    <w:t>30.1</w:t>
                  </w:r>
                </w:p>
              </w:tc>
              <w:tc>
                <w:tcPr>
                  <w:tcW w:w="1490" w:type="dxa"/>
                  <w:tcBorders>
                    <w:top w:val="single" w:color="auto" w:sz="4" w:space="0"/>
                    <w:bottom w:val="single" w:color="auto" w:sz="8" w:space="0"/>
                    <w:right w:val="nil"/>
                  </w:tcBorders>
                  <w:noWrap w:val="0"/>
                  <w:vAlign w:val="center"/>
                </w:tcPr>
                <w:p>
                  <w:pPr>
                    <w:keepNext w:val="0"/>
                    <w:keepLines w:val="0"/>
                    <w:suppressLineNumbers w:val="0"/>
                    <w:tabs>
                      <w:tab w:val="left" w:pos="8370"/>
                      <w:tab w:val="left" w:pos="8600"/>
                    </w:tabs>
                    <w:spacing w:before="0" w:beforeAutospacing="0" w:after="0" w:afterAutospacing="0"/>
                    <w:ind w:left="0" w:right="0"/>
                    <w:jc w:val="center"/>
                    <w:rPr>
                      <w:rFonts w:hint="eastAsia"/>
                      <w:sz w:val="21"/>
                      <w:szCs w:val="21"/>
                      <w:lang w:val="en-US" w:eastAsia="zh-CN"/>
                    </w:rPr>
                  </w:pPr>
                  <w:r>
                    <w:rPr>
                      <w:rFonts w:hint="eastAsia"/>
                      <w:sz w:val="21"/>
                      <w:szCs w:val="21"/>
                      <w:lang w:val="en-US" w:eastAsia="zh-CN"/>
                    </w:rPr>
                    <w:t>30.1</w:t>
                  </w:r>
                </w:p>
              </w:tc>
            </w:tr>
          </w:tbl>
          <w:p>
            <w:pPr>
              <w:keepNext w:val="0"/>
              <w:keepLines w:val="0"/>
              <w:suppressLineNumbers w:val="0"/>
              <w:adjustRightInd w:val="0"/>
              <w:snapToGrid w:val="0"/>
              <w:spacing w:before="0" w:beforeAutospacing="0" w:after="0" w:afterAutospacing="0" w:line="440" w:lineRule="exact"/>
              <w:ind w:left="0" w:right="0" w:firstLine="480" w:firstLineChars="200"/>
              <w:rPr>
                <w:rFonts w:hint="default"/>
                <w:sz w:val="24"/>
              </w:rPr>
            </w:pPr>
            <w:r>
              <w:rPr>
                <w:rFonts w:hint="eastAsia"/>
                <w:sz w:val="24"/>
              </w:rPr>
              <w:t>由上表可知，</w:t>
            </w:r>
            <w:r>
              <w:rPr>
                <w:rFonts w:hint="default"/>
                <w:sz w:val="24"/>
              </w:rPr>
              <w:t>经过车间密闭、距离衰减等措施后，项目厂区四周噪声值</w:t>
            </w:r>
            <w:r>
              <w:rPr>
                <w:rFonts w:hint="eastAsia"/>
                <w:sz w:val="24"/>
              </w:rPr>
              <w:t>均</w:t>
            </w:r>
            <w:r>
              <w:rPr>
                <w:rFonts w:hint="default"/>
                <w:sz w:val="24"/>
              </w:rPr>
              <w:t>满足《工业企业厂界环境噪声排放标准》（GB12348-2008）</w:t>
            </w:r>
            <w:r>
              <w:rPr>
                <w:rFonts w:hint="eastAsia"/>
                <w:sz w:val="24"/>
                <w:lang w:val="en-US" w:eastAsia="zh-CN"/>
              </w:rPr>
              <w:t>3</w:t>
            </w:r>
            <w:r>
              <w:rPr>
                <w:rFonts w:hint="default"/>
                <w:sz w:val="24"/>
              </w:rPr>
              <w:t>类标准昼间</w:t>
            </w:r>
            <w:r>
              <w:rPr>
                <w:rFonts w:hint="eastAsia"/>
                <w:sz w:val="24"/>
                <w:lang w:val="en-US" w:eastAsia="zh-CN"/>
              </w:rPr>
              <w:t>昼间65</w:t>
            </w:r>
            <w:r>
              <w:rPr>
                <w:rFonts w:hint="default"/>
                <w:sz w:val="24"/>
              </w:rPr>
              <w:t>dB（A）的要求</w:t>
            </w:r>
            <w:r>
              <w:rPr>
                <w:rFonts w:hint="eastAsia"/>
                <w:sz w:val="24"/>
              </w:rPr>
              <w:t>。</w:t>
            </w:r>
          </w:p>
          <w:p>
            <w:pPr>
              <w:keepNext w:val="0"/>
              <w:keepLines w:val="0"/>
              <w:suppressLineNumbers w:val="0"/>
              <w:tabs>
                <w:tab w:val="left" w:pos="3620"/>
              </w:tabs>
              <w:adjustRightInd w:val="0"/>
              <w:snapToGrid w:val="0"/>
              <w:spacing w:before="0" w:beforeAutospacing="0" w:after="0" w:afterAutospacing="0" w:line="440" w:lineRule="exact"/>
              <w:ind w:left="0" w:right="0" w:firstLine="480" w:firstLineChars="200"/>
              <w:rPr>
                <w:rFonts w:hint="default"/>
                <w:color w:val="auto"/>
                <w:sz w:val="24"/>
              </w:rPr>
            </w:pPr>
            <w:r>
              <w:rPr>
                <w:rFonts w:hint="eastAsia"/>
                <w:color w:val="auto"/>
                <w:sz w:val="24"/>
              </w:rPr>
              <w:t>根据《</w:t>
            </w:r>
            <w:r>
              <w:rPr>
                <w:rFonts w:hint="default"/>
                <w:color w:val="auto"/>
                <w:sz w:val="24"/>
              </w:rPr>
              <w:t>排污单位自行监测技术指南总则</w:t>
            </w:r>
            <w:r>
              <w:rPr>
                <w:rFonts w:hint="eastAsia"/>
                <w:color w:val="auto"/>
                <w:sz w:val="24"/>
              </w:rPr>
              <w:t>》（</w:t>
            </w:r>
            <w:r>
              <w:rPr>
                <w:rFonts w:hint="default"/>
                <w:color w:val="auto"/>
                <w:sz w:val="24"/>
              </w:rPr>
              <w:t>HJ819-2017</w:t>
            </w:r>
            <w:r>
              <w:rPr>
                <w:rFonts w:hint="eastAsia"/>
                <w:color w:val="auto"/>
                <w:sz w:val="24"/>
              </w:rPr>
              <w:t>）</w:t>
            </w:r>
            <w:r>
              <w:rPr>
                <w:rFonts w:hint="default"/>
                <w:color w:val="auto"/>
                <w:sz w:val="24"/>
              </w:rPr>
              <w:t>，本项目噪声监测要求见下表。</w:t>
            </w:r>
          </w:p>
          <w:p>
            <w:pPr>
              <w:keepNext w:val="0"/>
              <w:keepLines w:val="0"/>
              <w:suppressLineNumbers w:val="0"/>
              <w:adjustRightInd w:val="0"/>
              <w:snapToGrid w:val="0"/>
              <w:spacing w:before="0" w:beforeAutospacing="0" w:after="0" w:afterAutospacing="0" w:line="420" w:lineRule="exact"/>
              <w:ind w:left="0" w:right="0"/>
              <w:jc w:val="center"/>
              <w:textAlignment w:val="baseline"/>
              <w:rPr>
                <w:rFonts w:hint="default" w:ascii="宋体" w:hAnsi="宋体"/>
                <w:b/>
                <w:color w:val="auto"/>
                <w:sz w:val="24"/>
              </w:rPr>
            </w:pPr>
            <w:r>
              <w:rPr>
                <w:rFonts w:hint="default" w:ascii="宋体" w:hAnsi="宋体"/>
                <w:b/>
                <w:color w:val="auto"/>
                <w:sz w:val="24"/>
              </w:rPr>
              <w:t>表</w:t>
            </w:r>
            <w:r>
              <w:rPr>
                <w:rFonts w:hint="eastAsia" w:ascii="宋体" w:hAnsi="宋体"/>
                <w:b/>
                <w:color w:val="auto"/>
                <w:sz w:val="24"/>
              </w:rPr>
              <w:t>3</w:t>
            </w:r>
            <w:r>
              <w:rPr>
                <w:rFonts w:hint="eastAsia" w:ascii="宋体" w:hAnsi="宋体"/>
                <w:b/>
                <w:color w:val="auto"/>
                <w:sz w:val="24"/>
                <w:lang w:val="en-US" w:eastAsia="zh-CN"/>
              </w:rPr>
              <w:t xml:space="preserve">8  </w:t>
            </w:r>
            <w:r>
              <w:rPr>
                <w:rFonts w:hint="default" w:ascii="宋体" w:hAnsi="宋体"/>
                <w:b/>
                <w:color w:val="auto"/>
                <w:sz w:val="24"/>
              </w:rPr>
              <w:t>本项目噪声监测要求</w:t>
            </w:r>
          </w:p>
          <w:tbl>
            <w:tblPr>
              <w:tblStyle w:val="22"/>
              <w:tblW w:w="5000" w:type="pct"/>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86"/>
              <w:gridCol w:w="1883"/>
              <w:gridCol w:w="2597"/>
              <w:gridCol w:w="2250"/>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94" w:type="pct"/>
                  <w:tcBorders>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污染物</w:t>
                  </w:r>
                </w:p>
              </w:tc>
              <w:tc>
                <w:tcPr>
                  <w:tcW w:w="1093" w:type="pct"/>
                  <w:tcBorders>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监测点位</w:t>
                  </w:r>
                </w:p>
              </w:tc>
              <w:tc>
                <w:tcPr>
                  <w:tcW w:w="1507" w:type="pct"/>
                  <w:tcBorders>
                    <w:left w:val="single" w:color="auto" w:sz="8" w:space="0"/>
                    <w:bottom w:val="single" w:color="auto" w:sz="8" w:space="0"/>
                    <w:right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监测因子</w:t>
                  </w:r>
                </w:p>
              </w:tc>
              <w:tc>
                <w:tcPr>
                  <w:tcW w:w="1307" w:type="pct"/>
                  <w:tcBorders>
                    <w:left w:val="single" w:color="auto" w:sz="8" w:space="0"/>
                    <w:bottom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b/>
                      <w:color w:val="auto"/>
                      <w:sz w:val="21"/>
                      <w:szCs w:val="21"/>
                    </w:rPr>
                  </w:pPr>
                  <w:r>
                    <w:rPr>
                      <w:rFonts w:hint="default" w:hAnsi="宋体"/>
                      <w:b/>
                      <w:color w:val="auto"/>
                      <w:sz w:val="21"/>
                      <w:szCs w:val="21"/>
                    </w:rPr>
                    <w:t>监测频率</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94" w:type="pc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hAnsi="宋体"/>
                      <w:color w:val="auto"/>
                      <w:sz w:val="21"/>
                      <w:szCs w:val="21"/>
                    </w:rPr>
                    <w:t>噪声</w:t>
                  </w:r>
                </w:p>
              </w:tc>
              <w:tc>
                <w:tcPr>
                  <w:tcW w:w="1093" w:type="pc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lang w:val="en-GB"/>
                    </w:rPr>
                  </w:pPr>
                  <w:r>
                    <w:rPr>
                      <w:rFonts w:hint="default" w:hAnsi="宋体"/>
                      <w:color w:val="auto"/>
                      <w:sz w:val="21"/>
                      <w:szCs w:val="21"/>
                      <w:lang w:val="en-GB"/>
                    </w:rPr>
                    <w:t>厂界四周外</w:t>
                  </w:r>
                  <w:r>
                    <w:rPr>
                      <w:rFonts w:hint="default"/>
                      <w:color w:val="auto"/>
                      <w:sz w:val="21"/>
                      <w:szCs w:val="21"/>
                      <w:lang w:val="en-GB"/>
                    </w:rPr>
                    <w:t>1</w:t>
                  </w:r>
                  <w:r>
                    <w:rPr>
                      <w:rFonts w:hint="default" w:hAnsi="宋体"/>
                      <w:color w:val="auto"/>
                      <w:sz w:val="21"/>
                      <w:szCs w:val="21"/>
                      <w:lang w:val="en-GB"/>
                    </w:rPr>
                    <w:t>米</w:t>
                  </w:r>
                </w:p>
              </w:tc>
              <w:tc>
                <w:tcPr>
                  <w:tcW w:w="1507" w:type="pc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lang w:val="en-GB"/>
                    </w:rPr>
                  </w:pPr>
                  <w:r>
                    <w:rPr>
                      <w:rFonts w:hint="default" w:hAnsi="宋体"/>
                      <w:color w:val="auto"/>
                      <w:sz w:val="21"/>
                      <w:szCs w:val="21"/>
                      <w:lang w:val="en-GB"/>
                    </w:rPr>
                    <w:t>等效连续</w:t>
                  </w:r>
                  <w:r>
                    <w:rPr>
                      <w:rFonts w:hint="default"/>
                      <w:color w:val="auto"/>
                      <w:sz w:val="21"/>
                      <w:szCs w:val="21"/>
                      <w:lang w:val="en-GB"/>
                    </w:rPr>
                    <w:t>A</w:t>
                  </w:r>
                  <w:r>
                    <w:rPr>
                      <w:rFonts w:hint="default" w:hAnsi="宋体"/>
                      <w:color w:val="auto"/>
                      <w:sz w:val="21"/>
                      <w:szCs w:val="21"/>
                      <w:lang w:val="en-GB"/>
                    </w:rPr>
                    <w:t>声级</w:t>
                  </w:r>
                </w:p>
              </w:tc>
              <w:tc>
                <w:tcPr>
                  <w:tcW w:w="1307" w:type="pct"/>
                  <w:tcBorders>
                    <w:top w:val="single" w:color="auto" w:sz="8" w:space="0"/>
                  </w:tcBorders>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lang w:val="en-GB"/>
                    </w:rPr>
                  </w:pPr>
                  <w:r>
                    <w:rPr>
                      <w:rFonts w:hint="default" w:hAnsi="宋体"/>
                      <w:color w:val="auto"/>
                      <w:sz w:val="21"/>
                      <w:szCs w:val="21"/>
                      <w:lang w:val="en-GB"/>
                    </w:rPr>
                    <w:t>每季度</w:t>
                  </w:r>
                  <w:r>
                    <w:rPr>
                      <w:rFonts w:hint="default" w:hAnsi="宋体"/>
                      <w:color w:val="auto"/>
                      <w:sz w:val="21"/>
                      <w:szCs w:val="21"/>
                    </w:rPr>
                    <w:t>一</w:t>
                  </w:r>
                  <w:r>
                    <w:rPr>
                      <w:rFonts w:hint="default" w:hAnsi="宋体"/>
                      <w:color w:val="auto"/>
                      <w:sz w:val="21"/>
                      <w:szCs w:val="21"/>
                      <w:lang w:val="en-GB"/>
                    </w:rPr>
                    <w:t>次</w:t>
                  </w:r>
                </w:p>
              </w:tc>
            </w:tr>
          </w:tbl>
          <w:p>
            <w:pPr>
              <w:keepNext w:val="0"/>
              <w:keepLines w:val="0"/>
              <w:suppressLineNumbers w:val="0"/>
              <w:tabs>
                <w:tab w:val="left" w:pos="3620"/>
              </w:tabs>
              <w:adjustRightInd w:val="0"/>
              <w:snapToGrid w:val="0"/>
              <w:spacing w:before="0" w:beforeAutospacing="0" w:after="0" w:afterAutospacing="0" w:line="440" w:lineRule="exact"/>
              <w:ind w:left="0" w:right="0" w:firstLine="482" w:firstLineChars="200"/>
              <w:rPr>
                <w:rFonts w:hint="eastAsia" w:ascii="宋体" w:hAnsi="宋体"/>
                <w:b/>
                <w:sz w:val="24"/>
              </w:rPr>
            </w:pPr>
            <w:r>
              <w:rPr>
                <w:rFonts w:hint="eastAsia" w:ascii="宋体" w:hAnsi="宋体"/>
                <w:b/>
                <w:sz w:val="24"/>
              </w:rPr>
              <w:t>四、固废</w:t>
            </w:r>
          </w:p>
          <w:p>
            <w:pPr>
              <w:keepNext w:val="0"/>
              <w:keepLines w:val="0"/>
              <w:pageBreakBefore w:val="0"/>
              <w:widowControl w:val="0"/>
              <w:suppressLineNumbers w:val="0"/>
              <w:kinsoku/>
              <w:wordWrap/>
              <w:overflowPunct/>
              <w:topLinePunct w:val="0"/>
              <w:bidi w:val="0"/>
              <w:snapToGrid/>
              <w:spacing w:before="0" w:beforeAutospacing="0" w:after="0" w:afterAutospacing="0" w:line="440" w:lineRule="exact"/>
              <w:ind w:left="0" w:right="0" w:firstLine="480" w:firstLineChars="200"/>
              <w:contextualSpacing/>
              <w:textAlignment w:val="auto"/>
              <w:rPr>
                <w:rFonts w:hint="eastAsia"/>
                <w:color w:val="auto"/>
                <w:sz w:val="24"/>
              </w:rPr>
            </w:pPr>
            <w:r>
              <w:rPr>
                <w:rFonts w:hint="eastAsia"/>
                <w:color w:val="auto"/>
                <w:sz w:val="24"/>
                <w:lang w:val="en-US" w:eastAsia="zh-CN"/>
              </w:rPr>
              <w:t>本项目运营期固体废物包括一般固废和危险废物。一般固废主要为电加热搅拌工序中投料环节产生的原辅料废包装物；危险废物主要为</w:t>
            </w:r>
            <w:r>
              <w:rPr>
                <w:rFonts w:hint="eastAsia"/>
                <w:sz w:val="24"/>
                <w:szCs w:val="24"/>
                <w:lang w:val="en-US" w:eastAsia="zh-CN"/>
              </w:rPr>
              <w:t>电</w:t>
            </w:r>
            <w:r>
              <w:rPr>
                <w:rFonts w:hint="eastAsia"/>
                <w:color w:val="auto"/>
                <w:sz w:val="24"/>
                <w:lang w:val="en-US" w:eastAsia="zh-CN"/>
              </w:rPr>
              <w:t>加热搅拌罐夹套内产生的废导热油和废气处理措施产生的废活性炭和废催化剂</w:t>
            </w:r>
            <w:r>
              <w:rPr>
                <w:rFonts w:hint="eastAsia"/>
                <w:color w:val="auto"/>
                <w:sz w:val="24"/>
              </w:rPr>
              <w:t>。</w:t>
            </w:r>
          </w:p>
          <w:p>
            <w:pPr>
              <w:keepNext w:val="0"/>
              <w:keepLines w:val="0"/>
              <w:suppressLineNumbers w:val="0"/>
              <w:adjustRightInd w:val="0"/>
              <w:snapToGrid w:val="0"/>
              <w:spacing w:before="0" w:beforeAutospacing="0" w:after="0" w:afterAutospacing="0" w:line="440" w:lineRule="exact"/>
              <w:ind w:left="0" w:right="0" w:firstLine="482" w:firstLineChars="200"/>
              <w:rPr>
                <w:rFonts w:hint="eastAsia"/>
                <w:b/>
                <w:bCs/>
                <w:sz w:val="24"/>
                <w:lang w:val="en-US" w:eastAsia="zh-CN"/>
              </w:rPr>
            </w:pPr>
            <w:r>
              <w:rPr>
                <w:rFonts w:hint="eastAsia"/>
                <w:b/>
                <w:bCs/>
                <w:sz w:val="24"/>
                <w:lang w:val="en-US" w:eastAsia="zh-CN"/>
              </w:rPr>
              <w:t>1、一般固废</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lang w:eastAsia="zh-CN"/>
              </w:rPr>
            </w:pPr>
            <w:r>
              <w:rPr>
                <w:rFonts w:hint="eastAsia"/>
                <w:sz w:val="24"/>
                <w:lang w:val="en-US" w:eastAsia="zh-CN"/>
              </w:rPr>
              <w:t>原辅料废包装物</w:t>
            </w:r>
            <w:r>
              <w:rPr>
                <w:rFonts w:hint="eastAsia"/>
                <w:sz w:val="24"/>
              </w:rPr>
              <w:t>：</w:t>
            </w:r>
            <w:r>
              <w:rPr>
                <w:rFonts w:hint="eastAsia"/>
                <w:sz w:val="24"/>
                <w:lang w:val="en-US" w:eastAsia="zh-CN"/>
              </w:rPr>
              <w:t>根据企业提供材料，包装物为编织袋，待二期项目完工后，总</w:t>
            </w:r>
            <w:r>
              <w:rPr>
                <w:rFonts w:hint="eastAsia"/>
                <w:sz w:val="24"/>
              </w:rPr>
              <w:t>产生量约为</w:t>
            </w:r>
            <w:r>
              <w:rPr>
                <w:rFonts w:hint="eastAsia"/>
                <w:sz w:val="24"/>
                <w:lang w:val="en-US" w:eastAsia="zh-CN"/>
              </w:rPr>
              <w:t>2</w:t>
            </w:r>
            <w:r>
              <w:rPr>
                <w:rFonts w:hint="eastAsia"/>
                <w:sz w:val="24"/>
              </w:rPr>
              <w:t>t/a，属于一般固废</w:t>
            </w:r>
            <w:r>
              <w:rPr>
                <w:rFonts w:hint="eastAsia"/>
                <w:sz w:val="24"/>
                <w:lang w:eastAsia="zh-CN"/>
              </w:rPr>
              <w:t>。</w:t>
            </w:r>
          </w:p>
          <w:p>
            <w:pPr>
              <w:keepNext w:val="0"/>
              <w:keepLines w:val="0"/>
              <w:suppressLineNumbers w:val="0"/>
              <w:spacing w:before="0" w:beforeAutospacing="0" w:after="0" w:afterAutospacing="0" w:line="440" w:lineRule="exact"/>
              <w:ind w:left="0" w:right="0" w:firstLine="480" w:firstLineChars="200"/>
              <w:jc w:val="left"/>
              <w:rPr>
                <w:rFonts w:hint="eastAsia"/>
                <w:color w:val="auto"/>
                <w:sz w:val="24"/>
                <w:lang w:eastAsia="zh-CN"/>
              </w:rPr>
            </w:pPr>
            <w:r>
              <w:rPr>
                <w:rFonts w:hint="default"/>
                <w:sz w:val="24"/>
              </w:rPr>
              <w:t>评价要求：</w:t>
            </w:r>
            <w:r>
              <w:rPr>
                <w:rFonts w:hint="eastAsia"/>
                <w:color w:val="000000"/>
                <w:sz w:val="24"/>
              </w:rPr>
              <w:t>企业应严格按照</w:t>
            </w:r>
            <w:r>
              <w:rPr>
                <w:rFonts w:hint="eastAsia"/>
                <w:color w:val="000000"/>
                <w:sz w:val="24"/>
                <w:lang w:val="en-US" w:eastAsia="zh-CN"/>
              </w:rPr>
              <w:t>《一般工业固体废物贮存和填埋污染控制标准》（GB18599-2020）</w:t>
            </w:r>
            <w:r>
              <w:rPr>
                <w:rFonts w:hint="eastAsia"/>
                <w:color w:val="000000"/>
                <w:sz w:val="24"/>
              </w:rPr>
              <w:t>的相关要求对一般固废进行暂存，本项目</w:t>
            </w:r>
            <w:r>
              <w:rPr>
                <w:rFonts w:hint="eastAsia"/>
                <w:color w:val="000000"/>
                <w:sz w:val="24"/>
                <w:lang w:val="en-US" w:eastAsia="zh-CN"/>
              </w:rPr>
              <w:t>拟</w:t>
            </w:r>
            <w:r>
              <w:rPr>
                <w:rFonts w:hint="eastAsia"/>
                <w:color w:val="000000"/>
                <w:sz w:val="24"/>
              </w:rPr>
              <w:t>设置一般固废暂存间（面积为</w:t>
            </w:r>
            <w:r>
              <w:rPr>
                <w:rFonts w:hint="eastAsia"/>
                <w:color w:val="000000"/>
                <w:sz w:val="24"/>
                <w:lang w:val="en-US" w:eastAsia="zh-CN"/>
              </w:rPr>
              <w:t>20</w:t>
            </w:r>
            <w:r>
              <w:rPr>
                <w:rFonts w:hint="default"/>
                <w:color w:val="000000"/>
                <w:sz w:val="24"/>
              </w:rPr>
              <w:t>m</w:t>
            </w:r>
            <w:r>
              <w:rPr>
                <w:rFonts w:hint="default"/>
                <w:color w:val="000000"/>
                <w:sz w:val="24"/>
                <w:vertAlign w:val="superscript"/>
              </w:rPr>
              <w:t>2</w:t>
            </w:r>
            <w:r>
              <w:rPr>
                <w:rFonts w:hint="eastAsia"/>
                <w:color w:val="000000"/>
                <w:sz w:val="24"/>
              </w:rPr>
              <w:t>），一般固废暂存间应做到防风、防雨、防渗漏等措施</w:t>
            </w:r>
            <w:r>
              <w:rPr>
                <w:rFonts w:hint="eastAsia"/>
                <w:color w:val="auto"/>
                <w:sz w:val="24"/>
              </w:rPr>
              <w:t>。</w:t>
            </w:r>
            <w:r>
              <w:rPr>
                <w:rFonts w:hint="eastAsia"/>
                <w:bCs/>
                <w:color w:val="auto"/>
                <w:sz w:val="24"/>
              </w:rPr>
              <w:t>综上所述，本项目所产生的固体废物经收集后外可以妥善处理，</w:t>
            </w:r>
            <w:r>
              <w:rPr>
                <w:rFonts w:hint="eastAsia"/>
                <w:color w:val="auto"/>
                <w:kern w:val="24"/>
                <w:sz w:val="24"/>
              </w:rPr>
              <w:t>能够避免固体废物排放对环境的二次污染，不会对当地环境产生不利影响</w:t>
            </w:r>
            <w:r>
              <w:rPr>
                <w:rFonts w:hint="default"/>
                <w:color w:val="auto"/>
                <w:sz w:val="24"/>
              </w:rPr>
              <w:t>。</w:t>
            </w: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eastAsia="宋体"/>
                <w:b/>
                <w:bCs/>
                <w:sz w:val="24"/>
                <w:lang w:val="en-US" w:eastAsia="zh-CN"/>
              </w:rPr>
            </w:pPr>
            <w:r>
              <w:rPr>
                <w:rFonts w:hint="eastAsia"/>
                <w:b/>
                <w:bCs/>
                <w:sz w:val="24"/>
                <w:lang w:val="en-US" w:eastAsia="zh-CN"/>
              </w:rPr>
              <w:t>2、危险废物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0" w:firstLineChars="200"/>
              <w:textAlignment w:val="auto"/>
              <w:rPr>
                <w:rFonts w:hint="eastAsia" w:ascii="Times New Roman" w:hAnsi="Times New Roman" w:eastAsia="宋体" w:cs="Times New Roman"/>
                <w:sz w:val="24"/>
                <w:lang w:val="en-US" w:eastAsia="zh-CN"/>
              </w:rPr>
            </w:pPr>
            <w:r>
              <w:rPr>
                <w:rFonts w:hint="eastAsia"/>
                <w:sz w:val="24"/>
              </w:rPr>
              <w:t>（</w:t>
            </w:r>
            <w:r>
              <w:rPr>
                <w:rFonts w:hint="eastAsia"/>
                <w:sz w:val="24"/>
                <w:lang w:val="en-US" w:eastAsia="zh-CN"/>
              </w:rPr>
              <w:t>1</w:t>
            </w:r>
            <w:r>
              <w:rPr>
                <w:rFonts w:hint="eastAsia"/>
                <w:sz w:val="24"/>
              </w:rPr>
              <w:t>）</w:t>
            </w:r>
            <w:r>
              <w:rPr>
                <w:rFonts w:hint="eastAsia"/>
                <w:sz w:val="24"/>
                <w:lang w:val="en-US" w:eastAsia="zh-CN"/>
              </w:rPr>
              <w:t>废导热油</w:t>
            </w:r>
            <w:r>
              <w:rPr>
                <w:rFonts w:hint="eastAsia"/>
                <w:sz w:val="24"/>
              </w:rPr>
              <w:t>：</w:t>
            </w:r>
            <w:r>
              <w:rPr>
                <w:rFonts w:hint="default" w:ascii="Times New Roman" w:hAnsi="Times New Roman" w:cs="Times New Roman" w:eastAsiaTheme="majorEastAsia"/>
                <w:b w:val="0"/>
                <w:bCs w:val="0"/>
                <w:sz w:val="24"/>
                <w:szCs w:val="24"/>
                <w:u w:val="none"/>
                <w:lang w:eastAsia="zh-CN"/>
              </w:rPr>
              <w:t>本项目</w:t>
            </w:r>
            <w:r>
              <w:rPr>
                <w:rFonts w:hint="eastAsia" w:cs="Times New Roman" w:eastAsiaTheme="majorEastAsia"/>
                <w:b w:val="0"/>
                <w:bCs w:val="0"/>
                <w:sz w:val="24"/>
                <w:szCs w:val="24"/>
                <w:u w:val="none"/>
                <w:lang w:val="en-US" w:eastAsia="zh-CN"/>
              </w:rPr>
              <w:t>电</w:t>
            </w:r>
            <w:r>
              <w:rPr>
                <w:rFonts w:hint="eastAsia" w:ascii="Times New Roman" w:hAnsi="Times New Roman" w:cs="Times New Roman" w:eastAsiaTheme="majorEastAsia"/>
                <w:b w:val="0"/>
                <w:bCs w:val="0"/>
                <w:sz w:val="24"/>
                <w:szCs w:val="24"/>
                <w:u w:val="none"/>
                <w:lang w:val="en-US" w:eastAsia="zh-CN"/>
              </w:rPr>
              <w:t>加热搅拌罐中</w:t>
            </w:r>
            <w:r>
              <w:rPr>
                <w:rFonts w:hint="default" w:ascii="Times New Roman" w:hAnsi="Times New Roman" w:cs="Times New Roman" w:eastAsiaTheme="majorEastAsia"/>
                <w:b w:val="0"/>
                <w:bCs w:val="0"/>
                <w:sz w:val="24"/>
                <w:szCs w:val="24"/>
                <w:u w:val="none"/>
                <w:lang w:eastAsia="zh-CN"/>
              </w:rPr>
              <w:t>使用的导热油需定期更换，根据建设单位提供资料，本项目一年更换一次，</w:t>
            </w:r>
            <w:r>
              <w:rPr>
                <w:rFonts w:hint="eastAsia" w:cs="Times New Roman" w:eastAsiaTheme="majorEastAsia"/>
                <w:b w:val="0"/>
                <w:bCs w:val="0"/>
                <w:sz w:val="24"/>
                <w:szCs w:val="24"/>
                <w:u w:val="none"/>
                <w:lang w:val="en-US" w:eastAsia="zh-CN"/>
              </w:rPr>
              <w:t>项目一期产生量约为0.1t/a，待</w:t>
            </w:r>
            <w:r>
              <w:rPr>
                <w:rFonts w:hint="eastAsia" w:ascii="Times New Roman" w:hAnsi="Times New Roman" w:cs="Times New Roman" w:eastAsiaTheme="majorEastAsia"/>
                <w:b w:val="0"/>
                <w:bCs w:val="0"/>
                <w:sz w:val="24"/>
                <w:szCs w:val="24"/>
                <w:u w:val="none"/>
                <w:lang w:val="en-US" w:eastAsia="zh-CN"/>
              </w:rPr>
              <w:t>项目二期建设完工后，总产生量</w:t>
            </w:r>
            <w:r>
              <w:rPr>
                <w:rFonts w:hint="default" w:ascii="Times New Roman" w:hAnsi="Times New Roman" w:cs="Times New Roman" w:eastAsiaTheme="majorEastAsia"/>
                <w:b w:val="0"/>
                <w:bCs w:val="0"/>
                <w:sz w:val="24"/>
                <w:szCs w:val="24"/>
                <w:u w:val="none"/>
                <w:lang w:eastAsia="zh-CN"/>
              </w:rPr>
              <w:t>为</w:t>
            </w:r>
            <w:r>
              <w:rPr>
                <w:rFonts w:hint="default" w:ascii="Times New Roman" w:hAnsi="Times New Roman" w:cs="Times New Roman" w:eastAsiaTheme="majorEastAsia"/>
                <w:b w:val="0"/>
                <w:bCs w:val="0"/>
                <w:sz w:val="24"/>
                <w:szCs w:val="24"/>
                <w:u w:val="none"/>
                <w:lang w:val="en-US" w:eastAsia="zh-CN"/>
              </w:rPr>
              <w:t>0.3t/a。</w:t>
            </w:r>
            <w:r>
              <w:rPr>
                <w:rFonts w:hint="eastAsia" w:ascii="Times New Roman" w:hAnsi="Times New Roman" w:eastAsia="宋体" w:cs="Times New Roman"/>
                <w:sz w:val="24"/>
                <w:lang w:val="en-US" w:eastAsia="zh-CN"/>
              </w:rPr>
              <w:t>根据《国家危险废物名录》（2021年），废</w:t>
            </w:r>
            <w:r>
              <w:rPr>
                <w:rFonts w:hint="eastAsia" w:cs="Times New Roman"/>
                <w:sz w:val="24"/>
                <w:lang w:val="en-US" w:eastAsia="zh-CN"/>
              </w:rPr>
              <w:t>导热油</w:t>
            </w:r>
            <w:r>
              <w:rPr>
                <w:rFonts w:hint="eastAsia" w:ascii="Times New Roman" w:hAnsi="Times New Roman" w:eastAsia="宋体" w:cs="Times New Roman"/>
                <w:sz w:val="24"/>
                <w:lang w:val="en-US" w:eastAsia="zh-CN"/>
              </w:rPr>
              <w:t>属于危废编号HW08</w:t>
            </w:r>
            <w:r>
              <w:rPr>
                <w:rFonts w:hint="eastAsia" w:ascii="Times New Roman" w:hAnsi="Times New Roman" w:eastAsia="宋体" w:cs="Times New Roman"/>
                <w:color w:val="000000"/>
                <w:kern w:val="0"/>
                <w:sz w:val="24"/>
                <w:szCs w:val="24"/>
                <w:lang w:val="en-US" w:eastAsia="zh-CN" w:bidi="ar"/>
              </w:rPr>
              <w:t>“废矿物油与含矿物油废物”，</w:t>
            </w:r>
            <w:r>
              <w:rPr>
                <w:rFonts w:hint="eastAsia" w:ascii="Times New Roman" w:hAnsi="Times New Roman" w:eastAsia="宋体" w:cs="Times New Roman"/>
                <w:sz w:val="24"/>
                <w:lang w:val="en-US" w:eastAsia="zh-CN"/>
              </w:rPr>
              <w:t>代码为“900-</w:t>
            </w:r>
            <w:r>
              <w:rPr>
                <w:rFonts w:hint="eastAsia" w:cs="Times New Roman"/>
                <w:sz w:val="24"/>
                <w:lang w:val="en-US" w:eastAsia="zh-CN"/>
              </w:rPr>
              <w:t>249</w:t>
            </w:r>
            <w:r>
              <w:rPr>
                <w:rFonts w:hint="eastAsia" w:ascii="Times New Roman" w:hAnsi="Times New Roman" w:eastAsia="宋体" w:cs="Times New Roman"/>
                <w:sz w:val="24"/>
                <w:lang w:val="en-US" w:eastAsia="zh-CN"/>
              </w:rPr>
              <w:t>-08”：</w:t>
            </w:r>
            <w:r>
              <w:rPr>
                <w:rFonts w:hint="default" w:ascii="Times New Roman" w:hAnsi="Times New Roman" w:cs="Times New Roman" w:eastAsiaTheme="majorEastAsia"/>
                <w:b w:val="0"/>
                <w:bCs w:val="0"/>
                <w:color w:val="000000"/>
                <w:sz w:val="24"/>
                <w:szCs w:val="24"/>
                <w:u w:val="none"/>
                <w:lang w:val="en-US" w:eastAsia="zh-CN"/>
              </w:rPr>
              <w:t>其他生产、销售、使用过程中产生的废矿物油及沾染矿物油的废弃包装物</w:t>
            </w:r>
            <w:r>
              <w:rPr>
                <w:rFonts w:hint="eastAsia" w:ascii="Times New Roman" w:hAnsi="Times New Roman" w:eastAsia="宋体" w:cs="Times New Roman"/>
                <w:sz w:val="24"/>
                <w:lang w:val="en-US" w:eastAsia="zh-CN"/>
              </w:rPr>
              <w:t>，集中收集后暂存于危险废物暂存间，定期委托有危废处理资质的单位</w:t>
            </w:r>
            <w:r>
              <w:rPr>
                <w:rFonts w:hint="eastAsia" w:cs="Times New Roman"/>
                <w:sz w:val="24"/>
                <w:lang w:val="en-US" w:eastAsia="zh-CN"/>
              </w:rPr>
              <w:t>处置</w:t>
            </w:r>
            <w:r>
              <w:rPr>
                <w:rFonts w:hint="eastAsia" w:ascii="Times New Roman" w:hAnsi="Times New Roman" w:eastAsia="宋体" w:cs="Times New Roman"/>
                <w:sz w:val="24"/>
                <w:lang w:val="en-US" w:eastAsia="zh-CN"/>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w:t>
            </w:r>
            <w:r>
              <w:rPr>
                <w:rFonts w:hint="eastAsia"/>
                <w:color w:val="auto"/>
                <w:sz w:val="24"/>
                <w:lang w:val="en-US" w:eastAsia="zh-CN"/>
              </w:rPr>
              <w:t>废活性炭：</w:t>
            </w:r>
            <w:r>
              <w:rPr>
                <w:rFonts w:hint="eastAsia" w:hAnsi="宋体"/>
                <w:color w:val="auto"/>
                <w:sz w:val="24"/>
              </w:rPr>
              <w:t>本项目</w:t>
            </w:r>
            <w:r>
              <w:rPr>
                <w:rFonts w:hint="eastAsia"/>
                <w:color w:val="auto"/>
                <w:sz w:val="24"/>
              </w:rPr>
              <w:t>“活性炭吸附脱附+催化燃烧”装置</w:t>
            </w:r>
            <w:r>
              <w:rPr>
                <w:rFonts w:hint="default" w:ascii="Times New Roman" w:hAnsi="Times New Roman" w:eastAsia="宋体" w:cs="Times New Roman"/>
                <w:color w:val="auto"/>
                <w:sz w:val="24"/>
                <w:lang w:val="en-US" w:eastAsia="zh-CN"/>
              </w:rPr>
              <w:t>活性炭吸附床中的填料活性炭，长时间吸附和脱附运行后活性炭的活性减弱，</w:t>
            </w:r>
            <w:r>
              <w:rPr>
                <w:rFonts w:hint="eastAsia" w:cs="Times New Roman"/>
                <w:color w:val="auto"/>
                <w:sz w:val="24"/>
                <w:lang w:val="en-US" w:eastAsia="zh-CN"/>
              </w:rPr>
              <w:t>需要进行更换，</w:t>
            </w:r>
            <w:r>
              <w:rPr>
                <w:rFonts w:hint="default" w:ascii="Times New Roman" w:hAnsi="Times New Roman" w:eastAsia="宋体" w:cs="Times New Roman"/>
                <w:color w:val="auto"/>
                <w:sz w:val="24"/>
                <w:lang w:val="en-US" w:eastAsia="zh-CN"/>
              </w:rPr>
              <w:t>经脱附后更换，更换时会产生废活性炭，本项目</w:t>
            </w:r>
            <w:r>
              <w:rPr>
                <w:rFonts w:hint="default" w:ascii="Times New Roman" w:hAnsi="Times New Roman" w:eastAsia="宋体" w:cs="Times New Roman"/>
                <w:color w:val="auto"/>
                <w:sz w:val="24"/>
              </w:rPr>
              <w:t>2套活性炭吸附单元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每套活性炭吸附床为0.5m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 xml:space="preserve"> 的蜂窝状活性炭，重量约0.2</w:t>
            </w:r>
            <w:r>
              <w:rPr>
                <w:rFonts w:hint="default" w:ascii="Times New Roman" w:hAnsi="Times New Roman" w:eastAsia="宋体" w:cs="Times New Roman"/>
                <w:color w:val="auto"/>
                <w:sz w:val="24"/>
                <w:lang w:val="en-US" w:eastAsia="zh-CN"/>
              </w:rPr>
              <w:t>75</w:t>
            </w:r>
            <w:r>
              <w:rPr>
                <w:rFonts w:hint="default" w:ascii="Times New Roman" w:hAnsi="Times New Roman" w:eastAsia="宋体" w:cs="Times New Roman"/>
                <w:color w:val="auto"/>
                <w:sz w:val="24"/>
              </w:rPr>
              <w:t>t</w:t>
            </w:r>
            <w:r>
              <w:rPr>
                <w:rFonts w:hint="default" w:ascii="Times New Roman" w:hAnsi="Times New Roman" w:eastAsia="宋体" w:cs="Times New Roman"/>
                <w:color w:val="auto"/>
                <w:sz w:val="24"/>
                <w:lang w:eastAsia="zh-CN"/>
              </w:rPr>
              <w:t>，</w:t>
            </w:r>
            <w:r>
              <w:rPr>
                <w:rFonts w:hint="eastAsia" w:cs="Times New Roman"/>
                <w:color w:val="auto"/>
                <w:sz w:val="24"/>
                <w:lang w:val="en-US" w:eastAsia="zh-CN"/>
              </w:rPr>
              <w:t>项目一期每三年更换一次，</w:t>
            </w:r>
            <w:r>
              <w:rPr>
                <w:rFonts w:hint="default" w:ascii="Times New Roman" w:hAnsi="Times New Roman" w:eastAsia="宋体" w:cs="Times New Roman"/>
                <w:color w:val="auto"/>
                <w:sz w:val="24"/>
                <w:lang w:val="en-US" w:eastAsia="zh-CN"/>
              </w:rPr>
              <w:t>则废活性炭</w:t>
            </w:r>
            <w:r>
              <w:rPr>
                <w:rFonts w:hint="eastAsia" w:cs="Times New Roman"/>
                <w:color w:val="auto"/>
                <w:sz w:val="24"/>
                <w:lang w:val="en-US" w:eastAsia="zh-CN"/>
              </w:rPr>
              <w:t>一期</w:t>
            </w:r>
            <w:r>
              <w:rPr>
                <w:rFonts w:hint="default" w:ascii="Times New Roman" w:hAnsi="Times New Roman" w:eastAsia="宋体" w:cs="Times New Roman"/>
                <w:color w:val="auto"/>
                <w:sz w:val="24"/>
                <w:lang w:val="en-US" w:eastAsia="zh-CN"/>
              </w:rPr>
              <w:t>产生量为0.55t/</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a</w:t>
            </w:r>
            <w:r>
              <w:rPr>
                <w:rFonts w:hint="eastAsia" w:cs="Times New Roman"/>
                <w:color w:val="auto"/>
                <w:sz w:val="24"/>
                <w:lang w:val="en-US" w:eastAsia="zh-CN"/>
              </w:rPr>
              <w:t>，待项目二期完成建设后，活性炭每一年更换一次，废活性炭产生量为</w:t>
            </w:r>
            <w:r>
              <w:rPr>
                <w:rFonts w:hint="default" w:ascii="Times New Roman" w:hAnsi="Times New Roman" w:eastAsia="宋体" w:cs="Times New Roman"/>
                <w:color w:val="auto"/>
                <w:sz w:val="24"/>
                <w:lang w:val="en-US" w:eastAsia="zh-CN"/>
              </w:rPr>
              <w:t>0.55t/a根据《国家危险废物名录》（2021年版）可知，废活性炭属于《国家危险废物名录》中HW49</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其他废物</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，废物代码为</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900-039-49</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VOCs治理过程（不包括餐饮行业油烟治理过程）产生的废活性炭</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，废活性炭集中收集后暂存于危险废物暂存间，委托有危废处理资质的单位</w:t>
            </w:r>
            <w:r>
              <w:rPr>
                <w:rFonts w:hint="eastAsia" w:cs="Times New Roman"/>
                <w:color w:val="auto"/>
                <w:sz w:val="24"/>
                <w:lang w:val="en-US" w:eastAsia="zh-CN"/>
              </w:rPr>
              <w:t>处置</w:t>
            </w:r>
            <w:r>
              <w:rPr>
                <w:rFonts w:hint="default" w:ascii="Times New Roman" w:hAnsi="Times New Roman" w:eastAsia="宋体" w:cs="Times New Roman"/>
                <w:color w:val="auto"/>
                <w:sz w:val="24"/>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ascii="Times New Roman" w:hAnsi="Times New Roman" w:eastAsia="宋体" w:cs="Times New Roman"/>
                <w:color w:val="auto"/>
                <w:sz w:val="24"/>
              </w:rPr>
            </w:pPr>
            <w:r>
              <w:rPr>
                <w:rFonts w:hint="eastAsia" w:cs="Times New Roman"/>
                <w:color w:val="auto"/>
                <w:sz w:val="24"/>
                <w:lang w:eastAsia="zh-CN"/>
              </w:rPr>
              <w:t>（</w:t>
            </w:r>
            <w:r>
              <w:rPr>
                <w:rFonts w:hint="eastAsia" w:cs="Times New Roman"/>
                <w:color w:val="auto"/>
                <w:sz w:val="24"/>
                <w:lang w:val="en-US" w:eastAsia="zh-CN"/>
              </w:rPr>
              <w:t>3</w:t>
            </w:r>
            <w:r>
              <w:rPr>
                <w:rFonts w:hint="eastAsia" w:cs="Times New Roman"/>
                <w:color w:val="auto"/>
                <w:sz w:val="24"/>
                <w:lang w:eastAsia="zh-CN"/>
              </w:rPr>
              <w:t>）</w:t>
            </w:r>
            <w:r>
              <w:rPr>
                <w:rFonts w:hint="eastAsia" w:cs="Times New Roman"/>
                <w:color w:val="auto"/>
                <w:sz w:val="24"/>
                <w:lang w:val="en-US" w:eastAsia="zh-CN"/>
              </w:rPr>
              <w:t>废催化剂：</w:t>
            </w:r>
            <w:r>
              <w:rPr>
                <w:rFonts w:hint="eastAsia" w:hAnsi="宋体"/>
                <w:color w:val="auto"/>
                <w:sz w:val="24"/>
              </w:rPr>
              <w:t>本项目</w:t>
            </w:r>
            <w:r>
              <w:rPr>
                <w:rFonts w:hint="eastAsia"/>
                <w:color w:val="auto"/>
                <w:sz w:val="24"/>
              </w:rPr>
              <w:t>“活性炭吸附脱附+催化燃烧”装置</w:t>
            </w:r>
            <w:r>
              <w:rPr>
                <w:rFonts w:hint="eastAsia" w:hAnsi="宋体"/>
                <w:color w:val="auto"/>
                <w:sz w:val="24"/>
              </w:rPr>
              <w:t>在废气处理过程中会产生废催化剂。催化剂为陶瓷蜂窝体的贵金属催化剂，使用寿命为3年，废催化剂产生量约为0.3t/3a。根据《国家危险废物名录》（2021年版）可知，废催化剂属于《国家危险废物名录》中“HW50废催化剂”类别，“环境治理业”。废催化剂经集中收集后，暂存于危废暂存间</w:t>
            </w:r>
            <w:r>
              <w:rPr>
                <w:rFonts w:hint="eastAsia"/>
                <w:color w:val="auto"/>
                <w:sz w:val="24"/>
              </w:rPr>
              <w:t>（</w:t>
            </w:r>
            <w:r>
              <w:rPr>
                <w:rFonts w:hint="eastAsia"/>
                <w:color w:val="auto"/>
                <w:sz w:val="24"/>
                <w:lang w:val="en-US" w:eastAsia="zh-CN"/>
              </w:rPr>
              <w:t>10</w:t>
            </w:r>
            <w:r>
              <w:rPr>
                <w:rFonts w:hint="default"/>
                <w:color w:val="auto"/>
                <w:sz w:val="24"/>
              </w:rPr>
              <w:t>m</w:t>
            </w:r>
            <w:r>
              <w:rPr>
                <w:rFonts w:hint="default"/>
                <w:color w:val="auto"/>
                <w:sz w:val="24"/>
                <w:vertAlign w:val="superscript"/>
              </w:rPr>
              <w:t>2</w:t>
            </w:r>
            <w:r>
              <w:rPr>
                <w:rFonts w:hint="eastAsia"/>
                <w:color w:val="auto"/>
                <w:sz w:val="24"/>
              </w:rPr>
              <w:t>）</w:t>
            </w:r>
            <w:r>
              <w:rPr>
                <w:rFonts w:hint="eastAsia" w:hAnsi="宋体"/>
                <w:color w:val="auto"/>
                <w:sz w:val="24"/>
              </w:rPr>
              <w:t>，定期委托有资质单位</w:t>
            </w:r>
            <w:r>
              <w:rPr>
                <w:rFonts w:hint="eastAsia" w:hAnsi="宋体"/>
                <w:color w:val="auto"/>
                <w:sz w:val="24"/>
                <w:lang w:val="en-US" w:eastAsia="zh-CN"/>
              </w:rPr>
              <w:t>处置</w:t>
            </w:r>
            <w:r>
              <w:rPr>
                <w:rFonts w:hint="eastAsia" w:hAnsi="宋体"/>
                <w:color w:val="auto"/>
                <w:sz w:val="24"/>
              </w:rPr>
              <w:t>。</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lang w:val="en-US" w:eastAsia="zh-CN"/>
              </w:rPr>
            </w:pPr>
            <w:r>
              <w:rPr>
                <w:rFonts w:hint="default" w:ascii="Times New Roman" w:hAnsi="Times New Roman" w:eastAsia="宋体" w:cs="Times New Roman"/>
                <w:sz w:val="24"/>
              </w:rPr>
              <w:t>按照《危险废物贮存污染控制标准》（GB18597-2001）规定，要求企业将危险废物分装于专门的容器内，存放在厂区内</w:t>
            </w:r>
            <w:r>
              <w:rPr>
                <w:rFonts w:hint="default" w:ascii="Times New Roman" w:hAnsi="Times New Roman" w:eastAsia="宋体" w:cs="Times New Roman"/>
                <w:sz w:val="24"/>
                <w:lang w:val="en-US" w:eastAsia="zh-CN"/>
              </w:rPr>
              <w:t>危险废物暂存间</w:t>
            </w:r>
            <w:r>
              <w:rPr>
                <w:rFonts w:hint="default" w:ascii="Times New Roman" w:hAnsi="Times New Roman" w:eastAsia="宋体" w:cs="Times New Roman"/>
                <w:sz w:val="24"/>
              </w:rPr>
              <w:t>内，贮存期间注意防风、防晒、防雨、防渗措施，并设立危险废物标志。建设单位须做好危险废物情况的记录，记录上注明危险废物的名称、来源、数量、特征和包装容器的类别、入库日期、存放库位、废物出库日期及接受单位名称；必须定期对贮存危险废物的包装容器及危废暂存室进行检查，发现破损应及时采取措施清理更换。</w:t>
            </w:r>
            <w:r>
              <w:rPr>
                <w:rFonts w:hint="eastAsia" w:ascii="Times New Roman" w:hAnsi="Times New Roman" w:eastAsia="宋体" w:cs="Times New Roman"/>
                <w:sz w:val="24"/>
                <w:lang w:eastAsia="zh-CN"/>
              </w:rPr>
              <w:t>本项目</w:t>
            </w:r>
            <w:r>
              <w:rPr>
                <w:rFonts w:hint="eastAsia" w:ascii="Times New Roman" w:hAnsi="Times New Roman" w:eastAsia="宋体" w:cs="Times New Roman"/>
                <w:sz w:val="24"/>
                <w:lang w:val="en-US" w:eastAsia="zh-CN"/>
              </w:rPr>
              <w:t>拟</w:t>
            </w:r>
            <w:r>
              <w:rPr>
                <w:rFonts w:hint="default" w:ascii="Times New Roman" w:hAnsi="Times New Roman" w:eastAsia="宋体" w:cs="Times New Roman"/>
                <w:sz w:val="24"/>
              </w:rPr>
              <w:t>在</w:t>
            </w:r>
            <w:r>
              <w:rPr>
                <w:rFonts w:hint="eastAsia" w:ascii="Times New Roman" w:hAnsi="Times New Roman" w:eastAsia="宋体" w:cs="Times New Roman"/>
                <w:sz w:val="24"/>
                <w:lang w:val="en-US" w:eastAsia="zh-CN"/>
              </w:rPr>
              <w:t>租赁</w:t>
            </w:r>
            <w:r>
              <w:rPr>
                <w:rFonts w:hint="eastAsia" w:cs="Times New Roman"/>
                <w:sz w:val="24"/>
                <w:lang w:val="en-US" w:eastAsia="zh-CN"/>
              </w:rPr>
              <w:t>厂房西南</w:t>
            </w:r>
            <w:r>
              <w:rPr>
                <w:rFonts w:hint="eastAsia" w:ascii="Times New Roman" w:hAnsi="Times New Roman" w:eastAsia="宋体" w:cs="Times New Roman"/>
                <w:sz w:val="24"/>
                <w:lang w:val="en-US" w:eastAsia="zh-CN"/>
              </w:rPr>
              <w:t>角建设危险废物暂存间1座</w:t>
            </w:r>
            <w:r>
              <w:rPr>
                <w:rFonts w:hint="default" w:ascii="Times New Roman" w:hAnsi="Times New Roman" w:eastAsia="宋体" w:cs="Times New Roman"/>
                <w:sz w:val="24"/>
              </w:rPr>
              <w:t>，面积</w:t>
            </w:r>
            <w:r>
              <w:rPr>
                <w:rFonts w:hint="eastAsia" w:cs="Times New Roman"/>
                <w:sz w:val="24"/>
                <w:lang w:val="en-US" w:eastAsia="zh-CN"/>
              </w:rPr>
              <w:t>约10</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，危险废物统一收集后定期送往有资质单位进行处理。</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default" w:ascii="宋体" w:hAnsi="宋体" w:eastAsia="宋体" w:cs="宋体"/>
                <w:b w:val="0"/>
                <w:bCs w:val="0"/>
                <w:color w:val="auto"/>
                <w:sz w:val="24"/>
                <w:szCs w:val="24"/>
                <w:lang w:val="en-US" w:eastAsia="zh-CN"/>
              </w:rPr>
            </w:pPr>
            <w:r>
              <w:rPr>
                <w:rFonts w:hint="eastAsia" w:ascii="宋体" w:hAnsi="宋体" w:cs="宋体"/>
                <w:b/>
                <w:bCs/>
                <w:color w:val="auto"/>
                <w:sz w:val="24"/>
                <w:szCs w:val="24"/>
                <w:lang w:val="en-US" w:eastAsia="zh-CN"/>
              </w:rPr>
              <w:t xml:space="preserve">表39  </w:t>
            </w:r>
            <w:r>
              <w:rPr>
                <w:rFonts w:hint="default" w:ascii="Times New Roman" w:hAnsi="Times New Roman" w:eastAsia="宋体" w:cs="Times New Roman"/>
                <w:b/>
                <w:bCs/>
                <w:snapToGrid w:val="0"/>
                <w:color w:val="auto"/>
                <w:kern w:val="0"/>
              </w:rPr>
              <w:t>项目危险废物汇总一览表</w:t>
            </w:r>
          </w:p>
          <w:tbl>
            <w:tblPr>
              <w:tblStyle w:val="22"/>
              <w:tblW w:w="499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7" w:type="dxa"/>
                <w:bottom w:w="0" w:type="dxa"/>
                <w:right w:w="17" w:type="dxa"/>
              </w:tblCellMar>
            </w:tblPr>
            <w:tblGrid>
              <w:gridCol w:w="362"/>
              <w:gridCol w:w="927"/>
              <w:gridCol w:w="756"/>
              <w:gridCol w:w="1080"/>
              <w:gridCol w:w="750"/>
              <w:gridCol w:w="750"/>
              <w:gridCol w:w="525"/>
              <w:gridCol w:w="1155"/>
              <w:gridCol w:w="645"/>
              <w:gridCol w:w="840"/>
              <w:gridCol w:w="82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tcBorders>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538"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438"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危险废物类别</w:t>
                  </w:r>
                </w:p>
              </w:tc>
              <w:tc>
                <w:tcPr>
                  <w:tcW w:w="626"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危险废物代码</w:t>
                  </w:r>
                </w:p>
              </w:tc>
              <w:tc>
                <w:tcPr>
                  <w:tcW w:w="435"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rPr>
                  </w:pPr>
                  <w:r>
                    <w:rPr>
                      <w:rFonts w:hint="eastAsia" w:cs="Times New Roman"/>
                      <w:b/>
                      <w:bCs/>
                      <w:color w:val="auto"/>
                      <w:sz w:val="21"/>
                      <w:szCs w:val="21"/>
                      <w:lang w:val="en-US" w:eastAsia="zh-CN"/>
                    </w:rPr>
                    <w:t>项目工程进度</w:t>
                  </w:r>
                </w:p>
              </w:tc>
              <w:tc>
                <w:tcPr>
                  <w:tcW w:w="435"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bCs/>
                      <w:color w:val="auto"/>
                      <w:kern w:val="2"/>
                      <w:sz w:val="21"/>
                      <w:szCs w:val="21"/>
                      <w:lang w:val="en-US" w:eastAsia="zh-CN" w:bidi="ar-SA"/>
                    </w:rPr>
                  </w:pPr>
                  <w:r>
                    <w:rPr>
                      <w:rFonts w:hint="eastAsia" w:cs="Times New Roman"/>
                      <w:b/>
                      <w:bCs/>
                      <w:color w:val="auto"/>
                      <w:sz w:val="21"/>
                      <w:szCs w:val="21"/>
                      <w:lang w:val="en-US" w:eastAsia="zh-CN"/>
                    </w:rPr>
                    <w:t>年</w:t>
                  </w:r>
                  <w:r>
                    <w:rPr>
                      <w:rFonts w:hint="default" w:ascii="Times New Roman" w:hAnsi="Times New Roman" w:eastAsia="宋体" w:cs="Times New Roman"/>
                      <w:b/>
                      <w:bCs/>
                      <w:color w:val="auto"/>
                      <w:sz w:val="21"/>
                      <w:szCs w:val="21"/>
                    </w:rPr>
                    <w:t>产生量</w:t>
                  </w:r>
                </w:p>
              </w:tc>
              <w:tc>
                <w:tcPr>
                  <w:tcW w:w="304"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670"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主要有毒有害物质名称</w:t>
                  </w:r>
                </w:p>
              </w:tc>
              <w:tc>
                <w:tcPr>
                  <w:tcW w:w="374"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w:t>
                  </w:r>
                </w:p>
              </w:tc>
              <w:tc>
                <w:tcPr>
                  <w:tcW w:w="487" w:type="pct"/>
                  <w:tcBorders>
                    <w:left w:val="single" w:color="auto" w:sz="8" w:space="0"/>
                    <w:bottom w:val="single" w:color="auto" w:sz="8" w:space="0"/>
                    <w:right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污染防治措施</w:t>
                  </w:r>
                </w:p>
              </w:tc>
              <w:tc>
                <w:tcPr>
                  <w:tcW w:w="478" w:type="pct"/>
                  <w:tcBorders>
                    <w:left w:val="single" w:color="auto" w:sz="8" w:space="0"/>
                    <w:bottom w:val="single" w:color="auto" w:sz="8" w:space="0"/>
                  </w:tcBorders>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利用或处置t/a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538"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导热油</w:t>
                  </w:r>
                </w:p>
              </w:tc>
              <w:tc>
                <w:tcPr>
                  <w:tcW w:w="438"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HW08</w:t>
                  </w:r>
                </w:p>
              </w:tc>
              <w:tc>
                <w:tcPr>
                  <w:tcW w:w="626"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900-</w:t>
                  </w:r>
                  <w:r>
                    <w:rPr>
                      <w:rFonts w:hint="eastAsia" w:cs="Times New Roman"/>
                      <w:color w:val="auto"/>
                      <w:sz w:val="21"/>
                      <w:szCs w:val="21"/>
                      <w:lang w:val="en-US" w:eastAsia="zh-CN"/>
                    </w:rPr>
                    <w:t>249</w:t>
                  </w:r>
                  <w:r>
                    <w:rPr>
                      <w:rFonts w:hint="default" w:ascii="Times New Roman" w:hAnsi="Times New Roman" w:eastAsia="宋体" w:cs="Times New Roman"/>
                      <w:color w:val="auto"/>
                      <w:sz w:val="21"/>
                      <w:szCs w:val="21"/>
                      <w:lang w:val="en-US" w:eastAsia="zh-CN"/>
                    </w:rPr>
                    <w:t>-08</w:t>
                  </w:r>
                </w:p>
              </w:tc>
              <w:tc>
                <w:tcPr>
                  <w:tcW w:w="435"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一期</w:t>
                  </w:r>
                </w:p>
              </w:tc>
              <w:tc>
                <w:tcPr>
                  <w:tcW w:w="435"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0.</w:t>
                  </w:r>
                  <w:r>
                    <w:rPr>
                      <w:rFonts w:hint="eastAsia" w:cs="Times New Roman"/>
                      <w:color w:val="auto"/>
                      <w:kern w:val="2"/>
                      <w:sz w:val="21"/>
                      <w:szCs w:val="21"/>
                      <w:lang w:val="en-US" w:eastAsia="zh-CN" w:bidi="ar"/>
                    </w:rPr>
                    <w:t>1</w:t>
                  </w:r>
                  <w:r>
                    <w:rPr>
                      <w:rFonts w:hint="default" w:ascii="Times New Roman" w:hAnsi="Times New Roman" w:eastAsia="宋体" w:cs="Times New Roman"/>
                      <w:color w:val="auto"/>
                      <w:kern w:val="2"/>
                      <w:sz w:val="21"/>
                      <w:szCs w:val="21"/>
                      <w:lang w:val="en-US" w:eastAsia="zh-CN" w:bidi="ar"/>
                    </w:rPr>
                    <w:t>t/a</w:t>
                  </w:r>
                </w:p>
              </w:tc>
              <w:tc>
                <w:tcPr>
                  <w:tcW w:w="304"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液态</w:t>
                  </w:r>
                </w:p>
              </w:tc>
              <w:tc>
                <w:tcPr>
                  <w:tcW w:w="670" w:type="pct"/>
                  <w:vMerge w:val="restart"/>
                  <w:tcBorders>
                    <w:top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矿物油</w:t>
                  </w:r>
                </w:p>
              </w:tc>
              <w:tc>
                <w:tcPr>
                  <w:tcW w:w="374"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T，I</w:t>
                  </w:r>
                </w:p>
              </w:tc>
              <w:tc>
                <w:tcPr>
                  <w:tcW w:w="487" w:type="pct"/>
                  <w:vMerge w:val="restar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分区存放于危废暂存间</w:t>
                  </w:r>
                  <w:r>
                    <w:rPr>
                      <w:rFonts w:hint="eastAsia" w:cs="Times New Roman"/>
                      <w:color w:val="auto"/>
                      <w:sz w:val="21"/>
                      <w:szCs w:val="21"/>
                      <w:lang w:eastAsia="zh-CN"/>
                    </w:rPr>
                    <w:t>（</w:t>
                  </w:r>
                  <w:r>
                    <w:rPr>
                      <w:rFonts w:hint="eastAsia" w:cs="Times New Roman"/>
                      <w:color w:val="auto"/>
                      <w:sz w:val="21"/>
                      <w:szCs w:val="21"/>
                      <w:lang w:val="en-US" w:eastAsia="zh-CN"/>
                    </w:rPr>
                    <w:t>10m</w:t>
                  </w:r>
                  <w:r>
                    <w:rPr>
                      <w:rFonts w:hint="eastAsia" w:cs="Times New Roman"/>
                      <w:color w:val="auto"/>
                      <w:sz w:val="21"/>
                      <w:szCs w:val="21"/>
                      <w:vertAlign w:val="superscript"/>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，交由具有资质的单位</w:t>
                  </w:r>
                  <w:r>
                    <w:rPr>
                      <w:rFonts w:hint="eastAsia" w:cs="Times New Roman"/>
                      <w:color w:val="auto"/>
                      <w:sz w:val="21"/>
                      <w:szCs w:val="21"/>
                      <w:lang w:val="en-US" w:eastAsia="zh-CN"/>
                    </w:rPr>
                    <w:t>处置</w:t>
                  </w:r>
                </w:p>
              </w:tc>
              <w:tc>
                <w:tcPr>
                  <w:tcW w:w="478" w:type="pc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p>
              </w:tc>
              <w:tc>
                <w:tcPr>
                  <w:tcW w:w="538"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438"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626"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35"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待项目建成后</w:t>
                  </w:r>
                </w:p>
              </w:tc>
              <w:tc>
                <w:tcPr>
                  <w:tcW w:w="435"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w:t>
                  </w:r>
                  <w:r>
                    <w:rPr>
                      <w:rFonts w:hint="default" w:ascii="Times New Roman" w:hAnsi="Times New Roman" w:eastAsia="宋体" w:cs="Times New Roman"/>
                      <w:color w:val="auto"/>
                      <w:kern w:val="2"/>
                      <w:sz w:val="21"/>
                      <w:szCs w:val="21"/>
                      <w:lang w:val="en-US" w:eastAsia="zh-CN" w:bidi="ar"/>
                    </w:rPr>
                    <w:t>t/a</w:t>
                  </w:r>
                </w:p>
              </w:tc>
              <w:tc>
                <w:tcPr>
                  <w:tcW w:w="304"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670" w:type="pct"/>
                  <w:vMerge w:val="continue"/>
                  <w:tcBorders>
                    <w:bottom w:val="single" w:color="auto" w:sz="4"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374"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4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8" w:type="pct"/>
                  <w:tcBorders>
                    <w:top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kern w:val="2"/>
                      <w:sz w:val="21"/>
                      <w:szCs w:val="21"/>
                      <w:lang w:val="en-US" w:eastAsia="zh-CN" w:bidi="ar"/>
                    </w:rPr>
                    <w:t>0.3</w:t>
                  </w:r>
                  <w:r>
                    <w:rPr>
                      <w:rFonts w:hint="default" w:ascii="Times New Roman" w:hAnsi="Times New Roman" w:eastAsia="宋体" w:cs="Times New Roman"/>
                      <w:color w:val="auto"/>
                      <w:kern w:val="2"/>
                      <w:sz w:val="21"/>
                      <w:szCs w:val="21"/>
                      <w:lang w:val="en-US" w:eastAsia="zh-CN" w:bidi="a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38" w:type="pct"/>
                  <w:vMerge w:val="restar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废活性炭</w:t>
                  </w:r>
                </w:p>
              </w:tc>
              <w:tc>
                <w:tcPr>
                  <w:tcW w:w="438" w:type="pct"/>
                  <w:vMerge w:val="restar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HW49</w:t>
                  </w:r>
                </w:p>
              </w:tc>
              <w:tc>
                <w:tcPr>
                  <w:tcW w:w="626" w:type="pct"/>
                  <w:vMerge w:val="restar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900-039-49</w:t>
                  </w:r>
                </w:p>
              </w:tc>
              <w:tc>
                <w:tcPr>
                  <w:tcW w:w="435"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
                    </w:rPr>
                    <w:t>一期</w:t>
                  </w:r>
                </w:p>
              </w:tc>
              <w:tc>
                <w:tcPr>
                  <w:tcW w:w="435"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0.55</w:t>
                  </w:r>
                  <w:r>
                    <w:rPr>
                      <w:rFonts w:hint="default" w:ascii="Times New Roman" w:hAnsi="Times New Roman" w:eastAsia="宋体" w:cs="Times New Roman"/>
                      <w:color w:val="auto"/>
                      <w:kern w:val="2"/>
                      <w:sz w:val="21"/>
                      <w:szCs w:val="21"/>
                      <w:lang w:val="en-US" w:eastAsia="zh-CN" w:bidi="ar"/>
                    </w:rPr>
                    <w:t>t/</w:t>
                  </w:r>
                  <w:r>
                    <w:rPr>
                      <w:rFonts w:hint="eastAsia" w:ascii="Times New Roman" w:hAnsi="Times New Roman" w:eastAsia="宋体" w:cs="Times New Roman"/>
                      <w:color w:val="auto"/>
                      <w:kern w:val="2"/>
                      <w:sz w:val="21"/>
                      <w:szCs w:val="21"/>
                      <w:lang w:val="en-US" w:eastAsia="zh-CN" w:bidi="ar"/>
                    </w:rPr>
                    <w:t>3</w:t>
                  </w:r>
                  <w:r>
                    <w:rPr>
                      <w:rFonts w:hint="default" w:ascii="Times New Roman" w:hAnsi="Times New Roman" w:eastAsia="宋体" w:cs="Times New Roman"/>
                      <w:color w:val="auto"/>
                      <w:kern w:val="2"/>
                      <w:sz w:val="21"/>
                      <w:szCs w:val="21"/>
                      <w:lang w:val="en-US" w:eastAsia="zh-CN" w:bidi="ar"/>
                    </w:rPr>
                    <w:t>a</w:t>
                  </w:r>
                </w:p>
              </w:tc>
              <w:tc>
                <w:tcPr>
                  <w:tcW w:w="304" w:type="pct"/>
                  <w:vMerge w:val="restar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
                    </w:rPr>
                    <w:t>固态</w:t>
                  </w:r>
                </w:p>
              </w:tc>
              <w:tc>
                <w:tcPr>
                  <w:tcW w:w="670" w:type="pct"/>
                  <w:vMerge w:val="restart"/>
                  <w:tcBorders>
                    <w:top w:val="single" w:color="auto" w:sz="4" w:space="0"/>
                  </w:tcBorders>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color w:val="auto"/>
                      <w:kern w:val="0"/>
                      <w:sz w:val="21"/>
                      <w:szCs w:val="21"/>
                      <w:lang w:val="en-US" w:eastAsia="zh-CN" w:bidi="ar"/>
                    </w:rPr>
                    <w:t>有机溶剂</w:t>
                  </w:r>
                </w:p>
              </w:tc>
              <w:tc>
                <w:tcPr>
                  <w:tcW w:w="374" w:type="pct"/>
                  <w:vMerge w:val="restar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T</w:t>
                  </w:r>
                </w:p>
              </w:tc>
              <w:tc>
                <w:tcPr>
                  <w:tcW w:w="4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0.55</w:t>
                  </w:r>
                  <w:r>
                    <w:rPr>
                      <w:rFonts w:hint="default" w:ascii="Times New Roman" w:hAnsi="Times New Roman" w:eastAsia="宋体" w:cs="Times New Roman"/>
                      <w:color w:val="auto"/>
                      <w:kern w:val="2"/>
                      <w:sz w:val="21"/>
                      <w:szCs w:val="21"/>
                      <w:lang w:val="en-US" w:eastAsia="zh-CN" w:bidi="ar"/>
                    </w:rPr>
                    <w:t>t/</w:t>
                  </w:r>
                  <w:r>
                    <w:rPr>
                      <w:rFonts w:hint="eastAsia" w:ascii="Times New Roman" w:hAnsi="Times New Roman" w:eastAsia="宋体" w:cs="Times New Roman"/>
                      <w:color w:val="auto"/>
                      <w:kern w:val="2"/>
                      <w:sz w:val="21"/>
                      <w:szCs w:val="21"/>
                      <w:lang w:val="en-US" w:eastAsia="zh-CN" w:bidi="ar"/>
                    </w:rPr>
                    <w:t>3</w:t>
                  </w:r>
                  <w:r>
                    <w:rPr>
                      <w:rFonts w:hint="default" w:ascii="Times New Roman" w:hAnsi="Times New Roman" w:eastAsia="宋体" w:cs="Times New Roman"/>
                      <w:color w:val="auto"/>
                      <w:kern w:val="2"/>
                      <w:sz w:val="21"/>
                      <w:szCs w:val="21"/>
                      <w:lang w:val="en-US" w:eastAsia="zh-CN" w:bidi="ar"/>
                    </w:rPr>
                    <w: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p>
              </w:tc>
              <w:tc>
                <w:tcPr>
                  <w:tcW w:w="538" w:type="pct"/>
                  <w:vMerge w:val="continue"/>
                  <w:tcBorders>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38" w:type="pct"/>
                  <w:vMerge w:val="continue"/>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p>
              </w:tc>
              <w:tc>
                <w:tcPr>
                  <w:tcW w:w="626" w:type="pct"/>
                  <w:vMerge w:val="continue"/>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p>
              </w:tc>
              <w:tc>
                <w:tcPr>
                  <w:tcW w:w="435"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待项目建成后</w:t>
                  </w:r>
                </w:p>
              </w:tc>
              <w:tc>
                <w:tcPr>
                  <w:tcW w:w="435"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0.55</w:t>
                  </w:r>
                  <w:r>
                    <w:rPr>
                      <w:rFonts w:hint="default" w:ascii="Times New Roman" w:hAnsi="Times New Roman" w:eastAsia="宋体" w:cs="Times New Roman"/>
                      <w:color w:val="auto"/>
                      <w:kern w:val="2"/>
                      <w:sz w:val="21"/>
                      <w:szCs w:val="21"/>
                      <w:lang w:val="en-US" w:eastAsia="zh-CN" w:bidi="ar"/>
                    </w:rPr>
                    <w:t>t/a</w:t>
                  </w:r>
                </w:p>
              </w:tc>
              <w:tc>
                <w:tcPr>
                  <w:tcW w:w="304" w:type="pct"/>
                  <w:vMerge w:val="continue"/>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lang w:val="en-US" w:eastAsia="zh-CN" w:bidi="ar"/>
                    </w:rPr>
                  </w:pPr>
                </w:p>
              </w:tc>
              <w:tc>
                <w:tcPr>
                  <w:tcW w:w="670" w:type="pct"/>
                  <w:vMerge w:val="continue"/>
                  <w:tcBorders>
                    <w:bottom w:val="single" w:color="auto" w:sz="4" w:space="0"/>
                  </w:tcBorders>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eastAsia" w:ascii="Times New Roman" w:hAnsi="Times New Roman" w:eastAsia="宋体" w:cs="宋体"/>
                      <w:color w:val="auto"/>
                      <w:kern w:val="0"/>
                      <w:sz w:val="21"/>
                      <w:szCs w:val="21"/>
                      <w:lang w:val="en-US" w:eastAsia="zh-CN" w:bidi="ar"/>
                    </w:rPr>
                  </w:pPr>
                </w:p>
              </w:tc>
              <w:tc>
                <w:tcPr>
                  <w:tcW w:w="374" w:type="pct"/>
                  <w:vMerge w:val="continue"/>
                  <w:tcBorders>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p>
              </w:tc>
              <w:tc>
                <w:tcPr>
                  <w:tcW w:w="487"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8" w:type="pct"/>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0.55</w:t>
                  </w:r>
                  <w:r>
                    <w:rPr>
                      <w:rFonts w:hint="default" w:ascii="Times New Roman" w:hAnsi="Times New Roman" w:eastAsia="宋体" w:cs="Times New Roman"/>
                      <w:color w:val="auto"/>
                      <w:kern w:val="2"/>
                      <w:sz w:val="21"/>
                      <w:szCs w:val="21"/>
                      <w:lang w:val="en-US" w:eastAsia="zh-CN" w:bidi="ar"/>
                    </w:rPr>
                    <w:t>t/a</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7" w:type="dxa"/>
                  <w:bottom w:w="0" w:type="dxa"/>
                  <w:right w:w="17" w:type="dxa"/>
                </w:tblCellMar>
              </w:tblPrEx>
              <w:trPr>
                <w:trHeight w:val="397" w:hRule="atLeast"/>
                <w:jc w:val="center"/>
              </w:trPr>
              <w:tc>
                <w:tcPr>
                  <w:tcW w:w="210" w:type="pct"/>
                  <w:tcBorders>
                    <w:top w:val="single" w:color="auto" w:sz="4"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538" w:type="pct"/>
                  <w:tcBorders>
                    <w:top w:val="single" w:color="auto" w:sz="4" w:space="0"/>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废催化剂</w:t>
                  </w:r>
                </w:p>
              </w:tc>
              <w:tc>
                <w:tcPr>
                  <w:tcW w:w="438"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HW50</w:t>
                  </w:r>
                </w:p>
              </w:tc>
              <w:tc>
                <w:tcPr>
                  <w:tcW w:w="626"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772-007-50</w:t>
                  </w:r>
                </w:p>
              </w:tc>
              <w:tc>
                <w:tcPr>
                  <w:tcW w:w="435"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0.3t/3a</w:t>
                  </w:r>
                </w:p>
              </w:tc>
              <w:tc>
                <w:tcPr>
                  <w:tcW w:w="435"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0.3t/3a</w:t>
                  </w:r>
                </w:p>
              </w:tc>
              <w:tc>
                <w:tcPr>
                  <w:tcW w:w="304"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eastAsia" w:ascii="Times New Roman" w:hAnsi="Times New Roman" w:eastAsia="宋体" w:cs="宋体"/>
                      <w:color w:val="auto"/>
                      <w:kern w:val="2"/>
                      <w:sz w:val="21"/>
                      <w:szCs w:val="21"/>
                      <w:lang w:val="en-US" w:eastAsia="zh-CN" w:bidi="ar"/>
                    </w:rPr>
                  </w:pPr>
                  <w:r>
                    <w:rPr>
                      <w:rFonts w:hint="eastAsia" w:ascii="Times New Roman" w:hAnsi="Times New Roman" w:eastAsia="宋体" w:cs="宋体"/>
                      <w:color w:val="auto"/>
                      <w:kern w:val="2"/>
                      <w:sz w:val="21"/>
                      <w:szCs w:val="21"/>
                      <w:lang w:val="en-US" w:eastAsia="zh-CN" w:bidi="ar"/>
                    </w:rPr>
                    <w:t>固态</w:t>
                  </w:r>
                </w:p>
              </w:tc>
              <w:tc>
                <w:tcPr>
                  <w:tcW w:w="670" w:type="pct"/>
                  <w:tcBorders>
                    <w:top w:val="single" w:color="auto" w:sz="4" w:space="0"/>
                    <w:bottom w:val="single" w:color="auto" w:sz="8" w:space="0"/>
                  </w:tcBorders>
                  <w:noWrap w:val="0"/>
                  <w:vAlign w:val="center"/>
                </w:tcPr>
                <w:p>
                  <w:pPr>
                    <w:keepNext w:val="0"/>
                    <w:keepLines w:val="0"/>
                    <w:widowControl w:val="0"/>
                    <w:suppressLineNumbers w:val="0"/>
                    <w:topLinePunct/>
                    <w:adjustRightInd w:val="0"/>
                    <w:snapToGrid w:val="0"/>
                    <w:spacing w:before="0" w:beforeAutospacing="0" w:after="0" w:afterAutospacing="0"/>
                    <w:ind w:left="0" w:leftChars="0" w:right="0" w:rightChars="0"/>
                    <w:jc w:val="center"/>
                    <w:rPr>
                      <w:rFonts w:hint="default" w:ascii="Times New Roman" w:hAnsi="Times New Roman" w:eastAsia="宋体" w:cs="宋体"/>
                      <w:color w:val="auto"/>
                      <w:kern w:val="0"/>
                      <w:sz w:val="21"/>
                      <w:szCs w:val="21"/>
                      <w:lang w:val="en-US" w:eastAsia="zh-CN" w:bidi="ar"/>
                    </w:rPr>
                  </w:pPr>
                  <w:r>
                    <w:rPr>
                      <w:rFonts w:hint="eastAsia" w:cs="宋体"/>
                      <w:color w:val="auto"/>
                      <w:kern w:val="0"/>
                      <w:sz w:val="21"/>
                      <w:szCs w:val="21"/>
                      <w:lang w:val="en-US" w:eastAsia="zh-CN" w:bidi="ar"/>
                    </w:rPr>
                    <w:t>重金属</w:t>
                  </w:r>
                </w:p>
              </w:tc>
              <w:tc>
                <w:tcPr>
                  <w:tcW w:w="374" w:type="pct"/>
                  <w:tcBorders>
                    <w:top w:val="single" w:color="auto" w:sz="4" w:space="0"/>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T</w:t>
                  </w:r>
                </w:p>
              </w:tc>
              <w:tc>
                <w:tcPr>
                  <w:tcW w:w="487" w:type="pct"/>
                  <w:vMerge w:val="continue"/>
                  <w:tcBorders>
                    <w:bottom w:val="single" w:color="auto" w:sz="8"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78" w:type="pct"/>
                  <w:tcBorders>
                    <w:bottom w:val="single" w:color="auto" w:sz="8"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0.3t/3a</w:t>
                  </w:r>
                </w:p>
              </w:tc>
            </w:tr>
          </w:tbl>
          <w:p>
            <w:pPr>
              <w:keepNext w:val="0"/>
              <w:keepLines w:val="0"/>
              <w:suppressLineNumbers w:val="0"/>
              <w:adjustRightInd w:val="0"/>
              <w:snapToGrid w:val="0"/>
              <w:spacing w:before="0" w:beforeAutospacing="0" w:after="0" w:afterAutospacing="0" w:line="440" w:lineRule="exact"/>
              <w:ind w:left="0" w:right="0"/>
              <w:jc w:val="center"/>
              <w:textAlignment w:val="baseline"/>
              <w:rPr>
                <w:rFonts w:hint="eastAsia" w:ascii="宋体" w:hAnsi="宋体" w:eastAsia="宋体" w:cs="宋体"/>
                <w:b w:val="0"/>
                <w:bCs w:val="0"/>
                <w:color w:val="auto"/>
                <w:sz w:val="24"/>
                <w:szCs w:val="24"/>
                <w:lang w:val="en-US" w:eastAsia="zh-CN"/>
              </w:rPr>
            </w:pPr>
            <w:r>
              <w:rPr>
                <w:rFonts w:hint="default" w:ascii="Times New Roman" w:hAnsi="Times New Roman" w:eastAsia="宋体" w:cs="Times New Roman"/>
                <w:b/>
                <w:bCs/>
                <w:color w:val="auto"/>
                <w:sz w:val="24"/>
              </w:rPr>
              <w:t>表</w:t>
            </w:r>
            <w:r>
              <w:rPr>
                <w:rFonts w:hint="eastAsia" w:cs="Times New Roman"/>
                <w:b/>
                <w:bCs/>
                <w:color w:val="auto"/>
                <w:sz w:val="24"/>
                <w:lang w:val="en-US" w:eastAsia="zh-CN"/>
              </w:rPr>
              <w:t xml:space="preserve">40  </w:t>
            </w:r>
            <w:r>
              <w:rPr>
                <w:rFonts w:hint="default" w:ascii="Times New Roman" w:hAnsi="Times New Roman" w:eastAsia="宋体" w:cs="Times New Roman"/>
                <w:b/>
                <w:bCs/>
                <w:color w:val="auto"/>
                <w:sz w:val="24"/>
              </w:rPr>
              <w:t>建设项目危险废物贮存场所（设施）基本情况表</w:t>
            </w:r>
          </w:p>
          <w:tbl>
            <w:tblPr>
              <w:tblStyle w:val="22"/>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1266"/>
              <w:gridCol w:w="1176"/>
              <w:gridCol w:w="971"/>
              <w:gridCol w:w="1267"/>
              <w:gridCol w:w="795"/>
              <w:gridCol w:w="1000"/>
              <w:gridCol w:w="783"/>
              <w:gridCol w:w="935"/>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35"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贮存场所（设施）名称</w:t>
                  </w:r>
                </w:p>
              </w:tc>
              <w:tc>
                <w:tcPr>
                  <w:tcW w:w="682"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563"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危险废物类别</w:t>
                  </w:r>
                </w:p>
              </w:tc>
              <w:tc>
                <w:tcPr>
                  <w:tcW w:w="735"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危险废物代码</w:t>
                  </w:r>
                </w:p>
              </w:tc>
              <w:tc>
                <w:tcPr>
                  <w:tcW w:w="461"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w:t>
                  </w:r>
                </w:p>
              </w:tc>
              <w:tc>
                <w:tcPr>
                  <w:tcW w:w="580"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454" w:type="pct"/>
                  <w:tcBorders>
                    <w:left w:val="single" w:color="auto" w:sz="8" w:space="0"/>
                    <w:bottom w:val="single" w:color="auto" w:sz="8" w:space="0"/>
                    <w:right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能力</w:t>
                  </w:r>
                </w:p>
              </w:tc>
              <w:tc>
                <w:tcPr>
                  <w:tcW w:w="542" w:type="pct"/>
                  <w:tcBorders>
                    <w:left w:val="single" w:color="auto" w:sz="8" w:space="0"/>
                    <w:bottom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w:t>
                  </w:r>
                </w:p>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周期</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p>
              </w:tc>
              <w:tc>
                <w:tcPr>
                  <w:tcW w:w="735" w:type="pct"/>
                  <w:vMerge w:val="restart"/>
                  <w:tcBorders>
                    <w:top w:val="single" w:color="auto" w:sz="8" w:space="0"/>
                  </w:tcBorders>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危废暂存间</w:t>
                  </w:r>
                </w:p>
              </w:tc>
              <w:tc>
                <w:tcPr>
                  <w:tcW w:w="682"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w:t>
                  </w:r>
                  <w:r>
                    <w:rPr>
                      <w:rFonts w:hint="eastAsia" w:cs="Times New Roman"/>
                      <w:color w:val="auto"/>
                      <w:sz w:val="21"/>
                      <w:szCs w:val="21"/>
                      <w:lang w:val="en-US" w:eastAsia="zh-CN"/>
                    </w:rPr>
                    <w:t>导热油</w:t>
                  </w:r>
                </w:p>
              </w:tc>
              <w:tc>
                <w:tcPr>
                  <w:tcW w:w="563"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HW08</w:t>
                  </w:r>
                </w:p>
              </w:tc>
              <w:tc>
                <w:tcPr>
                  <w:tcW w:w="735" w:type="pct"/>
                  <w:tcBorders>
                    <w:top w:val="single" w:color="auto" w:sz="8"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461" w:type="pct"/>
                  <w:vMerge w:val="restart"/>
                  <w:tcBorders>
                    <w:top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10m</w:t>
                  </w:r>
                  <w:r>
                    <w:rPr>
                      <w:rFonts w:hint="eastAsia" w:cs="Times New Roman"/>
                      <w:color w:val="auto"/>
                      <w:sz w:val="21"/>
                      <w:szCs w:val="21"/>
                      <w:vertAlign w:val="superscript"/>
                      <w:lang w:val="en-US" w:eastAsia="zh-CN"/>
                    </w:rPr>
                    <w:t>2</w:t>
                  </w:r>
                </w:p>
              </w:tc>
              <w:tc>
                <w:tcPr>
                  <w:tcW w:w="580" w:type="pct"/>
                  <w:vMerge w:val="restart"/>
                  <w:tcBorders>
                    <w:top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54" w:type="pct"/>
                  <w:vMerge w:val="restart"/>
                  <w:tcBorders>
                    <w:top w:val="single" w:color="auto" w:sz="8"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10t</w:t>
                  </w:r>
                </w:p>
              </w:tc>
              <w:tc>
                <w:tcPr>
                  <w:tcW w:w="542" w:type="pct"/>
                  <w:tcBorders>
                    <w:top w:val="single" w:color="auto" w:sz="8" w:space="0"/>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735"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2"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废活性炭</w:t>
                  </w:r>
                </w:p>
              </w:tc>
              <w:tc>
                <w:tcPr>
                  <w:tcW w:w="563"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HW49</w:t>
                  </w:r>
                </w:p>
              </w:tc>
              <w:tc>
                <w:tcPr>
                  <w:tcW w:w="735" w:type="pct"/>
                  <w:tcBorders>
                    <w:top w:val="single" w:color="auto" w:sz="4" w:space="0"/>
                    <w:bottom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900-039-49</w:t>
                  </w:r>
                </w:p>
              </w:tc>
              <w:tc>
                <w:tcPr>
                  <w:tcW w:w="461"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58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454" w:type="pct"/>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2" w:type="pct"/>
                  <w:tcBorders>
                    <w:top w:val="single" w:color="auto" w:sz="4" w:space="0"/>
                    <w:bottom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735" w:type="pct"/>
                  <w:vMerge w:val="continue"/>
                  <w:noWrap w:val="0"/>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682" w:type="pct"/>
                  <w:tcBorders>
                    <w:top w:val="single" w:color="auto" w:sz="4"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废催化剂</w:t>
                  </w:r>
                </w:p>
              </w:tc>
              <w:tc>
                <w:tcPr>
                  <w:tcW w:w="563" w:type="pc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HW50</w:t>
                  </w:r>
                </w:p>
              </w:tc>
              <w:tc>
                <w:tcPr>
                  <w:tcW w:w="735" w:type="pct"/>
                  <w:tcBorders>
                    <w:top w:val="single" w:color="auto" w:sz="4" w:space="0"/>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
                    </w:rPr>
                  </w:pPr>
                  <w:r>
                    <w:rPr>
                      <w:rFonts w:hint="eastAsia" w:cs="Times New Roman"/>
                      <w:color w:val="auto"/>
                      <w:kern w:val="2"/>
                      <w:sz w:val="21"/>
                      <w:szCs w:val="21"/>
                      <w:lang w:val="en-US" w:eastAsia="zh-CN" w:bidi="ar"/>
                    </w:rPr>
                    <w:t>772-007-50</w:t>
                  </w:r>
                </w:p>
              </w:tc>
              <w:tc>
                <w:tcPr>
                  <w:tcW w:w="461"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p>
              </w:tc>
              <w:tc>
                <w:tcPr>
                  <w:tcW w:w="580" w:type="pct"/>
                  <w:vMerge w:val="continue"/>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454" w:type="pct"/>
                  <w:vMerge w:val="continue"/>
                  <w:noWrap w:val="0"/>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p>
              </w:tc>
              <w:tc>
                <w:tcPr>
                  <w:tcW w:w="542" w:type="pct"/>
                  <w:tcBorders>
                    <w:top w:val="single" w:color="auto" w:sz="4" w:space="0"/>
                  </w:tcBorders>
                  <w:noWrap w:val="0"/>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≤1年</w:t>
                  </w:r>
                </w:p>
              </w:tc>
            </w:tr>
          </w:tbl>
          <w:p>
            <w:pPr>
              <w:pStyle w:val="5"/>
              <w:keepNext w:val="0"/>
              <w:keepLines w:val="0"/>
              <w:suppressLineNumbers w:val="0"/>
              <w:adjustRightInd w:val="0"/>
              <w:spacing w:before="0" w:beforeAutospacing="0" w:after="0" w:afterAutospacing="0" w:line="440" w:lineRule="exact"/>
              <w:ind w:left="0" w:right="0" w:firstLine="480" w:firstLineChars="200"/>
              <w:textAlignment w:val="baseline"/>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危险废物</w:t>
            </w:r>
            <w:r>
              <w:rPr>
                <w:rFonts w:hint="default" w:ascii="Times New Roman" w:hAnsi="Times New Roman" w:eastAsia="宋体" w:cs="Times New Roman"/>
                <w:color w:val="auto"/>
                <w:sz w:val="24"/>
                <w:szCs w:val="24"/>
              </w:rPr>
              <w:t>暂存间（建筑面积</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），按照《危险废物贮存污染控制标准》（GB18597-2001）</w:t>
            </w:r>
            <w:r>
              <w:rPr>
                <w:rFonts w:hint="default" w:ascii="Times New Roman" w:hAnsi="Times New Roman" w:eastAsia="宋体" w:cs="Times New Roman"/>
                <w:color w:val="auto"/>
                <w:sz w:val="24"/>
              </w:rPr>
              <w:t>及其2013年修改单</w:t>
            </w:r>
            <w:r>
              <w:rPr>
                <w:rFonts w:hint="default" w:ascii="Times New Roman" w:hAnsi="Times New Roman" w:eastAsia="宋体" w:cs="Times New Roman"/>
                <w:color w:val="auto"/>
                <w:sz w:val="24"/>
                <w:szCs w:val="24"/>
              </w:rPr>
              <w:t>规定进行建设：</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A、危废暂存间按《环境保护图形标志》(GB15562－1995)的规定设置警示标志；</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B、危废暂存间配备通讯设备、照明设施、安全防护服装及工具，并设有应急防护设施；</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C、危险废物收集后设置分装于专门的容器内，危废贮存设施内清理出来的泄漏物，一律按危险废物处理；</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D、危险废物暂存场地应“四防”（防风、防雨、防晒、防渗漏）；</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E、针对不同种类的危险废物应选择适用的贮存容器分类、分区存放；</w:t>
            </w:r>
          </w:p>
          <w:p>
            <w:pPr>
              <w:pStyle w:val="13"/>
              <w:keepNext w:val="0"/>
              <w:keepLines w:val="0"/>
              <w:pageBreakBefore w:val="0"/>
              <w:widowControl w:val="0"/>
              <w:suppressLineNumbers w:val="0"/>
              <w:kinsoku/>
              <w:wordWrap/>
              <w:overflowPunct/>
              <w:topLinePunct w:val="0"/>
              <w:autoSpaceDE/>
              <w:autoSpaceDN/>
              <w:bidi w:val="0"/>
              <w:snapToGrid/>
              <w:spacing w:before="0" w:beforeAutospacing="0" w:after="0" w:afterLines="0" w:afterAutospacing="0" w:line="440" w:lineRule="exact"/>
              <w:ind w:left="0" w:leftChars="0" w:right="0" w:firstLine="480" w:firstLineChars="200"/>
              <w:jc w:val="both"/>
              <w:rPr>
                <w:rFonts w:hint="default" w:ascii="Times New Roman" w:hAnsi="Times New Roman" w:eastAsia="宋体" w:cs="Times New Roman"/>
                <w:b w:val="0"/>
                <w:bCs/>
                <w:sz w:val="24"/>
                <w:lang w:val="en-US" w:eastAsia="zh-CN"/>
              </w:rPr>
            </w:pPr>
            <w:r>
              <w:rPr>
                <w:rFonts w:hint="default" w:ascii="Times New Roman" w:hAnsi="Times New Roman" w:eastAsia="宋体" w:cs="Times New Roman"/>
                <w:b w:val="0"/>
                <w:bCs/>
                <w:sz w:val="24"/>
                <w:lang w:val="en-US" w:eastAsia="zh-CN"/>
              </w:rPr>
              <w:t>F、基础必须防渗，防渗层为至少1m厚粘土层（渗透系数≤10</w:t>
            </w:r>
            <w:r>
              <w:rPr>
                <w:rFonts w:hint="default" w:ascii="Times New Roman" w:hAnsi="Times New Roman" w:eastAsia="宋体" w:cs="Times New Roman"/>
                <w:b w:val="0"/>
                <w:bCs/>
                <w:sz w:val="24"/>
                <w:vertAlign w:val="superscript"/>
                <w:lang w:val="en-US" w:eastAsia="zh-CN"/>
              </w:rPr>
              <w:t>-7</w:t>
            </w:r>
            <w:r>
              <w:rPr>
                <w:rFonts w:hint="default" w:ascii="Times New Roman" w:hAnsi="Times New Roman" w:eastAsia="宋体" w:cs="Times New Roman"/>
                <w:b w:val="0"/>
                <w:bCs/>
                <w:sz w:val="24"/>
                <w:lang w:val="en-US" w:eastAsia="zh-CN"/>
              </w:rPr>
              <w:t>cm/s），或2mm厚高密度聚乙烯，或至少2mm厚的其它人工材料，渗透系数≤10</w:t>
            </w:r>
            <w:r>
              <w:rPr>
                <w:rFonts w:hint="default" w:ascii="Times New Roman" w:hAnsi="Times New Roman" w:eastAsia="宋体" w:cs="Times New Roman"/>
                <w:b w:val="0"/>
                <w:bCs/>
                <w:sz w:val="24"/>
                <w:vertAlign w:val="superscript"/>
                <w:lang w:val="en-US" w:eastAsia="zh-CN"/>
              </w:rPr>
              <w:t>-10</w:t>
            </w:r>
            <w:r>
              <w:rPr>
                <w:rFonts w:hint="default" w:ascii="Times New Roman" w:hAnsi="Times New Roman" w:eastAsia="宋体" w:cs="Times New Roman"/>
                <w:b w:val="0"/>
                <w:bCs/>
                <w:sz w:val="24"/>
                <w:lang w:val="en-US" w:eastAsia="zh-CN"/>
              </w:rPr>
              <w:t>cm/s）；</w:t>
            </w:r>
          </w:p>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G、危险废物的日常管理要求按照《危险废物收集 贮存 运输技术规范》（HJ2025-2012）的有关规定执行，定期外运至有资质单位安全处置；</w:t>
            </w:r>
          </w:p>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H、制定危废管理制度、应急预案、培训计划、年度管理计划，定期进行应急演练、培训，并及时送环保局备案；</w:t>
            </w:r>
          </w:p>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40" w:lineRule="exact"/>
              <w:ind w:left="0" w:right="0"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I、做好危险废物情况的记录，记录上须注明危险废物的名称、来源、数量、特性、入库日期、废物出库日期及接收单位名称。危险废物的记录和货单在危险废物回取后应继续保留三年。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J、危险废物暂存仓库地面、裙脚要用坚固、防渗的材料建造，建筑材料必须与危险废物相容，衬里能够覆盖危险废物可能涉及到的范围，衬里材料与堆放危险废物相容。</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K、定期对所贮存的危险废物贮存设施进行检查，发现破损，应及时采取措施淸理更换危险废物贮存容器。</w:t>
            </w:r>
          </w:p>
          <w:p>
            <w:pPr>
              <w:keepNext w:val="0"/>
              <w:keepLines w:val="0"/>
              <w:widowControl/>
              <w:suppressLineNumbers w:val="0"/>
              <w:spacing w:before="0" w:beforeAutospacing="0" w:after="0" w:afterAutospacing="0" w:line="440" w:lineRule="exact"/>
              <w:ind w:left="0" w:right="0" w:firstLine="480" w:firstLineChars="200"/>
              <w:rPr>
                <w:rFonts w:hint="eastAsia" w:ascii="宋体" w:hAnsi="宋体" w:eastAsia="宋体" w:cs="宋体"/>
                <w:b w:val="0"/>
                <w:bCs w:val="0"/>
                <w:sz w:val="24"/>
                <w:szCs w:val="24"/>
                <w:lang w:val="en-US" w:eastAsia="zh-CN"/>
              </w:rPr>
            </w:pPr>
            <w:r>
              <w:rPr>
                <w:rFonts w:hint="default" w:ascii="Times New Roman" w:hAnsi="Times New Roman" w:eastAsia="宋体" w:cs="Times New Roman"/>
                <w:sz w:val="24"/>
                <w:lang w:val="zh-CN"/>
              </w:rPr>
              <w:t>综上所述，项目产生的固体废物均能得到妥善的处理和处置，不会对周围环境造成二次污染。</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82" w:firstLineChars="20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五、</w:t>
            </w:r>
            <w:r>
              <w:rPr>
                <w:rFonts w:hint="eastAsia" w:ascii="宋体" w:hAnsi="宋体" w:cs="宋体"/>
                <w:b/>
                <w:bCs/>
                <w:sz w:val="24"/>
                <w:szCs w:val="24"/>
                <w:lang w:val="en-US" w:eastAsia="zh-CN"/>
              </w:rPr>
              <w:t>地下水、土壤</w:t>
            </w: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eastAsia="宋体"/>
                <w:b/>
                <w:bCs/>
                <w:sz w:val="24"/>
                <w:highlight w:val="none"/>
                <w:lang w:val="en-US" w:eastAsia="zh-CN"/>
              </w:rPr>
            </w:pPr>
            <w:r>
              <w:rPr>
                <w:rFonts w:hint="eastAsia"/>
                <w:b/>
                <w:bCs/>
                <w:sz w:val="24"/>
                <w:highlight w:val="none"/>
                <w:lang w:val="en-US" w:eastAsia="zh-CN"/>
              </w:rPr>
              <w:t>1、地下水</w:t>
            </w:r>
          </w:p>
          <w:p>
            <w:pPr>
              <w:keepNext w:val="0"/>
              <w:keepLines w:val="0"/>
              <w:suppressLineNumbers w:val="0"/>
              <w:adjustRightInd w:val="0"/>
              <w:snapToGrid w:val="0"/>
              <w:spacing w:before="0" w:beforeAutospacing="0" w:after="0" w:afterAutospacing="0" w:line="440" w:lineRule="exact"/>
              <w:ind w:left="0" w:right="0" w:firstLine="480" w:firstLineChars="200"/>
              <w:rPr>
                <w:rFonts w:hint="default" w:eastAsia="宋体"/>
                <w:sz w:val="24"/>
                <w:highlight w:val="none"/>
                <w:lang w:val="en-US" w:eastAsia="zh-CN"/>
              </w:rPr>
            </w:pPr>
            <w:r>
              <w:rPr>
                <w:rFonts w:hint="eastAsia"/>
                <w:sz w:val="24"/>
                <w:highlight w:val="none"/>
                <w:lang w:eastAsia="zh-CN"/>
              </w:rPr>
              <w:t>（</w:t>
            </w:r>
            <w:r>
              <w:rPr>
                <w:rFonts w:hint="eastAsia"/>
                <w:sz w:val="24"/>
                <w:highlight w:val="none"/>
                <w:lang w:val="en-US" w:eastAsia="zh-CN"/>
              </w:rPr>
              <w:t>1</w:t>
            </w:r>
            <w:r>
              <w:rPr>
                <w:rFonts w:hint="eastAsia"/>
                <w:sz w:val="24"/>
                <w:highlight w:val="none"/>
                <w:lang w:eastAsia="zh-CN"/>
              </w:rPr>
              <w:t>）</w:t>
            </w:r>
            <w:r>
              <w:rPr>
                <w:rFonts w:hint="eastAsia"/>
                <w:sz w:val="24"/>
                <w:highlight w:val="none"/>
                <w:lang w:val="en-US" w:eastAsia="zh-CN"/>
              </w:rPr>
              <w:t>污染途径</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rPr>
            </w:pPr>
            <w:r>
              <w:rPr>
                <w:rFonts w:hint="eastAsia"/>
                <w:sz w:val="24"/>
              </w:rPr>
              <w:t>本项目运营期对地下水的主要影响途径为渗透污染。渗透污染是导致地下水污染的普遍和主要方式，主要产生可能性来</w:t>
            </w:r>
            <w:r>
              <w:rPr>
                <w:rFonts w:hint="eastAsia"/>
                <w:sz w:val="24"/>
                <w:lang w:val="en-US" w:eastAsia="zh-CN"/>
              </w:rPr>
              <w:t>一般固废间、</w:t>
            </w:r>
            <w:r>
              <w:rPr>
                <w:rFonts w:hint="eastAsia"/>
                <w:sz w:val="24"/>
              </w:rPr>
              <w:t>危废暂存间</w:t>
            </w:r>
            <w:r>
              <w:rPr>
                <w:rFonts w:hint="eastAsia"/>
                <w:sz w:val="24"/>
                <w:lang w:val="en-US" w:eastAsia="zh-CN"/>
              </w:rPr>
              <w:t>以及化粪池的</w:t>
            </w:r>
            <w:r>
              <w:rPr>
                <w:rFonts w:hint="eastAsia"/>
                <w:sz w:val="24"/>
              </w:rPr>
              <w:t>防渗措施不到位、管理不到位。</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（2）防控措施</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为减轻或避免对地下水造成不利影响，评价根据地下水导则评价对项目建设提出相应的控制措施，企业需严格</w:t>
            </w:r>
            <w:r>
              <w:rPr>
                <w:rFonts w:hint="eastAsia"/>
                <w:sz w:val="24"/>
                <w:highlight w:val="none"/>
                <w:lang w:val="en-US" w:eastAsia="zh-CN"/>
              </w:rPr>
              <w:t>做好</w:t>
            </w:r>
            <w:r>
              <w:rPr>
                <w:rFonts w:hint="eastAsia"/>
                <w:sz w:val="24"/>
                <w:lang w:val="en-US" w:eastAsia="zh-CN"/>
              </w:rPr>
              <w:t>一般固废间、</w:t>
            </w:r>
            <w:r>
              <w:rPr>
                <w:rFonts w:hint="eastAsia"/>
                <w:sz w:val="24"/>
              </w:rPr>
              <w:t>危废暂存间</w:t>
            </w:r>
            <w:r>
              <w:rPr>
                <w:rFonts w:hint="eastAsia"/>
                <w:sz w:val="24"/>
                <w:lang w:val="en-US" w:eastAsia="zh-CN"/>
              </w:rPr>
              <w:t>以及化粪池</w:t>
            </w:r>
            <w:r>
              <w:rPr>
                <w:rFonts w:hint="eastAsia"/>
                <w:sz w:val="24"/>
                <w:highlight w:val="none"/>
              </w:rPr>
              <w:t>防渗措施，若发现污染物泄露应采取应急响应，终止污染物泄露，并对地下水水质监测，同时对地下水进行修复，采取上述措施后非正常工况下的污染物泄露对地下水环境的污染可控。</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综上所述，项目运营期在落实厂区防渗条件下，项目建设对地下水环境的影响可降至最低，不改变区域地下水环境质量现状。从地下水环境影响的角度，项目建设可行。</w:t>
            </w:r>
          </w:p>
          <w:p>
            <w:pPr>
              <w:keepNext w:val="0"/>
              <w:keepLines w:val="0"/>
              <w:suppressLineNumbers w:val="0"/>
              <w:adjustRightInd w:val="0"/>
              <w:snapToGrid w:val="0"/>
              <w:spacing w:before="0" w:beforeAutospacing="0" w:after="0" w:afterAutospacing="0" w:line="440" w:lineRule="exact"/>
              <w:ind w:left="0" w:right="0" w:firstLine="482" w:firstLineChars="200"/>
              <w:rPr>
                <w:rFonts w:hint="default" w:eastAsia="宋体"/>
                <w:b/>
                <w:bCs/>
                <w:sz w:val="24"/>
                <w:highlight w:val="none"/>
                <w:lang w:val="en-US" w:eastAsia="zh-CN"/>
              </w:rPr>
            </w:pPr>
            <w:r>
              <w:rPr>
                <w:rFonts w:hint="eastAsia"/>
                <w:b/>
                <w:bCs/>
                <w:sz w:val="24"/>
                <w:highlight w:val="none"/>
                <w:lang w:val="en-US" w:eastAsia="zh-CN"/>
              </w:rPr>
              <w:t>2、土壤</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lang w:val="en-US" w:eastAsia="zh-CN"/>
              </w:rPr>
              <w:t>根据</w:t>
            </w:r>
            <w:r>
              <w:rPr>
                <w:rFonts w:hint="eastAsia"/>
                <w:sz w:val="24"/>
                <w:highlight w:val="none"/>
              </w:rPr>
              <w:t>本项目污染物排放特点，项目运营期对土壤的主要影响途径为垂直入渗。</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（2）防控措施</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为减轻或避免对土壤造成不利影响，评价根据土壤导则评价对项目建设提出相应的控制措施，主要从源头控制、过程控制以及跟踪监测三方面来说，具体如下：</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①源头控制</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本项目污染源主要为生活污水、固体废物，企业应加强管理，做好节能减排和清洁生产工作，一方面减少污染物产生量，另一方面降低污染物排放浓度和排放量。源强的降低可以减轻对土壤的影响。</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②过程防控措施</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本项目运营期产生的生活污水经化粪池处理后经管网排入</w:t>
            </w:r>
            <w:r>
              <w:rPr>
                <w:rFonts w:hint="eastAsia" w:cs="Times New Roman"/>
                <w:color w:val="auto"/>
                <w:sz w:val="24"/>
                <w:lang w:val="en-US" w:eastAsia="zh-CN"/>
              </w:rPr>
              <w:t>新乡县综合</w:t>
            </w:r>
            <w:r>
              <w:rPr>
                <w:rFonts w:hint="eastAsia" w:ascii="Times New Roman" w:hAnsi="Times New Roman" w:eastAsia="宋体" w:cs="Times New Roman"/>
                <w:color w:val="auto"/>
                <w:sz w:val="24"/>
                <w:lang w:val="en-US" w:eastAsia="zh-CN"/>
              </w:rPr>
              <w:t>污水处理厂</w:t>
            </w:r>
            <w:r>
              <w:rPr>
                <w:rFonts w:hint="eastAsia"/>
                <w:sz w:val="24"/>
                <w:highlight w:val="none"/>
              </w:rPr>
              <w:t>。</w:t>
            </w:r>
            <w:r>
              <w:rPr>
                <w:rFonts w:hint="eastAsia"/>
                <w:sz w:val="24"/>
                <w:lang w:val="en-US" w:eastAsia="zh-CN"/>
              </w:rPr>
              <w:t>一般固废间、</w:t>
            </w:r>
            <w:r>
              <w:rPr>
                <w:rFonts w:hint="eastAsia"/>
                <w:sz w:val="24"/>
              </w:rPr>
              <w:t>危废暂存间</w:t>
            </w:r>
            <w:r>
              <w:rPr>
                <w:rFonts w:hint="eastAsia"/>
                <w:sz w:val="24"/>
                <w:lang w:val="en-US" w:eastAsia="zh-CN"/>
              </w:rPr>
              <w:t>以及化粪池</w:t>
            </w:r>
            <w:r>
              <w:rPr>
                <w:rFonts w:hint="eastAsia"/>
                <w:sz w:val="24"/>
                <w:highlight w:val="none"/>
              </w:rPr>
              <w:t>按照相关要求做好防渗措施，正常情况下，不会发生泄露入渗污染土壤的现象。为减轻或避免对土壤造成不利影响，厂区内采取绿化措施，对污染物进行有效吸附。按照环评要求切实落实各种污染控制措施，建成后期及运营对区域土壤环境影响较小。</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③跟踪监测</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评价建议企业在必要时进行土壤跟踪监测。</w:t>
            </w:r>
          </w:p>
          <w:p>
            <w:pPr>
              <w:keepNext w:val="0"/>
              <w:keepLines w:val="0"/>
              <w:suppressLineNumbers w:val="0"/>
              <w:adjustRightInd w:val="0"/>
              <w:snapToGrid w:val="0"/>
              <w:spacing w:before="0" w:beforeAutospacing="0" w:after="0" w:afterAutospacing="0" w:line="440" w:lineRule="exact"/>
              <w:ind w:left="0" w:right="0" w:firstLine="480" w:firstLineChars="200"/>
              <w:rPr>
                <w:rFonts w:hint="eastAsia"/>
                <w:sz w:val="24"/>
                <w:highlight w:val="none"/>
              </w:rPr>
            </w:pPr>
            <w:r>
              <w:rPr>
                <w:rFonts w:hint="eastAsia"/>
                <w:sz w:val="24"/>
                <w:highlight w:val="none"/>
              </w:rPr>
              <w:t>综上所述，项目运营期在落实厂区绿化条件下，对污染物进行吸附后，项目建设对土壤环境的影响可降至最低，不改变区域土壤环境质量现状。从土壤环境影响的角度，项目建设可行。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eastAsia"/>
                <w:b/>
                <w:bCs/>
                <w:lang w:val="en-US" w:eastAsia="zh-CN"/>
              </w:rPr>
            </w:pPr>
            <w:r>
              <w:rPr>
                <w:rFonts w:hint="eastAsia"/>
                <w:b/>
                <w:bCs/>
                <w:lang w:val="en-US" w:eastAsia="zh-CN"/>
              </w:rPr>
              <w:t>六、生态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textAlignment w:val="auto"/>
              <w:rPr>
                <w:rFonts w:hint="eastAsia"/>
              </w:rPr>
            </w:pPr>
            <w:r>
              <w:rPr>
                <w:rFonts w:hint="default"/>
              </w:rPr>
              <w:t>本项目位于河南省新乡市</w:t>
            </w:r>
            <w:r>
              <w:rPr>
                <w:rFonts w:hint="eastAsia"/>
              </w:rPr>
              <w:t>新乡县</w:t>
            </w:r>
            <w:r>
              <w:rPr>
                <w:rFonts w:hint="eastAsia" w:ascii="宋体" w:hAnsi="宋体" w:cs="宋体"/>
                <w:sz w:val="24"/>
                <w:szCs w:val="24"/>
                <w:lang w:val="en-US" w:eastAsia="zh-CN"/>
              </w:rPr>
              <w:t>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default"/>
              </w:rPr>
              <w:t>，项目周围主要为工厂</w:t>
            </w:r>
            <w:r>
              <w:rPr>
                <w:rFonts w:hint="eastAsia"/>
              </w:rPr>
              <w:t>，</w:t>
            </w:r>
            <w:r>
              <w:rPr>
                <w:rFonts w:hint="default"/>
              </w:rPr>
              <w:t>项目周围500m范围内无重点保护的野生动植物、风景名胜区、自然保护区及文化遗产等特殊保护目标</w:t>
            </w:r>
            <w:r>
              <w:rPr>
                <w:rFonts w:hint="eastAsia"/>
                <w:lang w:eastAsia="zh-CN"/>
              </w:rPr>
              <w:t>，</w:t>
            </w:r>
            <w:r>
              <w:rPr>
                <w:rFonts w:hint="eastAsia"/>
              </w:rPr>
              <w:t>因此不再对生态进行分析。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left="0" w:right="0" w:firstLine="482" w:firstLineChars="200"/>
              <w:textAlignment w:val="auto"/>
              <w:rPr>
                <w:rFonts w:hint="default" w:eastAsia="宋体"/>
                <w:lang w:val="en-US" w:eastAsia="zh-CN"/>
              </w:rPr>
            </w:pPr>
            <w:r>
              <w:rPr>
                <w:rFonts w:hint="eastAsia"/>
                <w:b/>
                <w:bCs/>
                <w:lang w:val="en-US" w:eastAsia="zh-CN"/>
              </w:rPr>
              <w:t>七、电磁辐射</w:t>
            </w:r>
          </w:p>
          <w:p>
            <w:pPr>
              <w:pStyle w:val="10"/>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440" w:lineRule="exact"/>
              <w:ind w:left="0" w:right="0" w:rightChars="0"/>
              <w:textAlignment w:val="auto"/>
              <w:rPr>
                <w:rFonts w:hint="default" w:ascii="Times New Roman" w:hAnsi="Times New Roman" w:eastAsia="宋体" w:cs="Times New Roman"/>
                <w:b w:val="0"/>
                <w:bCs/>
                <w:color w:val="000000"/>
                <w:sz w:val="24"/>
                <w:highlight w:val="none"/>
                <w:lang w:val="en-US" w:eastAsia="zh-CN"/>
              </w:rPr>
            </w:pPr>
            <w:r>
              <w:rPr>
                <w:rFonts w:hint="default" w:ascii="Times New Roman" w:hAnsi="Times New Roman" w:eastAsia="宋体" w:cs="Times New Roman"/>
                <w:b w:val="0"/>
                <w:bCs/>
                <w:color w:val="000000"/>
                <w:sz w:val="24"/>
                <w:highlight w:val="none"/>
                <w:lang w:val="en-US" w:eastAsia="zh-CN"/>
              </w:rPr>
              <w:t>本项目不涉及辐射源，故不对电磁辐射做评价分析。</w:t>
            </w:r>
          </w:p>
          <w:p>
            <w:pPr>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sz w:val="24"/>
                <w:highlight w:val="none"/>
                <w:lang w:val="en-US" w:eastAsia="zh-CN"/>
              </w:rPr>
            </w:pPr>
          </w:p>
          <w:p>
            <w:pPr>
              <w:keepNext w:val="0"/>
              <w:keepLines w:val="0"/>
              <w:suppressLineNumbers w:val="0"/>
              <w:adjustRightInd w:val="0"/>
              <w:snapToGrid w:val="0"/>
              <w:spacing w:before="0" w:beforeAutospacing="0" w:after="0" w:afterAutospacing="0" w:line="440" w:lineRule="exact"/>
              <w:ind w:left="0" w:right="0"/>
              <w:rPr>
                <w:rFonts w:hint="default"/>
                <w:sz w:val="24"/>
              </w:rPr>
            </w:pPr>
          </w:p>
        </w:tc>
      </w:tr>
    </w:tbl>
    <w:p>
      <w:pPr>
        <w:adjustRightInd w:val="0"/>
        <w:snapToGrid w:val="0"/>
        <w:spacing w:line="360" w:lineRule="auto"/>
        <w:rPr>
          <w:rFonts w:hint="eastAsia" w:ascii="宋体" w:cs="宋体"/>
          <w:b/>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jc w:val="center"/>
        <w:outlineLvl w:val="0"/>
        <w:rPr>
          <w:rFonts w:hint="eastAsia" w:ascii="黑体" w:hAnsi="黑体" w:eastAsia="黑体" w:cs="黑体"/>
          <w:b w:val="0"/>
          <w:bCs w:val="0"/>
          <w:snapToGrid w:val="0"/>
          <w:sz w:val="30"/>
          <w:szCs w:val="30"/>
        </w:rPr>
      </w:pPr>
      <w:r>
        <w:rPr>
          <w:rFonts w:hint="eastAsia" w:ascii="黑体" w:hAnsi="黑体" w:eastAsia="黑体" w:cs="黑体"/>
          <w:b w:val="0"/>
          <w:bCs w:val="0"/>
          <w:snapToGrid w:val="0"/>
          <w:sz w:val="30"/>
          <w:szCs w:val="30"/>
        </w:rPr>
        <w:t>五、</w:t>
      </w:r>
      <w:bookmarkStart w:id="3" w:name="_Hlk54167917"/>
      <w:r>
        <w:rPr>
          <w:rFonts w:hint="eastAsia" w:ascii="黑体" w:hAnsi="黑体" w:eastAsia="黑体" w:cs="黑体"/>
          <w:b w:val="0"/>
          <w:bCs w:val="0"/>
          <w:snapToGrid w:val="0"/>
          <w:sz w:val="30"/>
          <w:szCs w:val="30"/>
        </w:rPr>
        <w:t>环境保护措施监督检查清单</w:t>
      </w:r>
      <w:bookmarkEnd w:id="3"/>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696"/>
        <w:gridCol w:w="938"/>
        <w:gridCol w:w="2322"/>
        <w:gridCol w:w="2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tcBorders>
              <w:tl2br w:val="single" w:color="auto" w:sz="4" w:space="0"/>
            </w:tcBorders>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right"/>
              <w:rPr>
                <w:rFonts w:hint="default" w:hAnsi="宋体"/>
                <w:b/>
                <w:sz w:val="24"/>
                <w:szCs w:val="24"/>
              </w:rPr>
            </w:pPr>
            <w:r>
              <w:rPr>
                <w:rFonts w:hint="default" w:hAnsi="宋体"/>
                <w:b/>
                <w:sz w:val="24"/>
                <w:szCs w:val="24"/>
              </w:rPr>
              <w:t>内容</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rPr>
                <w:rFonts w:hint="default"/>
                <w:b/>
                <w:sz w:val="24"/>
                <w:szCs w:val="24"/>
              </w:rPr>
            </w:pPr>
            <w:r>
              <w:rPr>
                <w:rFonts w:hint="default" w:hAnsi="宋体"/>
                <w:b/>
                <w:sz w:val="24"/>
                <w:szCs w:val="24"/>
              </w:rPr>
              <w:t>要素</w:t>
            </w:r>
          </w:p>
        </w:tc>
        <w:tc>
          <w:tcPr>
            <w:tcW w:w="169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b/>
                <w:sz w:val="24"/>
                <w:szCs w:val="24"/>
              </w:rPr>
            </w:pPr>
            <w:r>
              <w:rPr>
                <w:rFonts w:hint="default" w:hAnsi="宋体"/>
                <w:b/>
                <w:sz w:val="24"/>
                <w:szCs w:val="24"/>
              </w:rPr>
              <w:t>排放口</w:t>
            </w:r>
            <w:r>
              <w:rPr>
                <w:rFonts w:hint="default"/>
                <w:b/>
                <w:sz w:val="24"/>
                <w:szCs w:val="24"/>
              </w:rPr>
              <w:t>(</w:t>
            </w:r>
            <w:r>
              <w:rPr>
                <w:rFonts w:hint="default" w:hAnsi="宋体"/>
                <w:b/>
                <w:sz w:val="24"/>
                <w:szCs w:val="24"/>
              </w:rPr>
              <w:t>编号、</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b/>
                <w:sz w:val="24"/>
                <w:szCs w:val="24"/>
              </w:rPr>
            </w:pPr>
            <w:r>
              <w:rPr>
                <w:rFonts w:hint="default" w:hAnsi="宋体"/>
                <w:b/>
                <w:sz w:val="24"/>
                <w:szCs w:val="24"/>
              </w:rPr>
              <w:t>名称</w:t>
            </w:r>
            <w:r>
              <w:rPr>
                <w:rFonts w:hint="default"/>
                <w:b/>
                <w:sz w:val="24"/>
                <w:szCs w:val="24"/>
              </w:rPr>
              <w:t>)/</w:t>
            </w:r>
            <w:r>
              <w:rPr>
                <w:rFonts w:hint="default" w:hAnsi="宋体"/>
                <w:b/>
                <w:sz w:val="24"/>
                <w:szCs w:val="24"/>
              </w:rPr>
              <w:t>污染源</w:t>
            </w:r>
          </w:p>
        </w:tc>
        <w:tc>
          <w:tcPr>
            <w:tcW w:w="93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b/>
                <w:sz w:val="24"/>
                <w:szCs w:val="24"/>
              </w:rPr>
            </w:pPr>
            <w:r>
              <w:rPr>
                <w:rFonts w:hint="default" w:hAnsi="宋体"/>
                <w:b/>
                <w:sz w:val="24"/>
                <w:szCs w:val="24"/>
              </w:rPr>
              <w:t>污染物项目</w:t>
            </w:r>
          </w:p>
        </w:tc>
        <w:tc>
          <w:tcPr>
            <w:tcW w:w="232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b/>
                <w:sz w:val="24"/>
                <w:szCs w:val="24"/>
              </w:rPr>
            </w:pPr>
            <w:r>
              <w:rPr>
                <w:rFonts w:hint="default" w:hAnsi="宋体"/>
                <w:b/>
                <w:sz w:val="24"/>
                <w:szCs w:val="24"/>
              </w:rPr>
              <w:t>环境保护措施</w:t>
            </w:r>
          </w:p>
        </w:tc>
        <w:tc>
          <w:tcPr>
            <w:tcW w:w="285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b/>
                <w:sz w:val="24"/>
                <w:szCs w:val="24"/>
              </w:rPr>
            </w:pPr>
            <w:r>
              <w:rPr>
                <w:rFonts w:hint="default" w:hAnsi="宋体"/>
                <w:b/>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hAnsi="宋体"/>
                <w:sz w:val="24"/>
                <w:szCs w:val="24"/>
              </w:rPr>
              <w:t>大气环境</w:t>
            </w:r>
          </w:p>
        </w:tc>
        <w:tc>
          <w:tcPr>
            <w:tcW w:w="1696"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right="0"/>
              <w:jc w:val="left"/>
              <w:rPr>
                <w:rFonts w:hint="default" w:ascii="宋体" w:eastAsia="宋体" w:cs="宋体"/>
                <w:kern w:val="0"/>
                <w:sz w:val="24"/>
                <w:szCs w:val="24"/>
                <w:lang w:val="en-US" w:eastAsia="zh-CN"/>
              </w:rPr>
            </w:pPr>
            <w:r>
              <w:rPr>
                <w:rFonts w:hint="eastAsia"/>
                <w:sz w:val="24"/>
                <w:szCs w:val="24"/>
              </w:rPr>
              <w:t>排气</w:t>
            </w:r>
            <w:r>
              <w:rPr>
                <w:rFonts w:hint="eastAsia"/>
                <w:sz w:val="24"/>
                <w:szCs w:val="24"/>
                <w:lang w:val="en-US" w:eastAsia="zh-CN"/>
              </w:rPr>
              <w:t>筒</w:t>
            </w:r>
            <w:r>
              <w:rPr>
                <w:rFonts w:hint="eastAsia"/>
                <w:sz w:val="24"/>
                <w:szCs w:val="24"/>
              </w:rPr>
              <w:t>（DA001）</w:t>
            </w:r>
            <w:r>
              <w:rPr>
                <w:rFonts w:hint="eastAsia" w:ascii="宋体" w:cs="宋体"/>
                <w:kern w:val="0"/>
                <w:sz w:val="24"/>
                <w:szCs w:val="24"/>
              </w:rPr>
              <w:t>污染源：</w:t>
            </w:r>
            <w:r>
              <w:rPr>
                <w:rFonts w:hint="eastAsia" w:ascii="宋体" w:cs="宋体"/>
                <w:kern w:val="0"/>
                <w:sz w:val="24"/>
                <w:szCs w:val="24"/>
                <w:lang w:val="en-US" w:eastAsia="zh-CN"/>
              </w:rPr>
              <w:t>一期建设加热搅拌、挤出成形、拉条成形工序</w:t>
            </w:r>
          </w:p>
        </w:tc>
        <w:tc>
          <w:tcPr>
            <w:tcW w:w="938"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sz w:val="24"/>
                <w:szCs w:val="24"/>
                <w:lang w:val="en-US" w:eastAsia="zh-CN"/>
              </w:rPr>
            </w:pPr>
            <w:r>
              <w:rPr>
                <w:rFonts w:hint="eastAsia"/>
                <w:sz w:val="24"/>
                <w:szCs w:val="24"/>
                <w:lang w:val="en-US" w:eastAsia="zh-CN"/>
              </w:rPr>
              <w:t>非甲烷总烃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sz w:val="24"/>
                <w:szCs w:val="24"/>
                <w:lang w:val="en-US" w:eastAsia="zh-CN"/>
              </w:rPr>
            </w:pPr>
          </w:p>
        </w:tc>
        <w:tc>
          <w:tcPr>
            <w:tcW w:w="2322"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left"/>
              <w:rPr>
                <w:rFonts w:hint="default"/>
                <w:sz w:val="24"/>
                <w:szCs w:val="24"/>
              </w:rPr>
            </w:pPr>
            <w:r>
              <w:rPr>
                <w:rFonts w:hint="eastAsia" w:hAnsi="宋体"/>
                <w:bCs/>
                <w:color w:val="000000"/>
                <w:sz w:val="24"/>
                <w:szCs w:val="24"/>
              </w:rPr>
              <w:t>生产过程全密闭，生产线</w:t>
            </w:r>
            <w:r>
              <w:rPr>
                <w:rFonts w:hint="eastAsia" w:hAnsi="宋体"/>
                <w:bCs/>
                <w:color w:val="000000"/>
                <w:sz w:val="24"/>
                <w:szCs w:val="24"/>
                <w:lang w:val="en-US" w:eastAsia="zh-CN"/>
              </w:rPr>
              <w:t>设备全密闭有机废气通过密闭负压管道</w:t>
            </w:r>
            <w:r>
              <w:rPr>
                <w:rFonts w:hint="eastAsia" w:hAnsi="宋体"/>
                <w:bCs/>
                <w:color w:val="000000"/>
                <w:sz w:val="24"/>
                <w:szCs w:val="24"/>
              </w:rPr>
              <w:t>收集后</w:t>
            </w:r>
            <w:r>
              <w:rPr>
                <w:rFonts w:hint="eastAsia" w:hAnsi="宋体"/>
                <w:bCs/>
                <w:color w:val="000000"/>
                <w:sz w:val="24"/>
                <w:szCs w:val="24"/>
                <w:lang w:val="en-US" w:eastAsia="zh-CN"/>
              </w:rPr>
              <w:t>经</w:t>
            </w:r>
            <w:r>
              <w:rPr>
                <w:rFonts w:hint="eastAsia" w:ascii="Times New Roman" w:hAnsi="Times New Roman" w:cs="Times New Roman"/>
                <w:sz w:val="24"/>
                <w:szCs w:val="24"/>
                <w:lang w:val="en-US" w:eastAsia="zh-CN"/>
              </w:rPr>
              <w:t>活性炭吸附脱附</w:t>
            </w:r>
            <w:r>
              <w:rPr>
                <w:rFonts w:hint="eastAsia" w:cs="Times New Roman"/>
                <w:sz w:val="24"/>
                <w:szCs w:val="24"/>
                <w:lang w:val="en-US" w:eastAsia="zh-CN"/>
              </w:rPr>
              <w:t>+</w:t>
            </w:r>
            <w:r>
              <w:rPr>
                <w:rFonts w:hint="eastAsia" w:ascii="Times New Roman" w:hAnsi="Times New Roman" w:cs="Times New Roman"/>
                <w:sz w:val="24"/>
                <w:szCs w:val="24"/>
                <w:lang w:val="en-US" w:eastAsia="zh-CN"/>
              </w:rPr>
              <w:t>催化燃烧装置</w:t>
            </w:r>
            <w:r>
              <w:rPr>
                <w:rFonts w:hint="default" w:ascii="Times New Roman" w:hAnsi="Times New Roman" w:cs="Times New Roman"/>
                <w:sz w:val="24"/>
                <w:szCs w:val="24"/>
                <w:lang w:val="en-US" w:eastAsia="zh-CN"/>
              </w:rPr>
              <w:t>处理</w:t>
            </w:r>
            <w:r>
              <w:rPr>
                <w:rFonts w:hint="eastAsia" w:hAnsi="宋体"/>
                <w:bCs/>
                <w:color w:val="000000"/>
                <w:sz w:val="24"/>
                <w:szCs w:val="24"/>
              </w:rPr>
              <w:t>，处理后尾气由15米高排气筒</w:t>
            </w:r>
            <w:r>
              <w:rPr>
                <w:rFonts w:hint="eastAsia" w:hAnsi="宋体"/>
                <w:bCs/>
                <w:color w:val="000000"/>
                <w:sz w:val="24"/>
                <w:szCs w:val="24"/>
                <w:lang w:eastAsia="zh-CN"/>
              </w:rPr>
              <w:t>（</w:t>
            </w:r>
            <w:r>
              <w:rPr>
                <w:rFonts w:hint="eastAsia" w:hAnsi="宋体"/>
                <w:bCs/>
                <w:color w:val="000000"/>
                <w:sz w:val="24"/>
                <w:szCs w:val="24"/>
                <w:lang w:val="en-US" w:eastAsia="zh-CN"/>
              </w:rPr>
              <w:t>DA001</w:t>
            </w:r>
            <w:r>
              <w:rPr>
                <w:rFonts w:hint="eastAsia" w:hAnsi="宋体"/>
                <w:bCs/>
                <w:color w:val="000000"/>
                <w:sz w:val="24"/>
                <w:szCs w:val="24"/>
                <w:lang w:eastAsia="zh-CN"/>
              </w:rPr>
              <w:t>）</w:t>
            </w:r>
            <w:r>
              <w:rPr>
                <w:rFonts w:hint="eastAsia" w:hAnsi="宋体"/>
                <w:bCs/>
                <w:color w:val="000000"/>
                <w:sz w:val="24"/>
                <w:szCs w:val="24"/>
              </w:rPr>
              <w:t>排放。</w:t>
            </w:r>
          </w:p>
        </w:tc>
        <w:tc>
          <w:tcPr>
            <w:tcW w:w="2851" w:type="dxa"/>
            <w:vMerge w:val="restart"/>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rPr>
                <w:rFonts w:hint="eastAsia"/>
                <w:color w:val="000000"/>
                <w:sz w:val="24"/>
                <w:szCs w:val="24"/>
                <w:highlight w:val="none"/>
                <w:u w:val="none"/>
              </w:rPr>
            </w:pPr>
            <w:r>
              <w:rPr>
                <w:rFonts w:hint="default" w:hAnsi="宋体"/>
                <w:color w:val="000000"/>
                <w:sz w:val="24"/>
                <w:szCs w:val="24"/>
                <w:highlight w:val="none"/>
              </w:rPr>
              <w:t>《合成树脂工业污染物排放标准》（</w:t>
            </w:r>
            <w:r>
              <w:rPr>
                <w:rFonts w:hint="default"/>
                <w:color w:val="000000"/>
                <w:sz w:val="24"/>
                <w:szCs w:val="24"/>
                <w:highlight w:val="none"/>
              </w:rPr>
              <w:t>GB31572-2015</w:t>
            </w:r>
            <w:r>
              <w:rPr>
                <w:rFonts w:hint="default" w:hAnsi="宋体"/>
                <w:color w:val="000000"/>
                <w:sz w:val="24"/>
                <w:szCs w:val="24"/>
                <w:highlight w:val="none"/>
              </w:rPr>
              <w:t>）表</w:t>
            </w:r>
            <w:r>
              <w:rPr>
                <w:rFonts w:hint="default"/>
                <w:color w:val="000000"/>
                <w:sz w:val="24"/>
                <w:szCs w:val="24"/>
                <w:highlight w:val="none"/>
              </w:rPr>
              <w:t>5</w:t>
            </w:r>
            <w:r>
              <w:rPr>
                <w:rFonts w:hint="default" w:hAnsi="宋体"/>
                <w:color w:val="000000"/>
                <w:sz w:val="24"/>
                <w:szCs w:val="24"/>
                <w:highlight w:val="none"/>
              </w:rPr>
              <w:t>非甲烷总烃有组织排放限值</w:t>
            </w:r>
            <w:r>
              <w:rPr>
                <w:rFonts w:hint="default"/>
                <w:color w:val="000000"/>
                <w:sz w:val="24"/>
                <w:szCs w:val="24"/>
                <w:highlight w:val="none"/>
              </w:rPr>
              <w:t>60mg/m</w:t>
            </w:r>
            <w:r>
              <w:rPr>
                <w:rFonts w:hint="default"/>
                <w:color w:val="000000"/>
                <w:sz w:val="24"/>
                <w:szCs w:val="24"/>
                <w:highlight w:val="none"/>
                <w:vertAlign w:val="superscript"/>
              </w:rPr>
              <w:t>3</w:t>
            </w:r>
            <w:r>
              <w:rPr>
                <w:rFonts w:hint="eastAsia"/>
                <w:color w:val="000000"/>
                <w:sz w:val="24"/>
                <w:szCs w:val="24"/>
                <w:highlight w:val="none"/>
                <w:vertAlign w:val="baseline"/>
                <w:lang w:eastAsia="zh-CN"/>
              </w:rPr>
              <w:t>；</w:t>
            </w:r>
            <w:r>
              <w:rPr>
                <w:rFonts w:hint="eastAsia"/>
                <w:bCs/>
                <w:color w:val="000000"/>
                <w:sz w:val="24"/>
                <w:szCs w:val="24"/>
                <w:highlight w:val="none"/>
                <w:vertAlign w:val="baseline"/>
                <w:lang w:val="en-US" w:eastAsia="zh-CN"/>
              </w:rPr>
              <w:t>单位产品非甲烷总烃排放量0.3kg/t产品</w:t>
            </w:r>
            <w:r>
              <w:rPr>
                <w:rFonts w:hint="eastAsia"/>
                <w:color w:val="000000"/>
                <w:sz w:val="24"/>
                <w:szCs w:val="24"/>
                <w:highlight w:val="none"/>
                <w:u w:val="none"/>
              </w:rPr>
              <w:t>。《关于全省开展工业企业挥发性有机物专项治理工作中排放建议值的通知》豫环攻坚办〔2017〕162号文有组织：排放浓度80mg/m</w:t>
            </w:r>
            <w:r>
              <w:rPr>
                <w:rFonts w:hint="eastAsia"/>
                <w:color w:val="000000"/>
                <w:sz w:val="24"/>
                <w:szCs w:val="24"/>
                <w:highlight w:val="none"/>
                <w:u w:val="none"/>
                <w:vertAlign w:val="superscript"/>
              </w:rPr>
              <w:t>3</w:t>
            </w:r>
            <w:r>
              <w:rPr>
                <w:rFonts w:hint="eastAsia"/>
                <w:color w:val="000000"/>
                <w:sz w:val="24"/>
                <w:szCs w:val="24"/>
                <w:highlight w:val="none"/>
                <w:u w:val="none"/>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rPr>
                <w:rFonts w:hint="default"/>
                <w:sz w:val="24"/>
                <w:szCs w:val="24"/>
              </w:rPr>
            </w:pPr>
            <w:r>
              <w:rPr>
                <w:rFonts w:hint="eastAsia"/>
                <w:color w:val="000000"/>
                <w:sz w:val="24"/>
                <w:szCs w:val="24"/>
                <w:highlight w:val="none"/>
                <w:u w:val="none"/>
              </w:rPr>
              <w:t>去除效率≥70%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hAnsi="宋体"/>
                <w:sz w:val="24"/>
                <w:szCs w:val="24"/>
              </w:rPr>
            </w:pPr>
          </w:p>
        </w:tc>
        <w:tc>
          <w:tcPr>
            <w:tcW w:w="1696"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440" w:lineRule="exact"/>
              <w:ind w:left="0" w:right="0"/>
              <w:jc w:val="left"/>
              <w:rPr>
                <w:rFonts w:hint="default" w:ascii="宋体" w:cs="宋体"/>
                <w:kern w:val="0"/>
                <w:sz w:val="24"/>
                <w:szCs w:val="24"/>
                <w:lang w:val="en-US" w:eastAsia="zh-CN"/>
              </w:rPr>
            </w:pPr>
            <w:r>
              <w:rPr>
                <w:rFonts w:hint="eastAsia"/>
                <w:sz w:val="24"/>
                <w:szCs w:val="24"/>
              </w:rPr>
              <w:t>排气</w:t>
            </w:r>
            <w:r>
              <w:rPr>
                <w:rFonts w:hint="eastAsia"/>
                <w:sz w:val="24"/>
                <w:szCs w:val="24"/>
                <w:lang w:val="en-US" w:eastAsia="zh-CN"/>
              </w:rPr>
              <w:t>筒</w:t>
            </w:r>
            <w:r>
              <w:rPr>
                <w:rFonts w:hint="eastAsia"/>
                <w:sz w:val="24"/>
                <w:szCs w:val="24"/>
              </w:rPr>
              <w:t>（DA001）</w:t>
            </w:r>
            <w:r>
              <w:rPr>
                <w:rFonts w:hint="eastAsia" w:ascii="宋体" w:cs="宋体"/>
                <w:kern w:val="0"/>
                <w:sz w:val="24"/>
                <w:szCs w:val="24"/>
              </w:rPr>
              <w:t>污染源：</w:t>
            </w:r>
            <w:r>
              <w:rPr>
                <w:rFonts w:hint="eastAsia" w:ascii="宋体" w:cs="宋体"/>
                <w:kern w:val="0"/>
                <w:sz w:val="24"/>
                <w:szCs w:val="24"/>
                <w:lang w:val="en-US" w:eastAsia="zh-CN"/>
              </w:rPr>
              <w:t>二期建设加热搅拌、挤出成形、拉条成形工序</w:t>
            </w:r>
          </w:p>
        </w:tc>
        <w:tc>
          <w:tcPr>
            <w:tcW w:w="938"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sz w:val="24"/>
                <w:szCs w:val="24"/>
                <w:lang w:val="en-US" w:eastAsia="zh-CN"/>
              </w:rPr>
            </w:pPr>
          </w:p>
        </w:tc>
        <w:tc>
          <w:tcPr>
            <w:tcW w:w="2322"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left"/>
              <w:rPr>
                <w:rFonts w:hint="eastAsia" w:hAnsi="宋体"/>
                <w:bCs/>
                <w:color w:val="000000"/>
                <w:sz w:val="24"/>
                <w:szCs w:val="24"/>
              </w:rPr>
            </w:pPr>
          </w:p>
        </w:tc>
        <w:tc>
          <w:tcPr>
            <w:tcW w:w="2851"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rPr>
                <w:rFonts w:hint="default" w:hAnsi="宋体"/>
                <w:color w:val="000000"/>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continue"/>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hAnsi="宋体"/>
                <w:sz w:val="24"/>
                <w:szCs w:val="24"/>
              </w:rPr>
            </w:pPr>
          </w:p>
        </w:tc>
        <w:tc>
          <w:tcPr>
            <w:tcW w:w="169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sz w:val="24"/>
                <w:szCs w:val="24"/>
              </w:rPr>
            </w:pPr>
            <w:r>
              <w:rPr>
                <w:rFonts w:hint="eastAsia"/>
                <w:sz w:val="24"/>
                <w:szCs w:val="24"/>
              </w:rPr>
              <w:t>无组织</w:t>
            </w:r>
          </w:p>
        </w:tc>
        <w:tc>
          <w:tcPr>
            <w:tcW w:w="93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eastAsia="宋体"/>
                <w:sz w:val="24"/>
                <w:szCs w:val="24"/>
                <w:lang w:eastAsia="zh-CN"/>
              </w:rPr>
            </w:pPr>
            <w:r>
              <w:rPr>
                <w:rFonts w:hint="eastAsia"/>
                <w:sz w:val="24"/>
                <w:szCs w:val="24"/>
                <w:lang w:val="en-US" w:eastAsia="zh-CN"/>
              </w:rPr>
              <w:t>非甲烷总烃</w:t>
            </w:r>
          </w:p>
        </w:tc>
        <w:tc>
          <w:tcPr>
            <w:tcW w:w="232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left"/>
              <w:rPr>
                <w:rFonts w:hint="eastAsia" w:hAnsi="宋体"/>
                <w:bCs/>
                <w:color w:val="FF0000"/>
                <w:sz w:val="24"/>
                <w:szCs w:val="24"/>
              </w:rPr>
            </w:pPr>
            <w:r>
              <w:rPr>
                <w:rFonts w:hint="eastAsia" w:ascii="宋体" w:cs="宋体"/>
                <w:kern w:val="0"/>
                <w:sz w:val="24"/>
                <w:szCs w:val="24"/>
              </w:rPr>
              <w:t>生产线位于密闭生产车间</w:t>
            </w:r>
            <w:r>
              <w:rPr>
                <w:rFonts w:hint="eastAsia" w:ascii="宋体" w:cs="宋体"/>
                <w:kern w:val="0"/>
                <w:sz w:val="24"/>
                <w:szCs w:val="24"/>
                <w:lang w:eastAsia="zh-CN"/>
              </w:rPr>
              <w:t>。</w:t>
            </w:r>
          </w:p>
        </w:tc>
        <w:tc>
          <w:tcPr>
            <w:tcW w:w="285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eastAsia="宋体"/>
                <w:sz w:val="24"/>
                <w:szCs w:val="24"/>
                <w:vertAlign w:val="baseline"/>
                <w:lang w:eastAsia="zh-CN"/>
              </w:rPr>
            </w:pPr>
            <w:r>
              <w:rPr>
                <w:rFonts w:hint="eastAsia"/>
                <w:color w:val="000000"/>
                <w:sz w:val="24"/>
                <w:szCs w:val="24"/>
              </w:rPr>
              <w:t>《关于全省开展工业企业挥发性有机物专项治理工作中排放建议值的通知》（豫环攻坚办[2017]162号文）工业企业边界挥发性有机物排放建议值非甲烷总烃2.0mg/m</w:t>
            </w:r>
            <w:r>
              <w:rPr>
                <w:rFonts w:hint="eastAsia"/>
                <w:color w:val="000000"/>
                <w:sz w:val="24"/>
                <w:szCs w:val="24"/>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hAnsi="宋体"/>
                <w:sz w:val="24"/>
                <w:szCs w:val="24"/>
              </w:rPr>
            </w:pPr>
            <w:r>
              <w:rPr>
                <w:rFonts w:hint="default" w:hAnsi="宋体"/>
                <w:sz w:val="24"/>
                <w:szCs w:val="24"/>
              </w:rPr>
              <w:t>地表水</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hAnsi="宋体"/>
                <w:sz w:val="24"/>
                <w:szCs w:val="24"/>
              </w:rPr>
              <w:t>环境</w:t>
            </w:r>
          </w:p>
        </w:tc>
        <w:tc>
          <w:tcPr>
            <w:tcW w:w="169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sz w:val="24"/>
                <w:szCs w:val="24"/>
              </w:rPr>
              <w:t>生活污水</w:t>
            </w:r>
          </w:p>
        </w:tc>
        <w:tc>
          <w:tcPr>
            <w:tcW w:w="93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sz w:val="24"/>
                <w:szCs w:val="24"/>
              </w:rPr>
              <w:t>COD、SS、NH</w:t>
            </w:r>
            <w:r>
              <w:rPr>
                <w:rFonts w:hint="default"/>
                <w:sz w:val="24"/>
                <w:szCs w:val="24"/>
                <w:vertAlign w:val="subscript"/>
              </w:rPr>
              <w:t>3</w:t>
            </w:r>
            <w:r>
              <w:rPr>
                <w:rFonts w:hint="default"/>
                <w:sz w:val="24"/>
                <w:szCs w:val="24"/>
              </w:rPr>
              <w:t>-N</w:t>
            </w:r>
            <w:r>
              <w:rPr>
                <w:rFonts w:hint="eastAsia"/>
                <w:sz w:val="24"/>
                <w:szCs w:val="24"/>
              </w:rPr>
              <w:t>、TN、TP</w:t>
            </w:r>
          </w:p>
        </w:tc>
        <w:tc>
          <w:tcPr>
            <w:tcW w:w="232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生活污水</w:t>
            </w:r>
            <w:r>
              <w:rPr>
                <w:rFonts w:hint="eastAsia"/>
                <w:color w:val="auto"/>
                <w:sz w:val="24"/>
                <w:szCs w:val="24"/>
                <w:lang w:val="en-US" w:eastAsia="zh-CN"/>
              </w:rPr>
              <w:t>经化粪池处理后排入新乡县综合污水处理厂</w:t>
            </w:r>
            <w:r>
              <w:rPr>
                <w:rFonts w:hint="eastAsia"/>
                <w:color w:val="auto"/>
                <w:sz w:val="24"/>
                <w:szCs w:val="24"/>
              </w:rPr>
              <w:t>。</w:t>
            </w:r>
          </w:p>
        </w:tc>
        <w:tc>
          <w:tcPr>
            <w:tcW w:w="285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color w:val="auto"/>
                <w:sz w:val="24"/>
                <w:szCs w:val="24"/>
              </w:rPr>
            </w:pPr>
            <w:r>
              <w:rPr>
                <w:rFonts w:hint="eastAsia" w:cs="Times New Roman"/>
                <w:color w:val="auto"/>
                <w:sz w:val="24"/>
                <w:szCs w:val="24"/>
                <w:lang w:val="en-US" w:eastAsia="zh-CN"/>
              </w:rPr>
              <w:t>新乡县综合污水处理厂</w:t>
            </w:r>
            <w:r>
              <w:rPr>
                <w:rFonts w:hint="default" w:ascii="Times New Roman" w:hAnsi="Times New Roman" w:eastAsia="宋体" w:cs="Times New Roman"/>
                <w:color w:val="auto"/>
                <w:sz w:val="24"/>
                <w:szCs w:val="24"/>
              </w:rPr>
              <w:t>收水水质要求(COD</w:t>
            </w:r>
            <w:r>
              <w:rPr>
                <w:rFonts w:hint="eastAsia" w:cs="Times New Roman"/>
                <w:color w:val="auto"/>
                <w:sz w:val="24"/>
                <w:szCs w:val="24"/>
                <w:lang w:val="en-US" w:eastAsia="zh-CN"/>
              </w:rPr>
              <w:t>400</w:t>
            </w:r>
            <w:r>
              <w:rPr>
                <w:rFonts w:hint="default" w:ascii="Times New Roman" w:hAnsi="Times New Roman" w:eastAsia="宋体" w:cs="Times New Roman"/>
                <w:color w:val="auto"/>
                <w:sz w:val="24"/>
                <w:szCs w:val="24"/>
              </w:rPr>
              <w:t>mg/L、SS</w:t>
            </w:r>
            <w:r>
              <w:rPr>
                <w:rFonts w:hint="eastAsia" w:cs="Times New Roman"/>
                <w:color w:val="auto"/>
                <w:sz w:val="24"/>
                <w:szCs w:val="24"/>
                <w:lang w:val="en-US" w:eastAsia="zh-CN"/>
              </w:rPr>
              <w:t>180</w:t>
            </w:r>
            <w:r>
              <w:rPr>
                <w:rFonts w:hint="default" w:ascii="Times New Roman" w:hAnsi="Times New Roman" w:eastAsia="宋体" w:cs="Times New Roman"/>
                <w:color w:val="auto"/>
                <w:sz w:val="24"/>
                <w:szCs w:val="24"/>
              </w:rPr>
              <w:t>mg/L、NH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eastAsia" w:cs="Times New Roman"/>
                <w:color w:val="auto"/>
                <w:sz w:val="24"/>
                <w:szCs w:val="24"/>
                <w:lang w:val="en-US" w:eastAsia="zh-CN"/>
              </w:rPr>
              <w:t>59</w:t>
            </w:r>
            <w:r>
              <w:rPr>
                <w:rFonts w:hint="default" w:ascii="Times New Roman" w:hAnsi="Times New Roman" w:eastAsia="宋体" w:cs="Times New Roman"/>
                <w:color w:val="auto"/>
                <w:sz w:val="24"/>
                <w:szCs w:val="24"/>
              </w:rPr>
              <w:t>mg/L、TP</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mg/L、TN</w:t>
            </w:r>
            <w:r>
              <w:rPr>
                <w:rFonts w:hint="eastAsia" w:cs="Times New Roman"/>
                <w:color w:val="auto"/>
                <w:sz w:val="24"/>
                <w:szCs w:val="24"/>
                <w:lang w:val="en-US" w:eastAsia="zh-CN"/>
              </w:rPr>
              <w:t>70</w:t>
            </w:r>
            <w:r>
              <w:rPr>
                <w:rFonts w:hint="default" w:ascii="Times New Roman" w:hAnsi="Times New Roman" w:eastAsia="宋体" w:cs="Times New Roman"/>
                <w:color w:val="auto"/>
                <w:sz w:val="24"/>
                <w:szCs w:val="24"/>
              </w:rPr>
              <w:t>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hAnsi="宋体"/>
                <w:sz w:val="24"/>
                <w:szCs w:val="24"/>
              </w:rPr>
              <w:t>声环境</w:t>
            </w:r>
          </w:p>
        </w:tc>
        <w:tc>
          <w:tcPr>
            <w:tcW w:w="1696"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eastAsia"/>
                <w:sz w:val="24"/>
                <w:szCs w:val="24"/>
              </w:rPr>
              <w:t>生产设备</w:t>
            </w:r>
          </w:p>
        </w:tc>
        <w:tc>
          <w:tcPr>
            <w:tcW w:w="93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eastAsia"/>
                <w:sz w:val="24"/>
                <w:szCs w:val="24"/>
              </w:rPr>
              <w:t>噪声</w:t>
            </w:r>
          </w:p>
        </w:tc>
        <w:tc>
          <w:tcPr>
            <w:tcW w:w="2322"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基础减振、厂房密闭隔音等</w:t>
            </w:r>
          </w:p>
        </w:tc>
        <w:tc>
          <w:tcPr>
            <w:tcW w:w="285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color w:val="auto"/>
                <w:sz w:val="24"/>
                <w:szCs w:val="24"/>
              </w:rPr>
            </w:pPr>
            <w:r>
              <w:rPr>
                <w:rFonts w:hint="default"/>
                <w:color w:val="auto"/>
                <w:sz w:val="24"/>
                <w:szCs w:val="24"/>
              </w:rPr>
              <w:t>《工业企业厂界环境噪声排放标准》（GB12348-2008）</w:t>
            </w:r>
            <w:r>
              <w:rPr>
                <w:rFonts w:hint="eastAsia"/>
                <w:color w:val="auto"/>
                <w:sz w:val="24"/>
                <w:szCs w:val="24"/>
                <w:lang w:val="en-US" w:eastAsia="zh-CN"/>
              </w:rPr>
              <w:t>3</w:t>
            </w:r>
            <w:r>
              <w:rPr>
                <w:rFonts w:hint="default"/>
                <w:color w:val="auto"/>
                <w:sz w:val="24"/>
                <w:szCs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hAnsi="宋体"/>
                <w:sz w:val="24"/>
                <w:szCs w:val="24"/>
              </w:rPr>
            </w:pPr>
            <w:r>
              <w:rPr>
                <w:rFonts w:hint="default" w:hAnsi="宋体"/>
                <w:sz w:val="24"/>
                <w:szCs w:val="24"/>
              </w:rPr>
              <w:t>固体废物</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pacing w:before="0" w:beforeAutospacing="0" w:after="0" w:afterAutospacing="0" w:line="440" w:lineRule="exact"/>
              <w:ind w:left="0" w:right="0" w:firstLine="480" w:firstLineChars="200"/>
              <w:jc w:val="left"/>
              <w:textAlignment w:val="baseline"/>
              <w:rPr>
                <w:rFonts w:hint="default" w:eastAsia="宋体"/>
                <w:sz w:val="24"/>
                <w:szCs w:val="24"/>
                <w:lang w:val="en-US" w:eastAsia="zh-CN"/>
              </w:rPr>
            </w:pPr>
            <w:r>
              <w:rPr>
                <w:rFonts w:hint="eastAsia"/>
                <w:color w:val="000000"/>
                <w:kern w:val="24"/>
                <w:sz w:val="24"/>
                <w:szCs w:val="24"/>
              </w:rPr>
              <w:t>本项目</w:t>
            </w:r>
            <w:r>
              <w:rPr>
                <w:rFonts w:hint="eastAsia"/>
                <w:color w:val="000000"/>
                <w:kern w:val="24"/>
                <w:sz w:val="24"/>
                <w:szCs w:val="24"/>
                <w:lang w:val="en-US" w:eastAsia="zh-CN"/>
              </w:rPr>
              <w:t>投料</w:t>
            </w:r>
            <w:r>
              <w:rPr>
                <w:rFonts w:hint="eastAsia"/>
                <w:color w:val="000000"/>
                <w:kern w:val="24"/>
                <w:sz w:val="24"/>
                <w:szCs w:val="24"/>
              </w:rPr>
              <w:t>过程中会产生</w:t>
            </w:r>
            <w:r>
              <w:rPr>
                <w:rFonts w:hint="eastAsia"/>
                <w:color w:val="000000"/>
                <w:kern w:val="24"/>
                <w:sz w:val="24"/>
                <w:szCs w:val="24"/>
                <w:lang w:val="en-US" w:eastAsia="zh-CN"/>
              </w:rPr>
              <w:t>原辅料废包装物</w:t>
            </w:r>
            <w:r>
              <w:rPr>
                <w:rFonts w:hint="eastAsia"/>
                <w:color w:val="000000"/>
                <w:kern w:val="24"/>
                <w:sz w:val="24"/>
                <w:szCs w:val="24"/>
              </w:rPr>
              <w:t>产生量为</w:t>
            </w:r>
            <w:r>
              <w:rPr>
                <w:rFonts w:hint="eastAsia"/>
                <w:color w:val="000000"/>
                <w:kern w:val="24"/>
                <w:sz w:val="24"/>
                <w:szCs w:val="24"/>
                <w:lang w:val="en-US" w:eastAsia="zh-CN"/>
              </w:rPr>
              <w:t>2</w:t>
            </w:r>
            <w:r>
              <w:rPr>
                <w:rFonts w:hint="eastAsia"/>
                <w:color w:val="000000"/>
                <w:kern w:val="24"/>
                <w:sz w:val="24"/>
                <w:szCs w:val="24"/>
              </w:rPr>
              <w:t>t/a，该部分固废收集后在一般固废暂存间暂存，定期外售。</w:t>
            </w:r>
            <w:r>
              <w:rPr>
                <w:rFonts w:hint="default"/>
                <w:color w:val="000000"/>
                <w:kern w:val="24"/>
                <w:sz w:val="24"/>
                <w:szCs w:val="24"/>
              </w:rPr>
              <w:t>建设单位</w:t>
            </w:r>
            <w:r>
              <w:rPr>
                <w:rFonts w:hint="eastAsia"/>
                <w:color w:val="000000"/>
                <w:kern w:val="24"/>
                <w:sz w:val="24"/>
                <w:szCs w:val="24"/>
              </w:rPr>
              <w:t>拟</w:t>
            </w:r>
            <w:r>
              <w:rPr>
                <w:rFonts w:hint="default"/>
                <w:color w:val="000000"/>
                <w:kern w:val="24"/>
                <w:sz w:val="24"/>
                <w:szCs w:val="24"/>
              </w:rPr>
              <w:t>在厂区内建设1间</w:t>
            </w:r>
            <w:r>
              <w:rPr>
                <w:rFonts w:hint="eastAsia"/>
                <w:color w:val="000000"/>
                <w:kern w:val="24"/>
                <w:sz w:val="24"/>
                <w:szCs w:val="24"/>
              </w:rPr>
              <w:t>20</w:t>
            </w:r>
            <w:r>
              <w:rPr>
                <w:rFonts w:hint="default"/>
                <w:color w:val="000000"/>
                <w:kern w:val="24"/>
                <w:sz w:val="24"/>
                <w:szCs w:val="24"/>
              </w:rPr>
              <w:t>m</w:t>
            </w:r>
            <w:r>
              <w:rPr>
                <w:rFonts w:hint="default"/>
                <w:color w:val="000000"/>
                <w:kern w:val="24"/>
                <w:sz w:val="24"/>
                <w:szCs w:val="24"/>
                <w:vertAlign w:val="superscript"/>
              </w:rPr>
              <w:t>2</w:t>
            </w:r>
            <w:r>
              <w:rPr>
                <w:rFonts w:hint="default"/>
                <w:color w:val="000000"/>
                <w:kern w:val="24"/>
                <w:sz w:val="24"/>
                <w:szCs w:val="24"/>
              </w:rPr>
              <w:t>的一般工业固废暂存间，能够满足</w:t>
            </w:r>
            <w:r>
              <w:rPr>
                <w:rFonts w:hint="eastAsia"/>
                <w:color w:val="000000"/>
                <w:kern w:val="24"/>
                <w:sz w:val="24"/>
                <w:szCs w:val="24"/>
              </w:rPr>
              <w:t>全厂</w:t>
            </w:r>
            <w:r>
              <w:rPr>
                <w:rFonts w:hint="default"/>
                <w:color w:val="000000"/>
                <w:kern w:val="24"/>
                <w:sz w:val="24"/>
                <w:szCs w:val="24"/>
              </w:rPr>
              <w:t>固废暂存间的要求</w:t>
            </w:r>
            <w:r>
              <w:rPr>
                <w:rFonts w:hint="eastAsia"/>
                <w:color w:val="000000"/>
                <w:kern w:val="24"/>
                <w:sz w:val="24"/>
                <w:szCs w:val="24"/>
              </w:rPr>
              <w:t>。一般固废集中在暂存间内，暂存间地面要硬化处理，做到防风、防雨、防晒等要求，暂存间满足</w:t>
            </w:r>
            <w:r>
              <w:rPr>
                <w:rFonts w:hint="default"/>
                <w:color w:val="000000"/>
                <w:kern w:val="24"/>
                <w:sz w:val="24"/>
                <w:szCs w:val="24"/>
              </w:rPr>
              <w:t>《一般工业固体废物贮存</w:t>
            </w:r>
            <w:r>
              <w:rPr>
                <w:rFonts w:hint="eastAsia"/>
                <w:color w:val="000000"/>
                <w:kern w:val="24"/>
                <w:sz w:val="24"/>
                <w:szCs w:val="24"/>
              </w:rPr>
              <w:t>和填埋</w:t>
            </w:r>
            <w:r>
              <w:rPr>
                <w:rFonts w:hint="default"/>
                <w:color w:val="000000"/>
                <w:kern w:val="24"/>
                <w:sz w:val="24"/>
                <w:szCs w:val="24"/>
              </w:rPr>
              <w:t>污染控制标准》（GB18599-20</w:t>
            </w:r>
            <w:r>
              <w:rPr>
                <w:rFonts w:hint="eastAsia"/>
                <w:color w:val="000000"/>
                <w:kern w:val="24"/>
                <w:sz w:val="24"/>
                <w:szCs w:val="24"/>
              </w:rPr>
              <w:t>20</w:t>
            </w:r>
            <w:r>
              <w:rPr>
                <w:rFonts w:hint="default"/>
                <w:color w:val="000000"/>
                <w:kern w:val="24"/>
                <w:sz w:val="24"/>
                <w:szCs w:val="24"/>
              </w:rPr>
              <w:t>）</w:t>
            </w:r>
            <w:r>
              <w:rPr>
                <w:rFonts w:hint="eastAsia"/>
                <w:color w:val="000000"/>
                <w:kern w:val="24"/>
                <w:sz w:val="24"/>
                <w:szCs w:val="24"/>
              </w:rPr>
              <w:t>要求</w:t>
            </w:r>
            <w:r>
              <w:rPr>
                <w:rFonts w:hint="eastAsia"/>
                <w:color w:val="000000"/>
                <w:kern w:val="24"/>
                <w:sz w:val="24"/>
                <w:szCs w:val="24"/>
                <w:lang w:eastAsia="zh-CN"/>
              </w:rPr>
              <w:t>；</w:t>
            </w:r>
            <w:r>
              <w:rPr>
                <w:rFonts w:hint="eastAsia"/>
                <w:color w:val="000000"/>
                <w:kern w:val="24"/>
                <w:sz w:val="24"/>
                <w:szCs w:val="24"/>
                <w:lang w:val="en-US" w:eastAsia="zh-CN"/>
              </w:rPr>
              <w:t>危险废物主要为废导热油（一期0.1t/a；二期建成后全厂0.3t/a）、废活性炭（一期0.55t/3a；二期建成后全厂0.55t/a）、</w:t>
            </w:r>
            <w:r>
              <w:rPr>
                <w:rFonts w:hint="eastAsia"/>
                <w:color w:val="auto"/>
                <w:sz w:val="24"/>
                <w:szCs w:val="24"/>
                <w:lang w:val="en-US" w:eastAsia="zh-CN"/>
              </w:rPr>
              <w:t>废催化剂0.3t/3a，废物暂存间暂存定期委托有资质单位处置，危废暂存间设置满足《危险废物贮存污染控制标准》（GB18597-2001）及2013年修改单的要求，</w:t>
            </w:r>
            <w:r>
              <w:rPr>
                <w:rFonts w:hint="default" w:ascii="Times New Roman" w:hAnsi="Times New Roman" w:eastAsia="宋体" w:cs="Times New Roman"/>
                <w:bCs/>
                <w:sz w:val="24"/>
                <w:szCs w:val="24"/>
              </w:rPr>
              <w:t>对周围环境不会产生固体污染。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sz w:val="24"/>
                <w:szCs w:val="24"/>
              </w:rPr>
              <w:t>土壤及地下水污染防治措施</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eastAsia="宋体"/>
                <w:sz w:val="24"/>
                <w:szCs w:val="24"/>
                <w:lang w:eastAsia="zh-CN"/>
              </w:rPr>
            </w:pPr>
            <w:r>
              <w:rPr>
                <w:rFonts w:hint="eastAsia"/>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default" w:hAnsi="宋体"/>
                <w:sz w:val="24"/>
                <w:szCs w:val="24"/>
              </w:rPr>
              <w:t>生态保护措施</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sz w:val="24"/>
                <w:szCs w:val="24"/>
              </w:rPr>
            </w:pPr>
            <w:r>
              <w:rPr>
                <w:rFonts w:hint="eastAsia"/>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pacing w:val="-8"/>
                <w:sz w:val="24"/>
                <w:szCs w:val="24"/>
              </w:rPr>
            </w:pPr>
            <w:r>
              <w:rPr>
                <w:rFonts w:hint="default" w:hAnsi="宋体"/>
                <w:spacing w:val="-8"/>
                <w:sz w:val="24"/>
                <w:szCs w:val="24"/>
              </w:rPr>
              <w:t>环境风险</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pacing w:val="-8"/>
                <w:sz w:val="24"/>
                <w:szCs w:val="24"/>
              </w:rPr>
            </w:pPr>
            <w:r>
              <w:rPr>
                <w:rFonts w:hint="default" w:hAnsi="宋体"/>
                <w:spacing w:val="-8"/>
                <w:sz w:val="24"/>
                <w:szCs w:val="24"/>
              </w:rPr>
              <w:t>防范措施</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z w:val="24"/>
                <w:szCs w:val="24"/>
              </w:rPr>
            </w:pPr>
            <w:r>
              <w:rPr>
                <w:rFonts w:hint="eastAsia" w:cs="Times New Roman"/>
                <w:color w:val="000000"/>
                <w:kern w:val="2"/>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spacing w:val="-8"/>
                <w:sz w:val="24"/>
                <w:szCs w:val="24"/>
              </w:rPr>
            </w:pPr>
            <w:r>
              <w:rPr>
                <w:rFonts w:hint="eastAsia" w:ascii="宋体" w:hAnsi="宋体" w:eastAsia="宋体" w:cs="宋体"/>
                <w:sz w:val="24"/>
                <w:szCs w:val="24"/>
              </w:rPr>
              <w:t>电磁辐射</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本项目不涉及辐射源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spacing w:val="-8"/>
                <w:sz w:val="24"/>
                <w:szCs w:val="24"/>
              </w:rPr>
            </w:pPr>
            <w:r>
              <w:rPr>
                <w:rFonts w:hint="default" w:hAnsi="宋体"/>
                <w:spacing w:val="-8"/>
                <w:sz w:val="24"/>
                <w:szCs w:val="24"/>
              </w:rPr>
              <w:t>其他环境</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jc w:val="center"/>
              <w:rPr>
                <w:rFonts w:hint="default" w:hAnsi="宋体"/>
                <w:spacing w:val="-8"/>
                <w:sz w:val="24"/>
                <w:szCs w:val="24"/>
              </w:rPr>
            </w:pPr>
            <w:r>
              <w:rPr>
                <w:rFonts w:hint="default" w:hAnsi="宋体"/>
                <w:spacing w:val="-8"/>
                <w:sz w:val="24"/>
                <w:szCs w:val="24"/>
              </w:rPr>
              <w:t>管理要求</w:t>
            </w:r>
          </w:p>
        </w:tc>
        <w:tc>
          <w:tcPr>
            <w:tcW w:w="7807" w:type="dxa"/>
            <w:gridSpan w:val="4"/>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rPr>
                <w:rFonts w:hint="eastAsia" w:hAnsi="宋体"/>
                <w:sz w:val="24"/>
                <w:szCs w:val="24"/>
              </w:rPr>
            </w:pPr>
            <w:r>
              <w:rPr>
                <w:rFonts w:hint="eastAsia" w:hAnsi="宋体"/>
                <w:sz w:val="24"/>
                <w:szCs w:val="24"/>
                <w:lang w:val="en-US" w:eastAsia="zh-CN"/>
              </w:rPr>
              <w:t>用</w:t>
            </w:r>
            <w:r>
              <w:rPr>
                <w:rFonts w:hint="eastAsia" w:hAnsi="宋体"/>
                <w:sz w:val="24"/>
                <w:szCs w:val="24"/>
              </w:rPr>
              <w:t>电量监控管理要求</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40" w:lineRule="exact"/>
              <w:ind w:left="0" w:right="0" w:firstLine="480" w:firstLineChars="200"/>
              <w:rPr>
                <w:rFonts w:hint="default"/>
                <w:sz w:val="24"/>
                <w:szCs w:val="24"/>
              </w:rPr>
            </w:pPr>
            <w:r>
              <w:rPr>
                <w:rFonts w:hint="eastAsia"/>
                <w:sz w:val="24"/>
                <w:szCs w:val="24"/>
              </w:rPr>
              <w:t>根据</w:t>
            </w:r>
            <w:r>
              <w:rPr>
                <w:rFonts w:hint="default"/>
                <w:sz w:val="24"/>
                <w:szCs w:val="24"/>
              </w:rPr>
              <w:t>《</w:t>
            </w:r>
            <w:r>
              <w:rPr>
                <w:rFonts w:hint="eastAsia"/>
                <w:sz w:val="24"/>
                <w:szCs w:val="24"/>
              </w:rPr>
              <w:t>新乡市</w:t>
            </w:r>
            <w:r>
              <w:rPr>
                <w:rFonts w:hint="default"/>
                <w:sz w:val="24"/>
                <w:szCs w:val="24"/>
              </w:rPr>
              <w:t>生态环境局关于部署安装工业企业用电量监控系统的通知》</w:t>
            </w:r>
            <w:r>
              <w:rPr>
                <w:rFonts w:hint="eastAsia"/>
                <w:sz w:val="24"/>
                <w:szCs w:val="24"/>
              </w:rPr>
              <w:t>新</w:t>
            </w:r>
            <w:r>
              <w:rPr>
                <w:rFonts w:hint="default"/>
                <w:sz w:val="24"/>
                <w:szCs w:val="24"/>
              </w:rPr>
              <w:t>环[2019]</w:t>
            </w:r>
            <w:r>
              <w:rPr>
                <w:rFonts w:hint="eastAsia"/>
                <w:sz w:val="24"/>
                <w:szCs w:val="24"/>
              </w:rPr>
              <w:t>154</w:t>
            </w:r>
            <w:r>
              <w:rPr>
                <w:rFonts w:hint="default"/>
                <w:sz w:val="24"/>
                <w:szCs w:val="24"/>
              </w:rPr>
              <w:t>号文</w:t>
            </w:r>
            <w:r>
              <w:rPr>
                <w:rFonts w:hint="eastAsia"/>
                <w:sz w:val="24"/>
                <w:szCs w:val="24"/>
              </w:rPr>
              <w:t>要求，本项目</w:t>
            </w:r>
            <w:r>
              <w:rPr>
                <w:rFonts w:hint="default"/>
                <w:sz w:val="24"/>
                <w:szCs w:val="24"/>
              </w:rPr>
              <w:t>属于排污企业，属于</w:t>
            </w:r>
            <w:r>
              <w:rPr>
                <w:rFonts w:hint="eastAsia"/>
                <w:sz w:val="24"/>
                <w:szCs w:val="24"/>
              </w:rPr>
              <w:t>用电量监控</w:t>
            </w:r>
            <w:r>
              <w:rPr>
                <w:rFonts w:hint="default"/>
                <w:sz w:val="24"/>
                <w:szCs w:val="24"/>
              </w:rPr>
              <w:t>安装范围内的企业</w:t>
            </w:r>
            <w:r>
              <w:rPr>
                <w:rFonts w:hint="eastAsia"/>
                <w:sz w:val="24"/>
                <w:szCs w:val="24"/>
              </w:rPr>
              <w:t>，</w:t>
            </w:r>
            <w:r>
              <w:rPr>
                <w:rFonts w:hint="default"/>
                <w:sz w:val="24"/>
                <w:szCs w:val="24"/>
              </w:rPr>
              <w:t>本项目严格按照要求安装用电量监控系统终端</w:t>
            </w:r>
            <w:r>
              <w:rPr>
                <w:rFonts w:hint="eastAsia"/>
                <w:sz w:val="24"/>
                <w:szCs w:val="24"/>
              </w:rPr>
              <w:t>，并与环保部门联网。</w:t>
            </w:r>
          </w:p>
        </w:tc>
      </w:tr>
    </w:tbl>
    <w:p>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2"/>
        <w:tblW w:w="96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both"/>
              <w:textAlignment w:val="auto"/>
              <w:rPr>
                <w:rFonts w:hint="eastAsia" w:eastAsia="宋体"/>
                <w:lang w:eastAsia="zh-CN"/>
              </w:rPr>
            </w:pPr>
            <w:r>
              <w:rPr>
                <w:rFonts w:hint="eastAsia" w:ascii="宋体" w:hAnsi="宋体"/>
                <w:color w:val="000000"/>
                <w:sz w:val="24"/>
                <w:lang w:val="en-US" w:eastAsia="zh-CN"/>
              </w:rPr>
              <w:t>新乡市凯盛新材料科技有限公司年产</w:t>
            </w:r>
            <w:r>
              <w:rPr>
                <w:rFonts w:hint="default" w:ascii="Times New Roman" w:hAnsi="Times New Roman" w:cs="Times New Roman"/>
                <w:color w:val="000000"/>
                <w:sz w:val="24"/>
                <w:lang w:val="en-US" w:eastAsia="zh-CN"/>
              </w:rPr>
              <w:t>900</w:t>
            </w:r>
            <w:r>
              <w:rPr>
                <w:rFonts w:hint="eastAsia" w:ascii="宋体" w:hAnsi="宋体"/>
                <w:color w:val="000000"/>
                <w:sz w:val="24"/>
                <w:lang w:val="en-US" w:eastAsia="zh-CN"/>
              </w:rPr>
              <w:t>吨环保型包装印刷材料项目</w:t>
            </w:r>
            <w:r>
              <w:rPr>
                <w:rFonts w:hint="default" w:hAnsi="宋体"/>
                <w:sz w:val="24"/>
              </w:rPr>
              <w:t>选址位于</w:t>
            </w:r>
            <w:r>
              <w:rPr>
                <w:rFonts w:hint="eastAsia" w:hAnsi="宋体"/>
                <w:sz w:val="24"/>
              </w:rPr>
              <w:t>河南省新乡市新乡县</w:t>
            </w:r>
            <w:r>
              <w:rPr>
                <w:rFonts w:hint="eastAsia" w:ascii="宋体" w:hAnsi="宋体" w:cs="宋体"/>
                <w:sz w:val="24"/>
                <w:szCs w:val="24"/>
                <w:lang w:val="en-US" w:eastAsia="zh-CN"/>
              </w:rPr>
              <w:t>七里营镇工业园区阳光路</w:t>
            </w:r>
            <w:r>
              <w:rPr>
                <w:rFonts w:hint="default" w:ascii="Times New Roman" w:hAnsi="Times New Roman" w:cs="Times New Roman"/>
                <w:sz w:val="24"/>
                <w:szCs w:val="24"/>
                <w:lang w:val="en-US" w:eastAsia="zh-CN"/>
              </w:rPr>
              <w:t>6</w:t>
            </w:r>
            <w:r>
              <w:rPr>
                <w:rFonts w:hint="eastAsia" w:ascii="宋体" w:hAnsi="宋体" w:cs="宋体"/>
                <w:sz w:val="24"/>
                <w:szCs w:val="24"/>
                <w:lang w:val="en-US" w:eastAsia="zh-CN"/>
              </w:rPr>
              <w:t>号</w:t>
            </w:r>
            <w:r>
              <w:rPr>
                <w:rFonts w:hint="default" w:ascii="Times New Roman" w:hAnsi="Times New Roman" w:eastAsia="宋体" w:cs="Times New Roman"/>
                <w:sz w:val="24"/>
                <w:szCs w:val="24"/>
              </w:rPr>
              <w:t>，符合国家产业政策，</w:t>
            </w:r>
            <w:r>
              <w:rPr>
                <w:rFonts w:hint="default" w:ascii="Times New Roman" w:hAnsi="Times New Roman" w:eastAsia="宋体" w:cs="Times New Roman"/>
                <w:sz w:val="24"/>
              </w:rPr>
              <w:t>符合</w:t>
            </w:r>
            <w:r>
              <w:rPr>
                <w:rFonts w:hint="eastAsia" w:cs="Times New Roman"/>
                <w:color w:val="000000"/>
                <w:sz w:val="24"/>
                <w:lang w:val="en-US" w:eastAsia="zh-CN"/>
              </w:rPr>
              <w:t>新乡经济技术产业集聚区</w:t>
            </w:r>
            <w:r>
              <w:rPr>
                <w:rFonts w:hint="eastAsia" w:ascii="Times New Roman" w:hAnsi="Times New Roman" w:eastAsia="宋体" w:cs="Times New Roman"/>
                <w:color w:val="000000"/>
                <w:sz w:val="24"/>
                <w:lang w:val="en-US" w:eastAsia="zh-CN"/>
              </w:rPr>
              <w:t>总体发展规划</w:t>
            </w:r>
            <w:r>
              <w:rPr>
                <w:rFonts w:hint="eastAsia" w:ascii="Times New Roman" w:hAnsi="Times New Roman" w:eastAsia="宋体" w:cs="Times New Roman"/>
                <w:sz w:val="24"/>
                <w:lang w:eastAsia="zh-CN"/>
              </w:rPr>
              <w:t>，</w:t>
            </w:r>
            <w:r>
              <w:rPr>
                <w:rFonts w:hint="default" w:ascii="Times New Roman" w:hAnsi="Times New Roman" w:eastAsia="宋体" w:cs="Times New Roman"/>
                <w:sz w:val="24"/>
                <w:szCs w:val="24"/>
              </w:rPr>
              <w:t>项目产生的污染物经采用合理的环保措施治理后，均可做到妥善治理和处置，可以实现其经济效益、社会效益和环境效益的协调发展。因此，从环保角度分析，项目建设可行</w:t>
            </w:r>
            <w:r>
              <w:rPr>
                <w:rFonts w:hint="eastAsia" w:cs="Times New Roman"/>
                <w:sz w:val="24"/>
                <w:szCs w:val="24"/>
                <w:lang w:eastAsia="zh-CN"/>
              </w:rPr>
              <w:t>。</w:t>
            </w:r>
          </w:p>
          <w:p>
            <w:pPr>
              <w:keepNext w:val="0"/>
              <w:keepLines w:val="0"/>
              <w:suppressLineNumbers w:val="0"/>
              <w:spacing w:before="0" w:beforeAutospacing="0" w:after="0" w:afterAutospacing="0" w:line="440" w:lineRule="exact"/>
              <w:ind w:left="0" w:right="0" w:firstLine="480" w:firstLineChars="200"/>
              <w:rPr>
                <w:rFonts w:hint="eastAsia" w:hAnsi="宋体"/>
                <w:sz w:val="24"/>
              </w:rPr>
            </w:pPr>
          </w:p>
          <w:p>
            <w:pPr>
              <w:keepNext w:val="0"/>
              <w:keepLines w:val="0"/>
              <w:suppressLineNumbers w:val="0"/>
              <w:spacing w:before="0" w:beforeAutospacing="0" w:after="0" w:afterAutospacing="0" w:line="440" w:lineRule="exact"/>
              <w:ind w:left="0" w:right="0" w:firstLine="480" w:firstLineChars="200"/>
              <w:rPr>
                <w:rFonts w:hint="eastAsia" w:hAnsi="宋体"/>
                <w:sz w:val="24"/>
              </w:rPr>
            </w:pPr>
          </w:p>
          <w:p>
            <w:pPr>
              <w:keepNext w:val="0"/>
              <w:keepLines w:val="0"/>
              <w:suppressLineNumbers w:val="0"/>
              <w:spacing w:before="0" w:beforeAutospacing="0" w:after="0" w:afterAutospacing="0" w:line="440" w:lineRule="exact"/>
              <w:ind w:left="0" w:right="0" w:firstLine="480" w:firstLineChars="200"/>
              <w:jc w:val="right"/>
              <w:rPr>
                <w:rFonts w:hint="eastAsia" w:hAnsi="宋体"/>
                <w:sz w:val="24"/>
              </w:rPr>
            </w:pPr>
            <w:r>
              <w:rPr>
                <w:rFonts w:hint="eastAsia" w:hAnsi="宋体"/>
                <w:sz w:val="24"/>
              </w:rPr>
              <w:t>新乡市译洋环境技术有限公司</w:t>
            </w:r>
          </w:p>
          <w:p>
            <w:pPr>
              <w:keepNext w:val="0"/>
              <w:keepLines w:val="0"/>
              <w:suppressLineNumbers w:val="0"/>
              <w:spacing w:before="0" w:beforeAutospacing="0" w:after="0" w:afterAutospacing="0" w:line="440" w:lineRule="exact"/>
              <w:ind w:left="0" w:right="720" w:firstLine="480" w:firstLineChars="200"/>
              <w:jc w:val="right"/>
              <w:rPr>
                <w:rFonts w:hint="eastAsia" w:hAnsi="宋体"/>
                <w:sz w:val="24"/>
              </w:rPr>
            </w:pPr>
            <w:r>
              <w:rPr>
                <w:rFonts w:hint="eastAsia" w:hAnsi="宋体"/>
                <w:sz w:val="24"/>
              </w:rPr>
              <w:t>202</w:t>
            </w:r>
            <w:r>
              <w:rPr>
                <w:rFonts w:hint="eastAsia" w:hAnsi="宋体"/>
                <w:sz w:val="24"/>
                <w:lang w:val="en-US" w:eastAsia="zh-CN"/>
              </w:rPr>
              <w:t>3</w:t>
            </w:r>
            <w:r>
              <w:rPr>
                <w:rFonts w:hint="eastAsia" w:hAnsi="宋体"/>
                <w:sz w:val="24"/>
              </w:rPr>
              <w:t>年</w:t>
            </w:r>
            <w:r>
              <w:rPr>
                <w:rFonts w:hint="eastAsia" w:hAnsi="宋体"/>
                <w:sz w:val="24"/>
                <w:lang w:val="en-US" w:eastAsia="zh-CN"/>
              </w:rPr>
              <w:t>2</w:t>
            </w:r>
            <w:r>
              <w:rPr>
                <w:rFonts w:hint="eastAsia" w:hAnsi="宋体"/>
                <w:sz w:val="24"/>
              </w:rPr>
              <w:t>月</w:t>
            </w:r>
          </w:p>
          <w:p>
            <w:pPr>
              <w:keepNext w:val="0"/>
              <w:keepLines w:val="0"/>
              <w:suppressLineNumbers w:val="0"/>
              <w:spacing w:before="0" w:beforeAutospacing="0" w:after="0" w:afterAutospacing="0" w:line="440" w:lineRule="exact"/>
              <w:ind w:left="0" w:right="0" w:firstLine="480" w:firstLineChars="200"/>
              <w:rPr>
                <w:rFonts w:hint="eastAsia" w:hAnsi="宋体"/>
                <w:color w:val="FF0000"/>
                <w:sz w:val="24"/>
              </w:rPr>
            </w:pPr>
          </w:p>
          <w:p>
            <w:pPr>
              <w:keepNext w:val="0"/>
              <w:keepLines w:val="0"/>
              <w:suppressLineNumbers w:val="0"/>
              <w:spacing w:before="0" w:beforeAutospacing="0" w:after="0" w:afterAutospacing="0" w:line="440" w:lineRule="exact"/>
              <w:ind w:left="0" w:right="0" w:firstLine="480" w:firstLineChars="200"/>
              <w:rPr>
                <w:rFonts w:hint="eastAsia" w:hAnsi="宋体"/>
                <w:sz w:val="24"/>
              </w:rPr>
            </w:pPr>
          </w:p>
          <w:p>
            <w:pPr>
              <w:keepNext w:val="0"/>
              <w:keepLines w:val="0"/>
              <w:suppressLineNumbers w:val="0"/>
              <w:spacing w:before="0" w:beforeAutospacing="0" w:after="0" w:afterAutospacing="0" w:line="440" w:lineRule="exact"/>
              <w:ind w:left="0" w:right="0" w:firstLine="480" w:firstLineChars="200"/>
              <w:rPr>
                <w:rFonts w:hint="eastAsia" w:hAnsi="宋体"/>
                <w:sz w:val="24"/>
              </w:rPr>
            </w:pPr>
          </w:p>
          <w:p>
            <w:pPr>
              <w:keepNext w:val="0"/>
              <w:keepLines w:val="0"/>
              <w:suppressLineNumbers w:val="0"/>
              <w:spacing w:before="0" w:beforeAutospacing="0" w:after="0" w:afterAutospacing="0" w:line="440" w:lineRule="exact"/>
              <w:ind w:left="0" w:right="0" w:firstLine="480" w:firstLineChars="200"/>
              <w:rPr>
                <w:rFonts w:hint="eastAsia" w:hAnsi="宋体"/>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firstLine="480" w:firstLineChars="200"/>
              <w:jc w:val="right"/>
              <w:rPr>
                <w:rFonts w:hint="eastAsia"/>
                <w:sz w:val="24"/>
              </w:rPr>
            </w:pPr>
          </w:p>
          <w:p>
            <w:pPr>
              <w:keepNext w:val="0"/>
              <w:keepLines w:val="0"/>
              <w:suppressLineNumbers w:val="0"/>
              <w:spacing w:before="0" w:beforeAutospacing="0" w:after="0" w:afterAutospacing="0" w:line="440" w:lineRule="exact"/>
              <w:ind w:left="0" w:right="0"/>
              <w:jc w:val="both"/>
              <w:rPr>
                <w:rFonts w:hint="default"/>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360" w:lineRule="auto"/>
        <w:outlineLvl w:val="0"/>
        <w:rPr>
          <w:rFonts w:hint="default" w:ascii="黑体" w:hAnsi="黑体" w:eastAsia="黑体"/>
          <w:snapToGrid w:val="0"/>
          <w:sz w:val="32"/>
          <w:szCs w:val="32"/>
          <w:lang w:val="en-US" w:eastAsia="zh-CN"/>
        </w:rPr>
      </w:pPr>
      <w:r>
        <w:rPr>
          <w:rFonts w:hint="eastAsia" w:ascii="黑体" w:hAnsi="黑体" w:eastAsia="黑体"/>
          <w:snapToGrid w:val="0"/>
          <w:sz w:val="32"/>
          <w:szCs w:val="32"/>
        </w:rPr>
        <w:t>附表</w:t>
      </w:r>
      <w:r>
        <w:rPr>
          <w:rFonts w:hint="eastAsia" w:ascii="黑体" w:hAnsi="黑体" w:eastAsia="黑体"/>
          <w:snapToGrid w:val="0"/>
          <w:sz w:val="32"/>
          <w:szCs w:val="32"/>
          <w:lang w:val="en-US" w:eastAsia="zh-CN"/>
        </w:rPr>
        <w:t xml:space="preserve">  </w:t>
      </w:r>
    </w:p>
    <w:p>
      <w:pPr>
        <w:pStyle w:val="18"/>
        <w:adjustRightInd w:val="0"/>
        <w:snapToGrid w:val="0"/>
        <w:spacing w:before="0" w:beforeAutospacing="0" w:after="0" w:afterAutospacing="0"/>
        <w:jc w:val="right"/>
        <w:outlineLvl w:val="0"/>
        <w:rPr>
          <w:rFonts w:hint="default" w:ascii="方正小标宋_GBK" w:hAnsi="黑体" w:eastAsia="方正小标宋_GBK"/>
          <w:snapToGrid w:val="0"/>
          <w:sz w:val="38"/>
          <w:szCs w:val="38"/>
          <w:lang w:val="en-US" w:eastAsia="zh-CN"/>
        </w:rPr>
      </w:pPr>
      <w:r>
        <w:rPr>
          <w:rFonts w:hint="eastAsia" w:ascii="方正小标宋_GBK" w:hAnsi="黑体" w:eastAsia="方正小标宋_GBK"/>
          <w:snapToGrid w:val="0"/>
          <w:sz w:val="38"/>
          <w:szCs w:val="38"/>
          <w:lang w:val="en-US" w:eastAsia="zh-CN"/>
        </w:rPr>
        <w:t xml:space="preserve">      </w:t>
      </w:r>
      <w:r>
        <w:rPr>
          <w:rFonts w:hint="eastAsia" w:ascii="方正小标宋_GBK" w:hAnsi="黑体" w:eastAsia="方正小标宋_GBK"/>
          <w:snapToGrid w:val="0"/>
          <w:sz w:val="38"/>
          <w:szCs w:val="38"/>
        </w:rPr>
        <w:t>建设项目污染物排放量汇总表</w:t>
      </w:r>
      <w:r>
        <w:rPr>
          <w:rFonts w:hint="eastAsia" w:ascii="方正小标宋_GBK" w:hAnsi="黑体" w:eastAsia="方正小标宋_GBK"/>
          <w:snapToGrid w:val="0"/>
          <w:sz w:val="38"/>
          <w:szCs w:val="38"/>
          <w:lang w:val="en-US" w:eastAsia="zh-CN"/>
        </w:rPr>
        <w:t xml:space="preserve">               </w:t>
      </w:r>
      <w:r>
        <w:rPr>
          <w:rFonts w:ascii="Times New Roman"/>
          <w:b/>
          <w:snapToGrid w:val="0"/>
          <w:sz w:val="21"/>
          <w:szCs w:val="21"/>
          <w:lang w:eastAsia="zh-CN"/>
        </w:rPr>
        <w:t>单位：</w:t>
      </w:r>
      <w:r>
        <w:rPr>
          <w:rFonts w:ascii="Times New Roman" w:hAnsi="Times New Roman"/>
          <w:b/>
          <w:snapToGrid w:val="0"/>
          <w:sz w:val="21"/>
          <w:szCs w:val="21"/>
          <w:lang w:eastAsia="zh-CN"/>
        </w:rPr>
        <w:t>t/a</w:t>
      </w:r>
    </w:p>
    <w:tbl>
      <w:tblPr>
        <w:tblStyle w:val="22"/>
        <w:tblpPr w:leftFromText="180" w:rightFromText="180" w:vertAnchor="text" w:horzAnchor="page" w:tblpX="1676" w:tblpY="259"/>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701"/>
        <w:gridCol w:w="1276"/>
        <w:gridCol w:w="1701"/>
        <w:gridCol w:w="1559"/>
        <w:gridCol w:w="1761"/>
        <w:gridCol w:w="1641"/>
        <w:gridCol w:w="11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tcBorders>
              <w:tl2br w:val="single" w:color="auto" w:sz="4" w:space="0"/>
            </w:tcBorders>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jc w:val="right"/>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项目</w:t>
            </w:r>
          </w:p>
          <w:p>
            <w:pPr>
              <w:pStyle w:val="48"/>
              <w:keepNext w:val="0"/>
              <w:keepLines w:val="0"/>
              <w:suppressLineNumbers w:val="0"/>
              <w:spacing w:before="0" w:beforeLines="0" w:beforeAutospacing="0" w:after="0" w:afterLines="0" w:afterAutospacing="0" w:line="240" w:lineRule="auto"/>
              <w:ind w:left="0" w:right="0"/>
              <w:jc w:val="left"/>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分类</w:t>
            </w:r>
          </w:p>
        </w:tc>
        <w:tc>
          <w:tcPr>
            <w:tcW w:w="1843"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污染物名称</w:t>
            </w:r>
          </w:p>
        </w:tc>
        <w:tc>
          <w:tcPr>
            <w:tcW w:w="1701"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现有工程</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排放量（固体废物产生量）</w:t>
            </w:r>
            <w:r>
              <w:rPr>
                <w:rFonts w:hint="default" w:ascii="Times New Roman" w:eastAsia="黑体"/>
                <w:snapToGrid w:val="0"/>
                <w:color w:val="auto"/>
                <w:spacing w:val="-6"/>
                <w:kern w:val="21"/>
                <w:sz w:val="21"/>
                <w:szCs w:val="21"/>
                <w:lang w:val="en-US" w:eastAsia="zh-CN"/>
              </w:rPr>
              <w:fldChar w:fldCharType="begin"/>
            </w:r>
            <w:r>
              <w:rPr>
                <w:rFonts w:hint="default" w:ascii="Times New Roman" w:eastAsia="黑体"/>
                <w:snapToGrid w:val="0"/>
                <w:color w:val="auto"/>
                <w:spacing w:val="-6"/>
                <w:kern w:val="21"/>
                <w:sz w:val="21"/>
                <w:szCs w:val="21"/>
                <w:lang w:val="en-US" w:eastAsia="zh-CN"/>
              </w:rPr>
              <w:instrText xml:space="preserve"> = 1 \* GB3 \* MERGEFORMAT </w:instrText>
            </w:r>
            <w:r>
              <w:rPr>
                <w:rFonts w:hint="default" w:ascii="Times New Roman" w:eastAsia="黑体"/>
                <w:snapToGrid w:val="0"/>
                <w:color w:val="auto"/>
                <w:spacing w:val="-6"/>
                <w:kern w:val="21"/>
                <w:sz w:val="21"/>
                <w:szCs w:val="21"/>
                <w:lang w:val="en-US" w:eastAsia="zh-CN"/>
              </w:rPr>
              <w:fldChar w:fldCharType="separate"/>
            </w:r>
            <w:r>
              <w:rPr>
                <w:rFonts w:hint="default" w:ascii="黑体" w:hAnsi="黑体" w:eastAsia="黑体"/>
                <w:color w:val="auto"/>
                <w:kern w:val="2"/>
                <w:sz w:val="21"/>
                <w:szCs w:val="21"/>
                <w:lang w:val="en-US" w:eastAsia="zh-CN"/>
              </w:rPr>
              <w:t>①</w:t>
            </w:r>
            <w:r>
              <w:rPr>
                <w:rFonts w:hint="default" w:ascii="Times New Roman" w:eastAsia="黑体"/>
                <w:snapToGrid w:val="0"/>
                <w:color w:val="auto"/>
                <w:spacing w:val="-6"/>
                <w:kern w:val="21"/>
                <w:sz w:val="21"/>
                <w:szCs w:val="21"/>
                <w:lang w:val="en-US" w:eastAsia="zh-CN"/>
              </w:rPr>
              <w:fldChar w:fldCharType="end"/>
            </w:r>
          </w:p>
        </w:tc>
        <w:tc>
          <w:tcPr>
            <w:tcW w:w="1276"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现有工程</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许可排放量</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eastAsia="黑体"/>
                <w:snapToGrid w:val="0"/>
                <w:color w:val="auto"/>
                <w:spacing w:val="-6"/>
                <w:kern w:val="21"/>
                <w:sz w:val="21"/>
                <w:szCs w:val="21"/>
                <w:lang w:val="en-US" w:eastAsia="zh-CN"/>
              </w:rPr>
              <w:fldChar w:fldCharType="begin"/>
            </w:r>
            <w:r>
              <w:rPr>
                <w:rFonts w:hint="default" w:ascii="Times New Roman" w:eastAsia="黑体"/>
                <w:snapToGrid w:val="0"/>
                <w:color w:val="auto"/>
                <w:spacing w:val="-6"/>
                <w:kern w:val="21"/>
                <w:sz w:val="21"/>
                <w:szCs w:val="21"/>
                <w:lang w:val="en-US" w:eastAsia="zh-CN"/>
              </w:rPr>
              <w:instrText xml:space="preserve"> = 2 \* GB3 \* MERGEFORMAT </w:instrText>
            </w:r>
            <w:r>
              <w:rPr>
                <w:rFonts w:hint="default" w:ascii="Times New Roman" w:eastAsia="黑体"/>
                <w:snapToGrid w:val="0"/>
                <w:color w:val="auto"/>
                <w:spacing w:val="-6"/>
                <w:kern w:val="21"/>
                <w:sz w:val="21"/>
                <w:szCs w:val="21"/>
                <w:lang w:val="en-US" w:eastAsia="zh-CN"/>
              </w:rPr>
              <w:fldChar w:fldCharType="separate"/>
            </w:r>
            <w:r>
              <w:rPr>
                <w:rFonts w:hint="default" w:ascii="黑体" w:hAnsi="黑体" w:eastAsia="黑体"/>
                <w:snapToGrid w:val="0"/>
                <w:color w:val="auto"/>
                <w:spacing w:val="-6"/>
                <w:kern w:val="21"/>
                <w:sz w:val="21"/>
                <w:szCs w:val="21"/>
                <w:lang w:val="en-US" w:eastAsia="zh-CN"/>
              </w:rPr>
              <w:t>②</w:t>
            </w:r>
            <w:r>
              <w:rPr>
                <w:rFonts w:hint="default" w:ascii="Times New Roman" w:eastAsia="黑体"/>
                <w:snapToGrid w:val="0"/>
                <w:color w:val="auto"/>
                <w:spacing w:val="-6"/>
                <w:kern w:val="21"/>
                <w:sz w:val="21"/>
                <w:szCs w:val="21"/>
                <w:lang w:val="en-US" w:eastAsia="zh-CN"/>
              </w:rPr>
              <w:fldChar w:fldCharType="end"/>
            </w:r>
          </w:p>
        </w:tc>
        <w:tc>
          <w:tcPr>
            <w:tcW w:w="1701"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在建工程</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排放量（固体废物产生量）</w:t>
            </w:r>
            <w:r>
              <w:rPr>
                <w:rFonts w:hint="default" w:ascii="Times New Roman" w:eastAsia="黑体"/>
                <w:snapToGrid w:val="0"/>
                <w:color w:val="auto"/>
                <w:spacing w:val="-6"/>
                <w:kern w:val="21"/>
                <w:sz w:val="21"/>
                <w:szCs w:val="21"/>
                <w:lang w:val="en-US" w:eastAsia="zh-CN"/>
              </w:rPr>
              <w:fldChar w:fldCharType="begin"/>
            </w:r>
            <w:r>
              <w:rPr>
                <w:rFonts w:hint="default" w:ascii="Times New Roman" w:eastAsia="黑体"/>
                <w:snapToGrid w:val="0"/>
                <w:color w:val="auto"/>
                <w:spacing w:val="-6"/>
                <w:kern w:val="21"/>
                <w:sz w:val="21"/>
                <w:szCs w:val="21"/>
                <w:lang w:val="en-US" w:eastAsia="zh-CN"/>
              </w:rPr>
              <w:instrText xml:space="preserve"> = 3 \* GB3 \* MERGEFORMAT </w:instrText>
            </w:r>
            <w:r>
              <w:rPr>
                <w:rFonts w:hint="default" w:ascii="Times New Roman" w:eastAsia="黑体"/>
                <w:snapToGrid w:val="0"/>
                <w:color w:val="auto"/>
                <w:spacing w:val="-6"/>
                <w:kern w:val="21"/>
                <w:sz w:val="21"/>
                <w:szCs w:val="21"/>
                <w:lang w:val="en-US" w:eastAsia="zh-CN"/>
              </w:rPr>
              <w:fldChar w:fldCharType="separate"/>
            </w:r>
            <w:r>
              <w:rPr>
                <w:rFonts w:hint="default" w:ascii="黑体" w:hAnsi="黑体" w:eastAsia="黑体"/>
                <w:color w:val="auto"/>
                <w:kern w:val="2"/>
                <w:sz w:val="21"/>
                <w:szCs w:val="21"/>
                <w:lang w:val="en-US" w:eastAsia="zh-CN"/>
              </w:rPr>
              <w:t>③</w:t>
            </w:r>
            <w:r>
              <w:rPr>
                <w:rFonts w:hint="default" w:ascii="Times New Roman" w:eastAsia="黑体"/>
                <w:snapToGrid w:val="0"/>
                <w:color w:val="auto"/>
                <w:spacing w:val="-6"/>
                <w:kern w:val="21"/>
                <w:sz w:val="21"/>
                <w:szCs w:val="21"/>
                <w:lang w:val="en-US" w:eastAsia="zh-CN"/>
              </w:rPr>
              <w:fldChar w:fldCharType="end"/>
            </w:r>
          </w:p>
        </w:tc>
        <w:tc>
          <w:tcPr>
            <w:tcW w:w="1559"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本项目</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排放量（固体废物产生量）</w:t>
            </w:r>
            <w:r>
              <w:rPr>
                <w:rFonts w:hint="default" w:ascii="Times New Roman" w:eastAsia="黑体"/>
                <w:snapToGrid w:val="0"/>
                <w:color w:val="auto"/>
                <w:spacing w:val="-6"/>
                <w:kern w:val="21"/>
                <w:sz w:val="21"/>
                <w:szCs w:val="21"/>
                <w:lang w:val="en-US" w:eastAsia="zh-CN"/>
              </w:rPr>
              <w:fldChar w:fldCharType="begin"/>
            </w:r>
            <w:r>
              <w:rPr>
                <w:rFonts w:hint="default" w:ascii="Times New Roman" w:eastAsia="黑体"/>
                <w:snapToGrid w:val="0"/>
                <w:color w:val="auto"/>
                <w:spacing w:val="-6"/>
                <w:kern w:val="21"/>
                <w:sz w:val="21"/>
                <w:szCs w:val="21"/>
                <w:lang w:val="en-US" w:eastAsia="zh-CN"/>
              </w:rPr>
              <w:instrText xml:space="preserve"> = 4 \* GB3 \* MERGEFORMAT </w:instrText>
            </w:r>
            <w:r>
              <w:rPr>
                <w:rFonts w:hint="default" w:ascii="Times New Roman" w:eastAsia="黑体"/>
                <w:snapToGrid w:val="0"/>
                <w:color w:val="auto"/>
                <w:spacing w:val="-6"/>
                <w:kern w:val="21"/>
                <w:sz w:val="21"/>
                <w:szCs w:val="21"/>
                <w:lang w:val="en-US" w:eastAsia="zh-CN"/>
              </w:rPr>
              <w:fldChar w:fldCharType="separate"/>
            </w:r>
            <w:r>
              <w:rPr>
                <w:rFonts w:hint="default" w:ascii="黑体" w:hAnsi="黑体" w:eastAsia="黑体"/>
                <w:color w:val="auto"/>
                <w:kern w:val="2"/>
                <w:sz w:val="21"/>
                <w:szCs w:val="21"/>
                <w:lang w:val="en-US" w:eastAsia="zh-CN"/>
              </w:rPr>
              <w:t>④</w:t>
            </w:r>
            <w:r>
              <w:rPr>
                <w:rFonts w:hint="default" w:ascii="Times New Roman" w:eastAsia="黑体"/>
                <w:snapToGrid w:val="0"/>
                <w:color w:val="auto"/>
                <w:spacing w:val="-6"/>
                <w:kern w:val="21"/>
                <w:sz w:val="21"/>
                <w:szCs w:val="21"/>
                <w:lang w:val="en-US" w:eastAsia="zh-CN"/>
              </w:rPr>
              <w:fldChar w:fldCharType="end"/>
            </w:r>
          </w:p>
        </w:tc>
        <w:tc>
          <w:tcPr>
            <w:tcW w:w="1761"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1"/>
                <w:szCs w:val="21"/>
                <w:lang w:val="en-US" w:eastAsia="zh-CN"/>
              </w:rPr>
            </w:pPr>
            <w:r>
              <w:rPr>
                <w:rFonts w:hint="default" w:ascii="Times New Roman" w:hAnsi="黑体" w:eastAsia="黑体"/>
                <w:snapToGrid w:val="0"/>
                <w:color w:val="auto"/>
                <w:spacing w:val="-16"/>
                <w:kern w:val="21"/>
                <w:sz w:val="21"/>
                <w:szCs w:val="21"/>
                <w:lang w:val="en-US" w:eastAsia="zh-CN"/>
              </w:rPr>
              <w:t>以新带老削减量</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1"/>
                <w:szCs w:val="21"/>
                <w:lang w:val="en-US" w:eastAsia="zh-CN"/>
              </w:rPr>
            </w:pPr>
            <w:r>
              <w:rPr>
                <w:rFonts w:hint="default" w:ascii="Times New Roman" w:hAnsi="黑体" w:eastAsia="黑体"/>
                <w:snapToGrid w:val="0"/>
                <w:color w:val="auto"/>
                <w:spacing w:val="-16"/>
                <w:kern w:val="21"/>
                <w:sz w:val="21"/>
                <w:szCs w:val="21"/>
                <w:lang w:val="en-US" w:eastAsia="zh-CN"/>
              </w:rPr>
              <w:t>（新建项目不填）</w:t>
            </w:r>
            <w:r>
              <w:rPr>
                <w:rFonts w:hint="default" w:ascii="Times New Roman" w:eastAsia="黑体"/>
                <w:snapToGrid w:val="0"/>
                <w:color w:val="auto"/>
                <w:spacing w:val="-16"/>
                <w:kern w:val="21"/>
                <w:sz w:val="21"/>
                <w:szCs w:val="21"/>
                <w:lang w:val="en-US" w:eastAsia="zh-CN"/>
              </w:rPr>
              <w:fldChar w:fldCharType="begin"/>
            </w:r>
            <w:r>
              <w:rPr>
                <w:rFonts w:hint="default" w:ascii="Times New Roman" w:eastAsia="黑体"/>
                <w:snapToGrid w:val="0"/>
                <w:color w:val="auto"/>
                <w:spacing w:val="-16"/>
                <w:kern w:val="21"/>
                <w:sz w:val="21"/>
                <w:szCs w:val="21"/>
                <w:lang w:val="en-US" w:eastAsia="zh-CN"/>
              </w:rPr>
              <w:instrText xml:space="preserve"> = 5 \* GB3 \* MERGEFORMAT </w:instrText>
            </w:r>
            <w:r>
              <w:rPr>
                <w:rFonts w:hint="default" w:ascii="Times New Roman" w:eastAsia="黑体"/>
                <w:snapToGrid w:val="0"/>
                <w:color w:val="auto"/>
                <w:spacing w:val="-16"/>
                <w:kern w:val="21"/>
                <w:sz w:val="21"/>
                <w:szCs w:val="21"/>
                <w:lang w:val="en-US" w:eastAsia="zh-CN"/>
              </w:rPr>
              <w:fldChar w:fldCharType="separate"/>
            </w:r>
            <w:r>
              <w:rPr>
                <w:rFonts w:hint="default" w:ascii="黑体" w:hAnsi="黑体" w:eastAsia="黑体"/>
                <w:color w:val="auto"/>
                <w:kern w:val="2"/>
                <w:sz w:val="21"/>
                <w:szCs w:val="21"/>
                <w:lang w:val="en-US" w:eastAsia="zh-CN"/>
              </w:rPr>
              <w:t>⑤</w:t>
            </w:r>
            <w:r>
              <w:rPr>
                <w:rFonts w:hint="default" w:ascii="Times New Roman" w:eastAsia="黑体"/>
                <w:snapToGrid w:val="0"/>
                <w:color w:val="auto"/>
                <w:spacing w:val="-16"/>
                <w:kern w:val="21"/>
                <w:sz w:val="21"/>
                <w:szCs w:val="21"/>
                <w:lang w:val="en-US" w:eastAsia="zh-CN"/>
              </w:rPr>
              <w:fldChar w:fldCharType="end"/>
            </w:r>
          </w:p>
        </w:tc>
        <w:tc>
          <w:tcPr>
            <w:tcW w:w="1641"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1"/>
                <w:szCs w:val="21"/>
                <w:lang w:val="en-US" w:eastAsia="zh-CN"/>
              </w:rPr>
            </w:pPr>
            <w:r>
              <w:rPr>
                <w:rFonts w:hint="default" w:ascii="Times New Roman" w:hAnsi="黑体" w:eastAsia="黑体"/>
                <w:snapToGrid w:val="0"/>
                <w:color w:val="auto"/>
                <w:spacing w:val="-16"/>
                <w:kern w:val="21"/>
                <w:sz w:val="21"/>
                <w:szCs w:val="21"/>
                <w:lang w:val="en-US" w:eastAsia="zh-CN"/>
              </w:rPr>
              <w:t>本项目建成后</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16"/>
                <w:kern w:val="21"/>
                <w:sz w:val="21"/>
                <w:szCs w:val="21"/>
                <w:lang w:val="en-US" w:eastAsia="zh-CN"/>
              </w:rPr>
            </w:pPr>
            <w:r>
              <w:rPr>
                <w:rFonts w:hint="default" w:ascii="Times New Roman" w:hAnsi="黑体" w:eastAsia="黑体"/>
                <w:snapToGrid w:val="0"/>
                <w:color w:val="auto"/>
                <w:spacing w:val="-16"/>
                <w:kern w:val="21"/>
                <w:sz w:val="21"/>
                <w:szCs w:val="21"/>
                <w:lang w:val="en-US" w:eastAsia="zh-CN"/>
              </w:rPr>
              <w:t>全厂排放量（固体废物产生量）</w:t>
            </w:r>
            <w:r>
              <w:rPr>
                <w:rFonts w:hint="default" w:ascii="Times New Roman" w:eastAsia="黑体"/>
                <w:snapToGrid w:val="0"/>
                <w:color w:val="auto"/>
                <w:spacing w:val="-16"/>
                <w:kern w:val="21"/>
                <w:sz w:val="21"/>
                <w:szCs w:val="21"/>
                <w:lang w:val="en-US" w:eastAsia="zh-CN"/>
              </w:rPr>
              <w:fldChar w:fldCharType="begin"/>
            </w:r>
            <w:r>
              <w:rPr>
                <w:rFonts w:hint="default" w:ascii="Times New Roman" w:eastAsia="黑体"/>
                <w:snapToGrid w:val="0"/>
                <w:color w:val="auto"/>
                <w:spacing w:val="-16"/>
                <w:kern w:val="21"/>
                <w:sz w:val="21"/>
                <w:szCs w:val="21"/>
                <w:lang w:val="en-US" w:eastAsia="zh-CN"/>
              </w:rPr>
              <w:instrText xml:space="preserve"> = 6 \* GB3 \* MERGEFORMAT </w:instrText>
            </w:r>
            <w:r>
              <w:rPr>
                <w:rFonts w:hint="default" w:ascii="Times New Roman" w:eastAsia="黑体"/>
                <w:snapToGrid w:val="0"/>
                <w:color w:val="auto"/>
                <w:spacing w:val="-16"/>
                <w:kern w:val="21"/>
                <w:sz w:val="21"/>
                <w:szCs w:val="21"/>
                <w:lang w:val="en-US" w:eastAsia="zh-CN"/>
              </w:rPr>
              <w:fldChar w:fldCharType="separate"/>
            </w:r>
            <w:r>
              <w:rPr>
                <w:rFonts w:hint="default" w:ascii="黑体" w:hAnsi="黑体" w:eastAsia="黑体"/>
                <w:color w:val="auto"/>
                <w:kern w:val="2"/>
                <w:sz w:val="21"/>
                <w:szCs w:val="21"/>
                <w:lang w:val="en-US" w:eastAsia="zh-CN"/>
              </w:rPr>
              <w:t>⑥</w:t>
            </w:r>
            <w:r>
              <w:rPr>
                <w:rFonts w:hint="default" w:ascii="Times New Roman" w:eastAsia="黑体"/>
                <w:snapToGrid w:val="0"/>
                <w:color w:val="auto"/>
                <w:spacing w:val="-16"/>
                <w:kern w:val="21"/>
                <w:sz w:val="21"/>
                <w:szCs w:val="21"/>
                <w:lang w:val="en-US" w:eastAsia="zh-CN"/>
              </w:rPr>
              <w:fldChar w:fldCharType="end"/>
            </w:r>
          </w:p>
        </w:tc>
        <w:tc>
          <w:tcPr>
            <w:tcW w:w="1144" w:type="dxa"/>
            <w:noWrap w:val="0"/>
            <w:tcMar>
              <w:left w:w="28" w:type="dxa"/>
              <w:right w:w="28" w:type="dxa"/>
            </w:tcMar>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hAnsi="黑体" w:eastAsia="黑体"/>
                <w:snapToGrid w:val="0"/>
                <w:color w:val="auto"/>
                <w:spacing w:val="-6"/>
                <w:kern w:val="21"/>
                <w:sz w:val="21"/>
                <w:szCs w:val="21"/>
                <w:lang w:val="en-US" w:eastAsia="zh-CN"/>
              </w:rPr>
              <w:t>变化量</w:t>
            </w:r>
          </w:p>
          <w:p>
            <w:pPr>
              <w:pStyle w:val="48"/>
              <w:keepNext w:val="0"/>
              <w:keepLines w:val="0"/>
              <w:suppressLineNumbers w:val="0"/>
              <w:spacing w:before="0" w:beforeLines="0" w:beforeAutospacing="0" w:after="0" w:afterLines="0" w:afterAutospacing="0" w:line="240" w:lineRule="auto"/>
              <w:ind w:left="0" w:right="0"/>
              <w:rPr>
                <w:rFonts w:hint="default" w:ascii="Times New Roman" w:eastAsia="黑体"/>
                <w:snapToGrid w:val="0"/>
                <w:color w:val="auto"/>
                <w:spacing w:val="-6"/>
                <w:kern w:val="21"/>
                <w:sz w:val="21"/>
                <w:szCs w:val="21"/>
                <w:lang w:val="en-US" w:eastAsia="zh-CN"/>
              </w:rPr>
            </w:pPr>
            <w:r>
              <w:rPr>
                <w:rFonts w:hint="default" w:ascii="Times New Roman" w:eastAsia="黑体"/>
                <w:snapToGrid w:val="0"/>
                <w:color w:val="auto"/>
                <w:spacing w:val="-6"/>
                <w:kern w:val="21"/>
                <w:sz w:val="21"/>
                <w:szCs w:val="21"/>
                <w:lang w:val="en-US" w:eastAsia="zh-CN"/>
              </w:rPr>
              <w:fldChar w:fldCharType="begin"/>
            </w:r>
            <w:r>
              <w:rPr>
                <w:rFonts w:hint="default" w:ascii="Times New Roman" w:eastAsia="黑体"/>
                <w:snapToGrid w:val="0"/>
                <w:color w:val="auto"/>
                <w:spacing w:val="-6"/>
                <w:kern w:val="21"/>
                <w:sz w:val="21"/>
                <w:szCs w:val="21"/>
                <w:lang w:val="en-US" w:eastAsia="zh-CN"/>
              </w:rPr>
              <w:instrText xml:space="preserve"> = 7 \* GB3 \* MERGEFORMAT </w:instrText>
            </w:r>
            <w:r>
              <w:rPr>
                <w:rFonts w:hint="default" w:ascii="Times New Roman" w:eastAsia="黑体"/>
                <w:snapToGrid w:val="0"/>
                <w:color w:val="auto"/>
                <w:spacing w:val="-6"/>
                <w:kern w:val="21"/>
                <w:sz w:val="21"/>
                <w:szCs w:val="21"/>
                <w:lang w:val="en-US" w:eastAsia="zh-CN"/>
              </w:rPr>
              <w:fldChar w:fldCharType="separate"/>
            </w:r>
            <w:r>
              <w:rPr>
                <w:rFonts w:hint="default" w:ascii="黑体" w:hAnsi="黑体" w:eastAsia="黑体"/>
                <w:color w:val="auto"/>
                <w:kern w:val="2"/>
                <w:sz w:val="21"/>
                <w:szCs w:val="21"/>
                <w:lang w:val="en-US" w:eastAsia="zh-CN"/>
              </w:rPr>
              <w:t>⑦</w:t>
            </w:r>
            <w:r>
              <w:rPr>
                <w:rFonts w:hint="default" w:ascii="Times New Roman" w:eastAsia="黑体"/>
                <w:snapToGrid w:val="0"/>
                <w:color w:val="auto"/>
                <w:spacing w:val="-6"/>
                <w:kern w:val="21"/>
                <w:sz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废气</w:t>
            </w:r>
          </w:p>
        </w:tc>
        <w:tc>
          <w:tcPr>
            <w:tcW w:w="1843"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非甲烷总烃</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0.2369</w:t>
            </w:r>
          </w:p>
        </w:tc>
        <w:tc>
          <w:tcPr>
            <w:tcW w:w="176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0.2369</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color w:val="auto"/>
                <w:sz w:val="21"/>
                <w:szCs w:val="21"/>
                <w:lang w:val="en-US" w:eastAsia="zh-CN"/>
              </w:rPr>
            </w:pPr>
            <w:r>
              <w:rPr>
                <w:rFonts w:hint="eastAsia"/>
                <w:color w:val="auto"/>
                <w:sz w:val="21"/>
                <w:szCs w:val="21"/>
                <w:lang w:val="en-US" w:eastAsia="zh-CN"/>
              </w:rPr>
              <w:t>0.2369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restart"/>
            <w:noWrap w:val="0"/>
            <w:vAlign w:val="center"/>
          </w:tcPr>
          <w:p>
            <w:pPr>
              <w:pStyle w:val="48"/>
              <w:keepNext w:val="0"/>
              <w:keepLines w:val="0"/>
              <w:suppressLineNumbers w:val="0"/>
              <w:spacing w:before="24" w:beforeAutospacing="0" w:after="24" w:afterAutospacing="0"/>
              <w:ind w:left="0" w:right="0"/>
              <w:rPr>
                <w:rFonts w:hint="default" w:ascii="Times New Roman"/>
                <w:snapToGrid w:val="0"/>
                <w:color w:val="auto"/>
                <w:kern w:val="21"/>
                <w:sz w:val="21"/>
                <w:szCs w:val="21"/>
                <w:lang w:val="en-US" w:eastAsia="zh-CN"/>
              </w:rPr>
            </w:pPr>
            <w:r>
              <w:rPr>
                <w:rFonts w:hint="default" w:ascii="Times New Roman" w:hAnsi="宋体"/>
                <w:snapToGrid w:val="0"/>
                <w:color w:val="auto"/>
                <w:kern w:val="21"/>
                <w:sz w:val="21"/>
                <w:szCs w:val="21"/>
                <w:lang w:val="en-US" w:eastAsia="zh-CN"/>
              </w:rPr>
              <w:t>废水</w:t>
            </w:r>
          </w:p>
        </w:tc>
        <w:tc>
          <w:tcPr>
            <w:tcW w:w="184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COD</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58</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58</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0.0058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24" w:beforeAutospacing="0" w:after="24" w:afterAutospacing="0"/>
              <w:ind w:left="0" w:right="0"/>
              <w:rPr>
                <w:rFonts w:hint="default" w:ascii="Times New Roman"/>
                <w:snapToGrid w:val="0"/>
                <w:color w:val="auto"/>
                <w:kern w:val="21"/>
                <w:sz w:val="21"/>
                <w:szCs w:val="21"/>
                <w:lang w:val="en-US" w:eastAsia="zh-CN"/>
              </w:rPr>
            </w:pPr>
          </w:p>
        </w:tc>
        <w:tc>
          <w:tcPr>
            <w:tcW w:w="184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SS</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15</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15</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24" w:beforeAutospacing="0" w:after="24" w:afterAutospacing="0"/>
              <w:ind w:left="0" w:right="0"/>
              <w:rPr>
                <w:rFonts w:hint="default" w:ascii="Times New Roman"/>
                <w:snapToGrid w:val="0"/>
                <w:color w:val="auto"/>
                <w:kern w:val="21"/>
                <w:sz w:val="21"/>
                <w:szCs w:val="21"/>
                <w:lang w:val="en-US" w:eastAsia="zh-CN"/>
              </w:rPr>
            </w:pPr>
          </w:p>
        </w:tc>
        <w:tc>
          <w:tcPr>
            <w:tcW w:w="184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NH</w:t>
            </w:r>
            <w:r>
              <w:rPr>
                <w:rFonts w:hint="default"/>
                <w:color w:val="auto"/>
                <w:sz w:val="21"/>
                <w:szCs w:val="21"/>
                <w:vertAlign w:val="subscript"/>
              </w:rPr>
              <w:t>3</w:t>
            </w:r>
            <w:r>
              <w:rPr>
                <w:rFonts w:hint="default"/>
                <w:color w:val="auto"/>
                <w:sz w:val="21"/>
                <w:szCs w:val="21"/>
              </w:rPr>
              <w:t>-N</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0.000</w:t>
            </w:r>
            <w:r>
              <w:rPr>
                <w:rFonts w:hint="eastAsia"/>
                <w:sz w:val="21"/>
                <w:szCs w:val="21"/>
                <w:lang w:val="en-US" w:eastAsia="zh-CN"/>
              </w:rPr>
              <w:t>3</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0.000</w:t>
            </w:r>
            <w:r>
              <w:rPr>
                <w:rFonts w:hint="eastAsia"/>
                <w:sz w:val="21"/>
                <w:szCs w:val="21"/>
                <w:lang w:val="en-US" w:eastAsia="zh-CN"/>
              </w:rPr>
              <w:t>3</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24" w:beforeAutospacing="0" w:after="24" w:afterAutospacing="0"/>
              <w:ind w:left="0" w:right="0"/>
              <w:rPr>
                <w:rFonts w:hint="default" w:ascii="Times New Roman"/>
                <w:snapToGrid w:val="0"/>
                <w:color w:val="auto"/>
                <w:kern w:val="21"/>
                <w:sz w:val="21"/>
                <w:szCs w:val="21"/>
                <w:lang w:val="en-US" w:eastAsia="zh-CN"/>
              </w:rPr>
            </w:pPr>
          </w:p>
        </w:tc>
        <w:tc>
          <w:tcPr>
            <w:tcW w:w="184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default"/>
                <w:color w:val="auto"/>
                <w:sz w:val="21"/>
                <w:szCs w:val="21"/>
              </w:rPr>
            </w:pPr>
            <w:r>
              <w:rPr>
                <w:rFonts w:hint="default"/>
                <w:color w:val="auto"/>
                <w:sz w:val="21"/>
                <w:szCs w:val="21"/>
              </w:rPr>
              <w:t>TP</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eastAsia"/>
                <w:snapToGrid w:val="0"/>
                <w:color w:val="auto"/>
                <w:kern w:val="21"/>
                <w:sz w:val="21"/>
                <w:szCs w:val="21"/>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0.000</w:t>
            </w:r>
            <w:r>
              <w:rPr>
                <w:rFonts w:hint="eastAsia"/>
                <w:sz w:val="21"/>
                <w:szCs w:val="21"/>
                <w:lang w:val="en-US" w:eastAsia="zh-CN"/>
              </w:rPr>
              <w:t>05</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0.000</w:t>
            </w:r>
            <w:r>
              <w:rPr>
                <w:rFonts w:hint="eastAsia"/>
                <w:sz w:val="21"/>
                <w:szCs w:val="21"/>
                <w:lang w:val="en-US" w:eastAsia="zh-CN"/>
              </w:rPr>
              <w:t>05</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0.00005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p>
        </w:tc>
        <w:tc>
          <w:tcPr>
            <w:tcW w:w="1843" w:type="dxa"/>
            <w:noWrap w:val="0"/>
            <w:vAlign w:val="center"/>
          </w:tcPr>
          <w:p>
            <w:pPr>
              <w:keepNext w:val="0"/>
              <w:keepLines w:val="0"/>
              <w:suppressLineNumbers w:val="0"/>
              <w:tabs>
                <w:tab w:val="left" w:pos="3620"/>
              </w:tabs>
              <w:adjustRightInd w:val="0"/>
              <w:snapToGrid w:val="0"/>
              <w:spacing w:before="0" w:beforeAutospacing="0" w:after="0" w:afterAutospacing="0"/>
              <w:ind w:left="0" w:right="0"/>
              <w:jc w:val="center"/>
              <w:rPr>
                <w:rFonts w:hint="eastAsia" w:eastAsia="宋体"/>
                <w:color w:val="auto"/>
                <w:sz w:val="21"/>
                <w:szCs w:val="21"/>
                <w:lang w:val="en-US" w:eastAsia="zh-CN"/>
              </w:rPr>
            </w:pPr>
            <w:r>
              <w:rPr>
                <w:rFonts w:hint="default"/>
                <w:color w:val="auto"/>
                <w:sz w:val="21"/>
                <w:szCs w:val="21"/>
              </w:rPr>
              <w:t>T</w:t>
            </w:r>
            <w:r>
              <w:rPr>
                <w:rFonts w:hint="eastAsia"/>
                <w:color w:val="auto"/>
                <w:sz w:val="21"/>
                <w:szCs w:val="21"/>
                <w:lang w:val="en-US" w:eastAsia="zh-CN"/>
              </w:rPr>
              <w:t>N</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559"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22</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2"/>
                <w:sz w:val="21"/>
                <w:szCs w:val="21"/>
                <w:lang w:val="en-US" w:eastAsia="zh-CN" w:bidi="ar-SA"/>
              </w:rPr>
            </w:pPr>
            <w:r>
              <w:rPr>
                <w:rFonts w:hint="eastAsia"/>
                <w:sz w:val="21"/>
                <w:szCs w:val="21"/>
              </w:rPr>
              <w:t>0.00</w:t>
            </w:r>
            <w:r>
              <w:rPr>
                <w:rFonts w:hint="eastAsia"/>
                <w:sz w:val="21"/>
                <w:szCs w:val="21"/>
                <w:lang w:val="en-US" w:eastAsia="zh-CN"/>
              </w:rPr>
              <w:t>22</w:t>
            </w:r>
          </w:p>
        </w:tc>
        <w:tc>
          <w:tcPr>
            <w:tcW w:w="1144" w:type="dxa"/>
            <w:noWrap w:val="0"/>
            <w:vAlign w:val="center"/>
          </w:tcPr>
          <w:p>
            <w:pPr>
              <w:keepNext w:val="0"/>
              <w:keepLines w:val="0"/>
              <w:suppressLineNumbers w:val="0"/>
              <w:tabs>
                <w:tab w:val="left" w:pos="3620"/>
              </w:tabs>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0.0022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r>
              <w:rPr>
                <w:rFonts w:hint="default" w:ascii="Times New Roman" w:hAnsi="宋体"/>
                <w:snapToGrid w:val="0"/>
                <w:color w:val="auto"/>
                <w:kern w:val="21"/>
                <w:sz w:val="21"/>
                <w:szCs w:val="21"/>
                <w:lang w:val="en-US" w:eastAsia="zh-CN"/>
              </w:rPr>
              <w:t>一般工业</w:t>
            </w:r>
          </w:p>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r>
              <w:rPr>
                <w:rFonts w:hint="default" w:ascii="Times New Roman" w:hAnsi="宋体"/>
                <w:snapToGrid w:val="0"/>
                <w:color w:val="auto"/>
                <w:kern w:val="21"/>
                <w:sz w:val="21"/>
                <w:szCs w:val="21"/>
                <w:lang w:val="en-US" w:eastAsia="zh-CN"/>
              </w:rPr>
              <w:t>固体废物</w:t>
            </w:r>
          </w:p>
        </w:tc>
        <w:tc>
          <w:tcPr>
            <w:tcW w:w="1843"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原辅料废包装袋</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snapToGrid w:val="0"/>
                <w:color w:val="auto"/>
                <w:kern w:val="21"/>
                <w:sz w:val="21"/>
                <w:szCs w:val="21"/>
                <w:lang w:val="en-US" w:eastAsia="zh-CN"/>
              </w:rPr>
              <w:t>10</w:t>
            </w:r>
          </w:p>
        </w:tc>
        <w:tc>
          <w:tcPr>
            <w:tcW w:w="1761" w:type="dxa"/>
            <w:noWrap w:val="0"/>
            <w:vAlign w:val="center"/>
          </w:tcPr>
          <w:p>
            <w:pPr>
              <w:keepNext w:val="0"/>
              <w:keepLines w:val="0"/>
              <w:suppressLineNumbers w:val="0"/>
              <w:spacing w:before="0" w:beforeAutospacing="0" w:after="0" w:afterAutospacing="0"/>
              <w:ind w:left="0" w:right="0"/>
              <w:jc w:val="center"/>
              <w:rPr>
                <w:rFonts w:hint="default"/>
                <w:color w:val="auto"/>
                <w:sz w:val="21"/>
                <w:szCs w:val="21"/>
              </w:rPr>
            </w:pPr>
            <w:r>
              <w:rPr>
                <w:rFonts w:hint="default"/>
                <w:snapToGrid w:val="0"/>
                <w:color w:val="auto"/>
                <w:kern w:val="21"/>
                <w:sz w:val="21"/>
                <w:szCs w:val="21"/>
              </w:rPr>
              <w:t>0</w:t>
            </w:r>
          </w:p>
        </w:tc>
        <w:tc>
          <w:tcPr>
            <w:tcW w:w="164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snapToGrid w:val="0"/>
                <w:color w:val="auto"/>
                <w:kern w:val="21"/>
                <w:sz w:val="21"/>
                <w:szCs w:val="21"/>
                <w:lang w:val="en-US" w:eastAsia="zh-CN"/>
              </w:rPr>
              <w:t>10</w:t>
            </w:r>
          </w:p>
        </w:tc>
        <w:tc>
          <w:tcPr>
            <w:tcW w:w="114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color w:val="auto"/>
                <w:sz w:val="21"/>
                <w:szCs w:val="21"/>
                <w:lang w:val="en-US" w:eastAsia="zh-CN"/>
              </w:rPr>
            </w:pPr>
            <w:r>
              <w:rPr>
                <w:rFonts w:hint="eastAsia"/>
                <w:snapToGrid w:val="0"/>
                <w:color w:val="auto"/>
                <w:kern w:val="21"/>
                <w:sz w:val="21"/>
                <w:szCs w:val="21"/>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restart"/>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snapToGrid w:val="0"/>
                <w:color w:val="auto"/>
                <w:kern w:val="21"/>
                <w:sz w:val="21"/>
                <w:szCs w:val="21"/>
                <w:lang w:val="en-US" w:eastAsia="zh-CN"/>
              </w:rPr>
            </w:pPr>
            <w:r>
              <w:rPr>
                <w:rFonts w:hint="eastAsia" w:ascii="Times New Roman"/>
                <w:snapToGrid w:val="0"/>
                <w:color w:val="auto"/>
                <w:kern w:val="21"/>
                <w:sz w:val="21"/>
                <w:szCs w:val="21"/>
                <w:lang w:val="en-US" w:eastAsia="zh-CN"/>
              </w:rPr>
              <w:t>危险废物</w:t>
            </w:r>
          </w:p>
        </w:tc>
        <w:tc>
          <w:tcPr>
            <w:tcW w:w="1843"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废导热油</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0.3</w:t>
            </w:r>
          </w:p>
        </w:tc>
        <w:tc>
          <w:tcPr>
            <w:tcW w:w="176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0.3</w:t>
            </w:r>
          </w:p>
        </w:tc>
        <w:tc>
          <w:tcPr>
            <w:tcW w:w="114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0" w:beforeLines="0" w:beforeAutospacing="0" w:after="0" w:afterLines="0" w:afterAutospacing="0" w:line="240" w:lineRule="auto"/>
              <w:ind w:left="0" w:right="0"/>
              <w:rPr>
                <w:rFonts w:hint="eastAsia" w:ascii="Times New Roman"/>
                <w:snapToGrid w:val="0"/>
                <w:color w:val="auto"/>
                <w:kern w:val="21"/>
                <w:sz w:val="21"/>
                <w:szCs w:val="21"/>
                <w:lang w:val="en-US" w:eastAsia="zh-CN"/>
              </w:rPr>
            </w:pPr>
          </w:p>
        </w:tc>
        <w:tc>
          <w:tcPr>
            <w:tcW w:w="1843"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default" w:ascii="Times New Roman" w:hAnsi="宋体"/>
                <w:snapToGrid w:val="0"/>
                <w:color w:val="auto"/>
                <w:kern w:val="21"/>
                <w:sz w:val="21"/>
                <w:szCs w:val="21"/>
                <w:lang w:val="en-US" w:eastAsia="zh-CN"/>
              </w:rPr>
            </w:pPr>
            <w:r>
              <w:rPr>
                <w:rFonts w:hint="eastAsia" w:ascii="Times New Roman" w:hAnsi="宋体"/>
                <w:snapToGrid w:val="0"/>
                <w:color w:val="auto"/>
                <w:kern w:val="21"/>
                <w:sz w:val="21"/>
                <w:szCs w:val="21"/>
                <w:lang w:val="en-US" w:eastAsia="zh-CN"/>
              </w:rPr>
              <w:t>废活性炭</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0.55</w:t>
            </w:r>
          </w:p>
        </w:tc>
        <w:tc>
          <w:tcPr>
            <w:tcW w:w="1761" w:type="dxa"/>
            <w:noWrap w:val="0"/>
            <w:vAlign w:val="center"/>
          </w:tcPr>
          <w:p>
            <w:pPr>
              <w:keepNext w:val="0"/>
              <w:keepLines w:val="0"/>
              <w:suppressLineNumbers w:val="0"/>
              <w:spacing w:before="0" w:beforeAutospacing="0" w:after="0" w:afterAutospacing="0"/>
              <w:ind w:left="0" w:right="0"/>
              <w:jc w:val="center"/>
              <w:rPr>
                <w:rFonts w:hint="eastAsia" w:eastAsia="宋体"/>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0.55</w:t>
            </w:r>
          </w:p>
        </w:tc>
        <w:tc>
          <w:tcPr>
            <w:tcW w:w="114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eastAsia="宋体"/>
                <w:snapToGrid w:val="0"/>
                <w:color w:val="auto"/>
                <w:kern w:val="21"/>
                <w:sz w:val="21"/>
                <w:szCs w:val="21"/>
                <w:lang w:val="en-US" w:eastAsia="zh-CN"/>
              </w:rPr>
            </w:pPr>
            <w:r>
              <w:rPr>
                <w:rFonts w:hint="eastAsia"/>
                <w:snapToGrid w:val="0"/>
                <w:color w:val="auto"/>
                <w:kern w:val="21"/>
                <w:sz w:val="21"/>
                <w:szCs w:val="21"/>
                <w:lang w:val="en-US" w:eastAsia="zh-CN"/>
              </w:rPr>
              <w:t>0.55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62" w:type="dxa"/>
            <w:vMerge w:val="continue"/>
            <w:noWrap w:val="0"/>
            <w:vAlign w:val="center"/>
          </w:tcPr>
          <w:p>
            <w:pPr>
              <w:pStyle w:val="48"/>
              <w:keepNext w:val="0"/>
              <w:keepLines w:val="0"/>
              <w:suppressLineNumbers w:val="0"/>
              <w:spacing w:before="0" w:beforeLines="0" w:beforeAutospacing="0" w:after="0" w:afterLines="0" w:afterAutospacing="0" w:line="240" w:lineRule="auto"/>
              <w:ind w:left="0" w:right="0"/>
              <w:rPr>
                <w:rFonts w:hint="eastAsia" w:ascii="Times New Roman"/>
                <w:snapToGrid w:val="0"/>
                <w:color w:val="auto"/>
                <w:kern w:val="21"/>
                <w:sz w:val="21"/>
                <w:szCs w:val="21"/>
                <w:lang w:val="en-US" w:eastAsia="zh-CN"/>
              </w:rPr>
            </w:pPr>
          </w:p>
        </w:tc>
        <w:tc>
          <w:tcPr>
            <w:tcW w:w="1843" w:type="dxa"/>
            <w:noWrap w:val="0"/>
            <w:vAlign w:val="center"/>
          </w:tcPr>
          <w:p>
            <w:pPr>
              <w:pStyle w:val="48"/>
              <w:keepNext w:val="0"/>
              <w:keepLines w:val="0"/>
              <w:suppressLineNumbers w:val="0"/>
              <w:spacing w:before="0" w:beforeLines="0" w:beforeAutospacing="0" w:after="0" w:afterLines="0" w:afterAutospacing="0" w:line="240" w:lineRule="auto"/>
              <w:ind w:left="0" w:right="0"/>
              <w:rPr>
                <w:rFonts w:hint="eastAsia" w:ascii="Times New Roman" w:hAnsi="宋体"/>
                <w:snapToGrid w:val="0"/>
                <w:color w:val="auto"/>
                <w:kern w:val="21"/>
                <w:sz w:val="21"/>
                <w:szCs w:val="21"/>
                <w:lang w:val="en-US" w:eastAsia="zh-CN"/>
              </w:rPr>
            </w:pPr>
            <w:r>
              <w:rPr>
                <w:rFonts w:hint="eastAsia" w:cs="Times New Roman"/>
                <w:color w:val="auto"/>
                <w:sz w:val="24"/>
                <w:lang w:val="en-US" w:eastAsia="zh-CN"/>
              </w:rPr>
              <w:t>废催化剂</w:t>
            </w:r>
          </w:p>
        </w:tc>
        <w:tc>
          <w:tcPr>
            <w:tcW w:w="1701"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276"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701"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55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c>
          <w:tcPr>
            <w:tcW w:w="1761" w:type="dxa"/>
            <w:noWrap w:val="0"/>
            <w:vAlign w:val="center"/>
          </w:tcPr>
          <w:p>
            <w:pPr>
              <w:keepNext w:val="0"/>
              <w:keepLines w:val="0"/>
              <w:suppressLineNumbers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w:t>
            </w:r>
          </w:p>
        </w:tc>
        <w:tc>
          <w:tcPr>
            <w:tcW w:w="164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c>
          <w:tcPr>
            <w:tcW w:w="114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napToGrid w:val="0"/>
                <w:color w:val="auto"/>
                <w:kern w:val="21"/>
                <w:sz w:val="21"/>
                <w:szCs w:val="21"/>
                <w:lang w:val="en-US" w:eastAsia="zh-CN"/>
              </w:rPr>
            </w:pPr>
            <w:r>
              <w:rPr>
                <w:rFonts w:hint="eastAsia"/>
                <w:snapToGrid w:val="0"/>
                <w:color w:val="auto"/>
                <w:kern w:val="21"/>
                <w:sz w:val="21"/>
                <w:szCs w:val="21"/>
                <w:lang w:val="en-US" w:eastAsia="zh-CN"/>
              </w:rPr>
              <w:t>0.1</w:t>
            </w:r>
          </w:p>
        </w:tc>
      </w:tr>
    </w:tbl>
    <w:p>
      <w:pPr>
        <w:rPr>
          <w:rFonts w:ascii="宋体" w:hAnsi="宋体" w:eastAsia="黑体"/>
        </w:rPr>
      </w:pPr>
    </w:p>
    <w:p>
      <w:pPr>
        <w:jc w:val="center"/>
        <w:rPr>
          <w:rFonts w:hint="eastAsia" w:eastAsia="宋体"/>
          <w:b/>
          <w:sz w:val="36"/>
          <w:szCs w:val="36"/>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rFonts w:ascii="宋体" w:hAnsi="宋体" w:eastAsia="黑体"/>
        </w:rPr>
        <w:t>注：</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3 \* GB3 \* MERGEFORMAT </w:instrText>
      </w:r>
      <w:r>
        <w:rPr>
          <w:rFonts w:ascii="宋体" w:hAnsi="宋体" w:eastAsia="黑体"/>
        </w:rPr>
        <w:fldChar w:fldCharType="separate"/>
      </w:r>
      <w:r>
        <w:rPr>
          <w:rFonts w:hint="eastAsia" w:ascii="宋体" w:hAnsi="宋体" w:eastAsia="黑体"/>
        </w:rPr>
        <w:t>③</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4 \* GB3 \* MERGEFORMAT </w:instrText>
      </w:r>
      <w:r>
        <w:rPr>
          <w:rFonts w:ascii="宋体" w:hAnsi="宋体" w:eastAsia="黑体"/>
        </w:rPr>
        <w:fldChar w:fldCharType="separate"/>
      </w:r>
      <w:r>
        <w:rPr>
          <w:rFonts w:hint="eastAsia" w:ascii="宋体" w:hAnsi="宋体" w:eastAsia="黑体"/>
        </w:rPr>
        <w:t>④</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5 \* GB3 \* MERGEFORMAT </w:instrText>
      </w:r>
      <w:r>
        <w:rPr>
          <w:rFonts w:ascii="宋体" w:hAnsi="宋体" w:eastAsia="黑体"/>
        </w:rPr>
        <w:fldChar w:fldCharType="separate"/>
      </w:r>
      <w:r>
        <w:rPr>
          <w:rFonts w:hint="eastAsia" w:ascii="宋体" w:hAnsi="宋体" w:eastAsia="黑体"/>
        </w:rPr>
        <w:t>⑤</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7 \* GB3 \* MERGEFORMAT </w:instrText>
      </w:r>
      <w:r>
        <w:rPr>
          <w:rFonts w:ascii="宋体" w:hAnsi="宋体" w:eastAsia="黑体"/>
        </w:rPr>
        <w:fldChar w:fldCharType="separate"/>
      </w:r>
      <w:r>
        <w:rPr>
          <w:rFonts w:hint="eastAsia" w:ascii="宋体" w:hAnsi="宋体" w:eastAsia="黑体"/>
        </w:rPr>
        <w:t>⑦</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6 \* GB3 \* MERGEFORMAT </w:instrText>
      </w:r>
      <w:r>
        <w:rPr>
          <w:rFonts w:ascii="宋体" w:hAnsi="宋体" w:eastAsia="黑体"/>
        </w:rPr>
        <w:fldChar w:fldCharType="separate"/>
      </w:r>
      <w:r>
        <w:rPr>
          <w:rFonts w:hint="eastAsia" w:ascii="宋体" w:hAnsi="宋体" w:eastAsia="黑体"/>
        </w:rPr>
        <w:t>⑥</w:t>
      </w:r>
      <w:r>
        <w:rPr>
          <w:rFonts w:ascii="宋体" w:hAnsi="宋体" w:eastAsia="黑体"/>
        </w:rPr>
        <w:fldChar w:fldCharType="end"/>
      </w:r>
      <w:r>
        <w:rPr>
          <w:rFonts w:ascii="宋体" w:hAnsi="宋体" w:eastAsia="黑体"/>
        </w:rPr>
        <w:t>-</w:t>
      </w:r>
      <w:r>
        <w:rPr>
          <w:rFonts w:ascii="宋体" w:hAnsi="宋体" w:eastAsia="黑体"/>
        </w:rPr>
        <w:fldChar w:fldCharType="begin"/>
      </w:r>
      <w:r>
        <w:rPr>
          <w:rFonts w:ascii="宋体" w:hAnsi="宋体" w:eastAsia="黑体"/>
        </w:rPr>
        <w:instrText xml:space="preserve"> = 1 \* GB3 \* MERGEFORMAT </w:instrText>
      </w:r>
      <w:r>
        <w:rPr>
          <w:rFonts w:ascii="宋体" w:hAnsi="宋体" w:eastAsia="黑体"/>
        </w:rPr>
        <w:fldChar w:fldCharType="separate"/>
      </w:r>
      <w:r>
        <w:rPr>
          <w:rFonts w:hint="eastAsia" w:ascii="宋体" w:hAnsi="宋体" w:eastAsia="黑体"/>
        </w:rPr>
        <w:t>①</w:t>
      </w:r>
      <w:r>
        <w:rPr>
          <w:rFonts w:ascii="宋体" w:hAnsi="宋体" w:eastAsia="黑体"/>
        </w:rPr>
        <w:fldChar w:fldCharType="end"/>
      </w:r>
    </w:p>
    <w:p>
      <w:pPr>
        <w:pStyle w:val="2"/>
      </w:pPr>
      <w:r>
        <w:rPr>
          <w:rFonts w:hint="eastAsia" w:eastAsia="宋体"/>
          <w:b/>
          <w:sz w:val="36"/>
          <w:szCs w:val="36"/>
          <w:lang w:eastAsia="zh-CN"/>
        </w:rPr>
        <w:drawing>
          <wp:anchor distT="0" distB="0" distL="114300" distR="114300" simplePos="0" relativeHeight="251667456" behindDoc="0" locked="0" layoutInCell="1" allowOverlap="1">
            <wp:simplePos x="0" y="0"/>
            <wp:positionH relativeFrom="column">
              <wp:posOffset>6350</wp:posOffset>
            </wp:positionH>
            <wp:positionV relativeFrom="paragraph">
              <wp:posOffset>106680</wp:posOffset>
            </wp:positionV>
            <wp:extent cx="7559040" cy="10473055"/>
            <wp:effectExtent l="0" t="0" r="3810" b="4445"/>
            <wp:wrapNone/>
            <wp:docPr id="7" name="图片 7"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委托书"/>
                    <pic:cNvPicPr>
                      <a:picLocks noChangeAspect="1"/>
                    </pic:cNvPicPr>
                  </pic:nvPicPr>
                  <pic:blipFill>
                    <a:blip r:embed="rId17"/>
                    <a:stretch>
                      <a:fillRect/>
                    </a:stretch>
                  </pic:blipFill>
                  <pic:spPr>
                    <a:xfrm>
                      <a:off x="0" y="0"/>
                      <a:ext cx="7559040" cy="10473055"/>
                    </a:xfrm>
                    <a:prstGeom prst="rect">
                      <a:avLst/>
                    </a:prstGeom>
                  </pic:spPr>
                </pic:pic>
              </a:graphicData>
            </a:graphic>
          </wp:anchor>
        </w:drawing>
      </w:r>
    </w:p>
    <w:p>
      <w:pPr>
        <w:rPr>
          <w:rFonts w:hint="default"/>
          <w:lang w:val="en-US" w:eastAsia="zh-CN"/>
        </w:rPr>
        <w:sectPr>
          <w:footerReference r:id="rId5" w:type="default"/>
          <w:pgSz w:w="11906" w:h="16838"/>
          <w:pgMar w:top="0" w:right="0" w:bottom="0" w:left="0" w:header="851" w:footer="992" w:gutter="0"/>
          <w:cols w:space="425" w:num="1"/>
          <w:docGrid w:type="lines" w:linePitch="312" w:charSpace="0"/>
        </w:sectPr>
      </w:pPr>
    </w:p>
    <w:p>
      <w:pPr>
        <w:pStyle w:val="2"/>
        <w:rPr>
          <w:rFonts w:hint="default"/>
          <w:lang w:val="en-US" w:eastAsia="zh-CN"/>
        </w:rPr>
        <w:sectPr>
          <w:pgSz w:w="11906" w:h="16838"/>
          <w:pgMar w:top="0" w:right="0" w:bottom="0" w:left="0" w:header="851" w:footer="992" w:gutter="0"/>
          <w:cols w:space="425" w:num="1"/>
          <w:docGrid w:type="lines" w:linePitch="312" w:charSpace="0"/>
        </w:sectPr>
      </w:pPr>
      <w:r>
        <w:rPr>
          <w:rFonts w:hint="default" w:eastAsia="宋体"/>
          <w:lang w:val="en-US"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118110</wp:posOffset>
            </wp:positionV>
            <wp:extent cx="7560310" cy="10222865"/>
            <wp:effectExtent l="0" t="0" r="2540" b="6985"/>
            <wp:wrapNone/>
            <wp:docPr id="9" name="图片 9" descr="备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备案"/>
                    <pic:cNvPicPr>
                      <a:picLocks noChangeAspect="1"/>
                    </pic:cNvPicPr>
                  </pic:nvPicPr>
                  <pic:blipFill>
                    <a:blip r:embed="rId18"/>
                    <a:stretch>
                      <a:fillRect/>
                    </a:stretch>
                  </pic:blipFill>
                  <pic:spPr>
                    <a:xfrm>
                      <a:off x="0" y="0"/>
                      <a:ext cx="7560310" cy="10222865"/>
                    </a:xfrm>
                    <a:prstGeom prst="rect">
                      <a:avLst/>
                    </a:prstGeom>
                  </pic:spPr>
                </pic:pic>
              </a:graphicData>
            </a:graphic>
          </wp:anchor>
        </w:drawing>
      </w:r>
    </w:p>
    <w:p>
      <w:pPr>
        <w:rPr>
          <w:rFonts w:hint="default"/>
          <w:lang w:val="en-US" w:eastAsia="zh-CN"/>
        </w:rPr>
        <w:sectPr>
          <w:pgSz w:w="11906" w:h="16838"/>
          <w:pgMar w:top="0" w:right="0" w:bottom="0" w:left="0" w:header="851" w:footer="992" w:gutter="0"/>
          <w:cols w:space="425" w:num="1"/>
          <w:docGrid w:type="lines" w:linePitch="312" w:charSpace="0"/>
        </w:sectPr>
      </w:pPr>
      <w:r>
        <w:rPr>
          <w:rFonts w:hint="default"/>
          <w:lang w:val="en-US" w:eastAsia="zh-CN"/>
        </w:rPr>
        <w:drawing>
          <wp:anchor distT="0" distB="0" distL="114300" distR="114300" simplePos="0" relativeHeight="251666432" behindDoc="0" locked="0" layoutInCell="1" allowOverlap="1">
            <wp:simplePos x="0" y="0"/>
            <wp:positionH relativeFrom="column">
              <wp:posOffset>10160</wp:posOffset>
            </wp:positionH>
            <wp:positionV relativeFrom="paragraph">
              <wp:posOffset>76200</wp:posOffset>
            </wp:positionV>
            <wp:extent cx="7554595" cy="10390505"/>
            <wp:effectExtent l="0" t="0" r="8255" b="10795"/>
            <wp:wrapNone/>
            <wp:docPr id="10" name="图片 10" descr="租赁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租赁合同"/>
                    <pic:cNvPicPr>
                      <a:picLocks noChangeAspect="1"/>
                    </pic:cNvPicPr>
                  </pic:nvPicPr>
                  <pic:blipFill>
                    <a:blip r:embed="rId19"/>
                    <a:stretch>
                      <a:fillRect/>
                    </a:stretch>
                  </pic:blipFill>
                  <pic:spPr>
                    <a:xfrm>
                      <a:off x="0" y="0"/>
                      <a:ext cx="7554595" cy="10390505"/>
                    </a:xfrm>
                    <a:prstGeom prst="rect">
                      <a:avLst/>
                    </a:prstGeom>
                  </pic:spPr>
                </pic:pic>
              </a:graphicData>
            </a:graphic>
          </wp:anchor>
        </w:drawing>
      </w:r>
    </w:p>
    <w:p>
      <w:pPr>
        <w:rPr>
          <w:rFonts w:hint="default"/>
          <w:lang w:val="en-US" w:eastAsia="zh-CN"/>
        </w:rPr>
      </w:pPr>
      <w:r>
        <w:drawing>
          <wp:anchor distT="0" distB="0" distL="114300" distR="114300" simplePos="0" relativeHeight="251668480" behindDoc="0" locked="0" layoutInCell="1" allowOverlap="1">
            <wp:simplePos x="0" y="0"/>
            <wp:positionH relativeFrom="column">
              <wp:posOffset>-104775</wp:posOffset>
            </wp:positionH>
            <wp:positionV relativeFrom="paragraph">
              <wp:posOffset>-516890</wp:posOffset>
            </wp:positionV>
            <wp:extent cx="5914390" cy="8964295"/>
            <wp:effectExtent l="0" t="0" r="10160" b="8255"/>
            <wp:wrapNone/>
            <wp:docPr id="18" name="图片 7" descr="C:\Users\DELL\Desktop\新乡经济技术规划图-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DELL\Desktop\新乡经济技术规划图-新.png"/>
                    <pic:cNvPicPr>
                      <a:picLocks noChangeAspect="1"/>
                    </pic:cNvPicPr>
                  </pic:nvPicPr>
                  <pic:blipFill>
                    <a:blip r:embed="rId20"/>
                    <a:stretch>
                      <a:fillRect/>
                    </a:stretch>
                  </pic:blipFill>
                  <pic:spPr>
                    <a:xfrm>
                      <a:off x="0" y="0"/>
                      <a:ext cx="5914390" cy="8964295"/>
                    </a:xfrm>
                    <a:prstGeom prst="rect">
                      <a:avLst/>
                    </a:prstGeom>
                    <a:noFill/>
                    <a:ln>
                      <a:noFill/>
                    </a:ln>
                  </pic:spPr>
                </pic:pic>
              </a:graphicData>
            </a:graphic>
          </wp:anchor>
        </w:drawing>
      </w:r>
    </w:p>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mc:AlternateContent>
          <mc:Choice Requires="wps">
            <w:drawing>
              <wp:anchor distT="0" distB="0" distL="114300" distR="114300" simplePos="0" relativeHeight="251707392" behindDoc="0" locked="0" layoutInCell="1" allowOverlap="1">
                <wp:simplePos x="0" y="0"/>
                <wp:positionH relativeFrom="column">
                  <wp:posOffset>60960</wp:posOffset>
                </wp:positionH>
                <wp:positionV relativeFrom="paragraph">
                  <wp:posOffset>8378825</wp:posOffset>
                </wp:positionV>
                <wp:extent cx="5396865" cy="51625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5396865" cy="516255"/>
                        </a:xfrm>
                        <a:prstGeom prst="rect">
                          <a:avLst/>
                        </a:prstGeom>
                        <a:noFill/>
                        <a:ln w="12700" cmpd="sng">
                          <a:noFill/>
                          <a:prstDash val="solid"/>
                        </a:ln>
                      </wps:spPr>
                      <wps:txbx>
                        <w:txbxContent>
                          <w:p>
                            <w:pPr>
                              <w:jc w:val="center"/>
                              <w:rPr>
                                <w:rFonts w:hint="default" w:eastAsia="宋体"/>
                                <w:b/>
                                <w:sz w:val="30"/>
                                <w:szCs w:val="30"/>
                                <w:lang w:val="en-US" w:eastAsia="zh-CN"/>
                              </w:rPr>
                            </w:pPr>
                            <w:r>
                              <w:rPr>
                                <w:rFonts w:hint="eastAsia"/>
                                <w:b/>
                                <w:sz w:val="30"/>
                                <w:szCs w:val="30"/>
                                <w:lang w:val="en-US" w:eastAsia="zh-CN"/>
                              </w:rPr>
                              <w:t xml:space="preserve">附图1 </w:t>
                            </w:r>
                            <w:r>
                              <w:rPr>
                                <w:rFonts w:hint="eastAsia"/>
                                <w:b/>
                                <w:sz w:val="30"/>
                                <w:szCs w:val="30"/>
                              </w:rPr>
                              <w:t xml:space="preserve">  </w:t>
                            </w:r>
                            <w:r>
                              <w:rPr>
                                <w:rFonts w:hint="eastAsia"/>
                                <w:b/>
                                <w:sz w:val="30"/>
                                <w:szCs w:val="30"/>
                                <w:lang w:val="en-US" w:eastAsia="zh-CN"/>
                              </w:rPr>
                              <w:t>新乡经济技术产业集聚区总体发展规划图</w:t>
                            </w:r>
                          </w:p>
                        </w:txbxContent>
                      </wps:txbx>
                      <wps:bodyPr wrap="square" upright="1"/>
                    </wps:wsp>
                  </a:graphicData>
                </a:graphic>
              </wp:anchor>
            </w:drawing>
          </mc:Choice>
          <mc:Fallback>
            <w:pict>
              <v:shape id="_x0000_s1026" o:spid="_x0000_s1026" o:spt="202" type="#_x0000_t202" style="position:absolute;left:0pt;margin-left:4.8pt;margin-top:659.75pt;height:40.65pt;width:424.95pt;z-index:251707392;mso-width-relative:page;mso-height-relative:page;" filled="f" stroked="f" coordsize="21600,21600" o:gfxdata="UEsDBAoAAAAAAIdO4kAAAAAAAAAAAAAAAAAEAAAAZHJzL1BLAwQUAAAACACHTuJA1jiN7NgAAAAL&#10;AQAADwAAAGRycy9kb3ducmV2LnhtbE2PQU/DMAyF70j8h8hI3FjSjU1taToBEgcOOzDg7jZeW61J&#10;SpN1Y79+3glu9vPz8+difbK9mGgMnXcakpkCQa72pnONhq/Pt4cURIjoDPbekYZfCrAub28KzI0/&#10;ug+atrERHOJCjhraGIdcylC3ZDHM/ECOZzs/Wozcjo00Ix453PZyrtRKWuwcX2hxoNeW6v32YBlj&#10;+q4WWXz2IWx285f3M26q/Y/W93eJegIR6RT/zHDF5x0omanyB2eC6DVkKzayvEiyJQg2pMtrUbH0&#10;qFQKsizk/x/KC1BLAwQUAAAACACHTuJAsXn3ONMBAACMAwAADgAAAGRycy9lMm9Eb2MueG1srVNL&#10;btswEN0X6B0I7mvJLuQmguUAhZFuirZAmgPQFCkR4K8c2pIv0N6gq26677l8jg4pxQnSTRbdUOR8&#10;3sx7M9rcjEaTowignG3oclFSIix3rbJdQ++/3r65ogQisy3TzoqGngTQm+3rV5vB12LleqdbEQiC&#10;WKgH39A+Rl8XBfBeGAYL54VFp3TBsIjP0BVtYAOiG12synJdDC60PjguANC6m5x0RgwvAXRSKi52&#10;jh+MsHFCDUKziJSgVx7oNncrpeDxs5QgItENRaYxn1gE7/t0FtsNq7vAfK/43AJ7SQvPOBmmLBa9&#10;QO1YZOQQ1D9QRvHgwMm44M4UE5GsCLJYls+0ueuZF5kLSg3+Ijr8P1j+6fglENXiJlxTYpnBiZ9/&#10;/jj/+nP+/Z2gDQUaPNQYd+cxMo7v3YjBD3ZAY+I9ymDSFxkR9KO8p4u8YoyEo7F6e72+WleUcPRV&#10;y/WqqhJM8ZjtA8QPwhmSLg0NOL6sKjt+hDiFPoSkYtbdKq3zCLUlA7a1eldiaW48EgLb5eQnUSl5&#10;x6AnR4b7AE6rdu5AW2wkEZ0IpVsc9+PMfu/aE5IfcE8w7duBBUHJwQfV9dhmFiMn45Ayn3mh0hY8&#10;fecSjz/R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WOI3s2AAAAAsBAAAPAAAAAAAAAAEAIAAA&#10;ACIAAABkcnMvZG93bnJldi54bWxQSwECFAAUAAAACACHTuJAsXn3ONMBAACMAwAADgAAAAAAAAAB&#10;ACAAAAAnAQAAZHJzL2Uyb0RvYy54bWxQSwUGAAAAAAYABgBZAQAAbAUAAAAA&#10;">
                <v:fill on="f" focussize="0,0"/>
                <v:stroke on="f" weight="1pt"/>
                <v:imagedata o:title=""/>
                <o:lock v:ext="edit" aspectratio="f"/>
                <v:textbox>
                  <w:txbxContent>
                    <w:p>
                      <w:pPr>
                        <w:jc w:val="center"/>
                        <w:rPr>
                          <w:rFonts w:hint="default" w:eastAsia="宋体"/>
                          <w:b/>
                          <w:sz w:val="30"/>
                          <w:szCs w:val="30"/>
                          <w:lang w:val="en-US" w:eastAsia="zh-CN"/>
                        </w:rPr>
                      </w:pPr>
                      <w:r>
                        <w:rPr>
                          <w:rFonts w:hint="eastAsia"/>
                          <w:b/>
                          <w:sz w:val="30"/>
                          <w:szCs w:val="30"/>
                          <w:lang w:val="en-US" w:eastAsia="zh-CN"/>
                        </w:rPr>
                        <w:t xml:space="preserve">附图1 </w:t>
                      </w:r>
                      <w:r>
                        <w:rPr>
                          <w:rFonts w:hint="eastAsia"/>
                          <w:b/>
                          <w:sz w:val="30"/>
                          <w:szCs w:val="30"/>
                        </w:rPr>
                        <w:t xml:space="preserve">  </w:t>
                      </w:r>
                      <w:r>
                        <w:rPr>
                          <w:rFonts w:hint="eastAsia"/>
                          <w:b/>
                          <w:sz w:val="30"/>
                          <w:szCs w:val="30"/>
                          <w:lang w:val="en-US" w:eastAsia="zh-CN"/>
                        </w:rPr>
                        <w:t>新乡经济技术产业集聚区总体发展规划图</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2390775</wp:posOffset>
                </wp:positionH>
                <wp:positionV relativeFrom="paragraph">
                  <wp:posOffset>5539740</wp:posOffset>
                </wp:positionV>
                <wp:extent cx="1038225" cy="611505"/>
                <wp:effectExtent l="601345" t="984885" r="17780" b="22860"/>
                <wp:wrapNone/>
                <wp:docPr id="11" name="矩形标注 11"/>
                <wp:cNvGraphicFramePr/>
                <a:graphic xmlns:a="http://schemas.openxmlformats.org/drawingml/2006/main">
                  <a:graphicData uri="http://schemas.microsoft.com/office/word/2010/wordprocessingShape">
                    <wps:wsp>
                      <wps:cNvSpPr/>
                      <wps:spPr>
                        <a:xfrm>
                          <a:off x="2564765" y="6749415"/>
                          <a:ext cx="1038225" cy="611505"/>
                        </a:xfrm>
                        <a:prstGeom prst="wedgeRectCallout">
                          <a:avLst>
                            <a:gd name="adj1" fmla="val -107308"/>
                            <a:gd name="adj2" fmla="val -210020"/>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88.25pt;margin-top:436.2pt;height:48.15pt;width:81.75pt;z-index:251669504;v-text-anchor:middle;mso-width-relative:page;mso-height-relative:page;" filled="f" stroked="t" coordsize="21600,21600" o:gfxdata="UEsDBAoAAAAAAIdO4kAAAAAAAAAAAAAAAAAEAAAAZHJzL1BLAwQUAAAACACHTuJACCZ5m9sAAAAL&#10;AQAADwAAAGRycy9kb3ducmV2LnhtbE2Py07DMBBF90j8gzVI7KiTPpIQMqkQoqwooi0L2E1ik0TE&#10;4yh2m/L3mBUsR3N077nF+mx6cdKj6ywjxLMIhObaqo4bhLfD5iYD4Tyxot6yRvjWDtbl5UVBubIT&#10;7/Rp7xsRQtjlhNB6P+RSurrVhtzMDprD79OOhnw4x0aqkaYQbno5j6JEGuo4NLQ06IdW11/7o0HY&#10;+s3je7yge/9UVZTyy/TRPL8iXl/F0R0Ir8/+D4Zf/aAOZXCq7JGVEz3CIk1WAUXI0vkSRCBWyyis&#10;qxBukywFWRby/4byB1BLAwQUAAAACACHTuJAzVwRnqsCAAA0BQAADgAAAGRycy9lMm9Eb2MueG1s&#10;rVTNbhMxEL4j8Q6W7+3+ND9t1E0VJSpCqmhFQZwdrze7yGsb22lSXoDHAHGCM2ceh/IafPZu27Rw&#10;6IEcNuOdb7+Z+WbGxyfbVpIrYV2jVUGz/ZQSobguG7Uq6Ns3p3uHlDjPVMmkVqKg18LRk+nzZ8cb&#10;MxG5rrUshSUgUW6yMQWtvTeTJHG8Fi1z+9oIBWelbcs8jnaVlJZtwN7KJE/TUbLRtjRWc+Ec3i46&#10;J+0Z7VMIdVU1XCw0X7dC+Y7VCsk8SnJ1YxydxmyrSnB/XlVOeCILikp9fCII7GV4JtNjNllZZuqG&#10;9ymwp6TwqKaWNQpB76gWzDOyts1fVG3DrXa68vtct0lXSFQEVWTpI20ua2ZErAVSO3Mnuvt/tPzV&#10;1YUlTYlJyChRrEXHf3/+/uvn15svn25+fCN4DY02xk0AvTQXtj85mKHgbWXb8I9SyLag+XA0GI+G&#10;lFwXdDQeHA2yYaex2HrCAcjSg8M8B4AHRJYN0whI7pmMdf6F0C0JRkE3olyJ12jknEmp1z7KzK7O&#10;nI96l33SrHyPAqpWon1XTJK9LB0fpId9g3dQ+QNUnqVpHscAGfSssG5zCCGUPm2kjIMiFdmghHyc&#10;Yn44w/RXmDqYrYGCTq0oYXKFteLexjydlk0ZPg9Ezq6Wc2kJ0sPoxV9ID+EewELsBXN1h4uuHiYV&#10;0KEVnfjB8tvltu/IUpfX6KXV3ZA7w08bUJ0x5y+YhSzIGXvvz/GopEYhurcoqbX9+K/3AY9hg5eS&#10;DbYERX5YMysokS8VxvAoGwzCWsXDYDiGlMTuepa7HrVu5xq1o1HILpoB7+WtWVndvsP1MAtR4WKK&#10;I3YnZ3+Y+257ccFwMZtFGFbJMH+mLg0P5F3TZmuvq8YHgYNQnTr9AcsUde8XP2zr7jmi7i+76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IJnmb2wAAAAsBAAAPAAAAAAAAAAEAIAAAACIAAABkcnMv&#10;ZG93bnJldi54bWxQSwECFAAUAAAACACHTuJAzVwRnqsCAAA0BQAADgAAAAAAAAABACAAAAAqAQAA&#10;ZHJzL2Uyb0RvYy54bWxQSwUGAAAAAAYABgBZAQAARwYAAAAA&#10;" adj="-12379,-34564">
                <v:fill on="f" focussize="0,0"/>
                <v:stroke weight="1pt" color="#000000 [3213]" joinstyle="round"/>
                <v:imagedata o:title=""/>
                <o:lock v:ext="edit" aspectratio="f"/>
                <v:textbo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v:textbox>
              </v:shape>
            </w:pict>
          </mc:Fallback>
        </mc:AlternateContent>
      </w:r>
    </w:p>
    <w:p>
      <w:pPr>
        <w:rPr>
          <w:rFonts w:hint="eastAsia" w:eastAsia="宋体"/>
          <w:lang w:eastAsia="zh-CN"/>
        </w:rPr>
        <w:sectPr>
          <w:pgSz w:w="11906" w:h="16838"/>
          <w:pgMar w:top="720" w:right="720" w:bottom="720" w:left="720" w:header="851" w:footer="992" w:gutter="0"/>
          <w:cols w:space="425" w:num="1"/>
          <w:docGrid w:type="lines" w:linePitch="312" w:charSpace="0"/>
        </w:sectPr>
      </w:pPr>
      <w:r>
        <mc:AlternateContent>
          <mc:Choice Requires="wps">
            <w:drawing>
              <wp:anchor distT="0" distB="0" distL="114300" distR="114300" simplePos="0" relativeHeight="251672576" behindDoc="0" locked="0" layoutInCell="1" allowOverlap="1">
                <wp:simplePos x="0" y="0"/>
                <wp:positionH relativeFrom="column">
                  <wp:posOffset>489585</wp:posOffset>
                </wp:positionH>
                <wp:positionV relativeFrom="paragraph">
                  <wp:posOffset>8874125</wp:posOffset>
                </wp:positionV>
                <wp:extent cx="5396865" cy="5162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397204" cy="515984"/>
                        </a:xfrm>
                        <a:prstGeom prst="rect">
                          <a:avLst/>
                        </a:prstGeom>
                        <a:noFill/>
                        <a:ln w="12700" cmpd="sng">
                          <a:noFill/>
                          <a:prstDash val="solid"/>
                        </a:ln>
                      </wps:spPr>
                      <wps:txbx>
                        <w:txbxContent>
                          <w:p>
                            <w:pPr>
                              <w:jc w:val="center"/>
                              <w:rPr>
                                <w:rFonts w:hint="default" w:eastAsia="宋体"/>
                                <w:b/>
                                <w:sz w:val="30"/>
                                <w:szCs w:val="30"/>
                                <w:lang w:val="en-US" w:eastAsia="zh-CN"/>
                              </w:rPr>
                            </w:pPr>
                            <w:r>
                              <w:rPr>
                                <w:rFonts w:hint="eastAsia"/>
                                <w:b/>
                                <w:sz w:val="30"/>
                                <w:szCs w:val="30"/>
                                <w:lang w:val="en-US" w:eastAsia="zh-CN"/>
                              </w:rPr>
                              <w:t xml:space="preserve">附图2 </w:t>
                            </w:r>
                            <w:r>
                              <w:rPr>
                                <w:rFonts w:hint="eastAsia"/>
                                <w:b/>
                                <w:sz w:val="30"/>
                                <w:szCs w:val="30"/>
                              </w:rPr>
                              <w:t xml:space="preserve">  </w:t>
                            </w:r>
                            <w:r>
                              <w:rPr>
                                <w:rFonts w:hint="eastAsia"/>
                                <w:b/>
                                <w:sz w:val="30"/>
                                <w:szCs w:val="30"/>
                                <w:lang w:val="en-US" w:eastAsia="zh-CN"/>
                              </w:rPr>
                              <w:t>七里营镇土地利用总体规划图</w:t>
                            </w:r>
                          </w:p>
                        </w:txbxContent>
                      </wps:txbx>
                      <wps:bodyPr wrap="square" upright="1"/>
                    </wps:wsp>
                  </a:graphicData>
                </a:graphic>
              </wp:anchor>
            </w:drawing>
          </mc:Choice>
          <mc:Fallback>
            <w:pict>
              <v:shape id="_x0000_s1026" o:spid="_x0000_s1026" o:spt="202" type="#_x0000_t202" style="position:absolute;left:0pt;margin-left:38.55pt;margin-top:698.75pt;height:40.65pt;width:424.95pt;z-index:251672576;mso-width-relative:page;mso-height-relative:page;" filled="f" stroked="f" coordsize="21600,21600" o:gfxdata="UEsDBAoAAAAAAIdO4kAAAAAAAAAAAAAAAAAEAAAAZHJzL1BLAwQUAAAACACHTuJAowDfjtoAAAAM&#10;AQAADwAAAGRycy9kb3ducmV2LnhtbE2PQU+DQBCF7yb+h82YeLMLVF2gLI2aePDQQ6u9DzAFUnYX&#10;2S2t/nrHkx7nzTdv3ivWFzOImSbfO6shXkQgyNau6W2r4eP99S4F4QPaBgdnScMXeViX11cF5o07&#10;2y3Nu9AKNrE+Rw1dCGMupa87MugXbiTLu4ObDAYep1Y2E57Z3AwyiaJHabC3/KHDkV46qo+7k+EY&#10;875aZuHJeb85JM9v37ipjp9a397E0QpEoEv4g+E3Pt9AyZkqd7KNF4MGpWImWV9m6gEEE1miuF3F&#10;0r1KU5BlIf+XKH8AUEsDBBQAAAAIAIdO4kDmwsGS1AEAAIwDAAAOAAAAZHJzL2Uyb0RvYy54bWyt&#10;U0tu2zAQ3RfoHQjua8lu3SSC5QCBkW6KtkDaA9AUZRHgrxzaki/Q3qCrbrrvuXyOPtGOE6SbLLIR&#10;yfm8mfdmtLgerGE7FUl7V/PppORMOekb7TY1//b19s0lZ5SEa4TxTtV8r4hfL1+/WvShUjPfedOo&#10;yADiqOpDzbuUQlUUJDtlBU18UA7O1kcrEp5xUzRR9EC3ppiV5fui97EJ0UtFBOvq6OQnxPgcQN+2&#10;WqqVl1urXDqiRmVEAiXqdCC+zN22rZLpc9uSSszUHExT/qII7uvxWywXotpEETotTy2I57TwhJMV&#10;2qHoGWolkmDbqP+DslpGT75NE+ltcSSSFQGLaflEm7tOBJW5QGoKZ9Hp5WDlp92XyHSDTXjHmRMW&#10;Ez/8+nn4/ffw5weDDQL1gSrE3QVEpuHGDwi+txOMI++hjXY8wYjBD3n3Z3nVkJiEcf726mJWooyE&#10;bz6dX11m+OIhO0RKH5S3bLzUPGJ8WVWx+0gJnSD0PmQs5vytNiaP0DjWo63ZRYnS0gYQIrfJyY+i&#10;xuSVoI7tBPaBvNHNSASwxuEYiR4Jjbc0rIcT+7Vv9iDfY0+Q9n0rouJsG6LedGgzi5GTMaSMdlqo&#10;cQsev3OJh59o+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jAN+O2gAAAAwBAAAPAAAAAAAAAAEA&#10;IAAAACIAAABkcnMvZG93bnJldi54bWxQSwECFAAUAAAACACHTuJA5sLBktQBAACMAwAADgAAAAAA&#10;AAABACAAAAApAQAAZHJzL2Uyb0RvYy54bWxQSwUGAAAAAAYABgBZAQAAbwUAAAAA&#10;">
                <v:fill on="f" focussize="0,0"/>
                <v:stroke on="f" weight="1pt"/>
                <v:imagedata o:title=""/>
                <o:lock v:ext="edit" aspectratio="f"/>
                <v:textbox>
                  <w:txbxContent>
                    <w:p>
                      <w:pPr>
                        <w:jc w:val="center"/>
                        <w:rPr>
                          <w:rFonts w:hint="default" w:eastAsia="宋体"/>
                          <w:b/>
                          <w:sz w:val="30"/>
                          <w:szCs w:val="30"/>
                          <w:lang w:val="en-US" w:eastAsia="zh-CN"/>
                        </w:rPr>
                      </w:pPr>
                      <w:r>
                        <w:rPr>
                          <w:rFonts w:hint="eastAsia"/>
                          <w:b/>
                          <w:sz w:val="30"/>
                          <w:szCs w:val="30"/>
                          <w:lang w:val="en-US" w:eastAsia="zh-CN"/>
                        </w:rPr>
                        <w:t xml:space="preserve">附图2 </w:t>
                      </w:r>
                      <w:r>
                        <w:rPr>
                          <w:rFonts w:hint="eastAsia"/>
                          <w:b/>
                          <w:sz w:val="30"/>
                          <w:szCs w:val="30"/>
                        </w:rPr>
                        <w:t xml:space="preserve">  </w:t>
                      </w:r>
                      <w:r>
                        <w:rPr>
                          <w:rFonts w:hint="eastAsia"/>
                          <w:b/>
                          <w:sz w:val="30"/>
                          <w:szCs w:val="30"/>
                          <w:lang w:val="en-US" w:eastAsia="zh-CN"/>
                        </w:rPr>
                        <w:t>七里营镇土地利用总体规划图</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3606165</wp:posOffset>
                </wp:positionH>
                <wp:positionV relativeFrom="paragraph">
                  <wp:posOffset>4735830</wp:posOffset>
                </wp:positionV>
                <wp:extent cx="1038225" cy="611505"/>
                <wp:effectExtent l="734695" t="346710" r="17780" b="13335"/>
                <wp:wrapNone/>
                <wp:docPr id="12" name="矩形标注 12"/>
                <wp:cNvGraphicFramePr/>
                <a:graphic xmlns:a="http://schemas.openxmlformats.org/drawingml/2006/main">
                  <a:graphicData uri="http://schemas.microsoft.com/office/word/2010/wordprocessingShape">
                    <wps:wsp>
                      <wps:cNvSpPr/>
                      <wps:spPr>
                        <a:xfrm>
                          <a:off x="0" y="0"/>
                          <a:ext cx="1038225" cy="611505"/>
                        </a:xfrm>
                        <a:prstGeom prst="wedgeRectCallout">
                          <a:avLst>
                            <a:gd name="adj1" fmla="val -120152"/>
                            <a:gd name="adj2" fmla="val -10565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83.95pt;margin-top:372.9pt;height:48.15pt;width:81.75pt;z-index:251671552;v-text-anchor:middle;mso-width-relative:page;mso-height-relative:page;" filled="f" stroked="t" coordsize="21600,21600" o:gfxdata="UEsDBAoAAAAAAIdO4kAAAAAAAAAAAAAAAAAEAAAAZHJzL1BLAwQUAAAACACHTuJAe7K3HNsAAAAL&#10;AQAADwAAAGRycy9kb3ducmV2LnhtbE2Py07DMBBF90j8gzVI7KiTkjYlZNJFC6xQBS3s3djNg3gc&#10;YqctfD3DCpajObr33Hx5tp04msE3jhDiSQTCUOl0QxXC2+7xZgHCB0VadY4MwpfxsCwuL3KVaXei&#10;V3PchkpwCPlMIdQh9JmUvqyNVX7iekP8O7jBqsDnUEk9qBOH205Oo2gurWqIG2rVm1Vtyo/taBHe&#10;283L08N4+G4/+7BeN9Q+r+wO8foqju5BBHMOfzD86rM6FOy0dyNpLzqE2Ty9YxQhTWa8gYn0Nk5A&#10;7BEWyTQGWeTy/4biB1BLAwQUAAAACACHTuJA1s9r2pwCAAAoBQAADgAAAGRycy9lMm9Eb2MueG1s&#10;rVTNbhMxEL4j8Q6W7+3uhqY/UZMqSlSEVNGIgjg7Xm92kf+wnWzKC/AYIE5w5szjUF6Dz95tGwqH&#10;HsjBmfHMfjPzzYxPz7ZKko1wvjF6TIv9nBKhuSkbvRrTN6/P944p8YHpkkmjxZheC0/PJk+fnLZ2&#10;JAamNrIUjgBE+1Frx7QOwY6yzPNaKOb3jRUaxso4xQJUt8pKx1qgK5kN8vwwa40rrTNceI/beWek&#10;PaJ7DKCpqoaLueFrJXToUJ2QLKAkXzfW00nKtqoED5dV5UUgckxRaUgngkBexjObnLLRyjFbN7xP&#10;gT0mhQc1KdZoBL2DmrPAyNo1f0GphjvjTRX2uVFZV0hiBFUU+QNurmpmRaoFVHt7R7r/f7D85Wbh&#10;SFNiEgaUaKbQ8V+fvv388eXm88eb718JrsFRa/0Irld24XrNQ4wFbyun4j9KIdvE6/Udr2IbCMdl&#10;kT87HgyGlHDYDotimA8jaHb/tXU+PBdGkSiMaSvKlXiF5s2YlGYdErVsc+FD4rjsE2Xlu4KSSkm0&#10;bMMk2StA4jAljE7seKG0Xa98eDg86TPoUZHLbQ4xhDbnjZRpOKQmbWTnKMfMcIaJrzBpEJUFa16v&#10;KGFyhVXiwaU8vZFNGT+PQN6tljPpCNIDLenXB/7DLcaeM193fsnUu0kNoiL9HeFRCtvltu/C0pTX&#10;6J8z3WB7y88bQF0wHxbMgRbkjF0PlzgqaVCI6SVKauM+/Os++mPAYKWkxWagyPdr5gQl8oXG6J0U&#10;BwdxlZJyMDwaQHG7luWuRa/VzKB2NArZJTH6B3krVs6ot3gSpjEqTExzxO7o7JVZ6DYWjwoX02ly&#10;w/pYFi70leURvGvadB1M1YQ4W5Gojp1ewQKlkeuXPW7orp687h+4y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7srcc2wAAAAsBAAAPAAAAAAAAAAEAIAAAACIAAABkcnMvZG93bnJldi54bWxQSwEC&#10;FAAUAAAACACHTuJA1s9r2pwCAAAoBQAADgAAAAAAAAABACAAAAAqAQAAZHJzL2Uyb0RvYy54bWxQ&#10;SwUGAAAAAAYABgBZAQAAOAYAAAAA&#10;" adj="-15153,-12022">
                <v:fill on="f" focussize="0,0"/>
                <v:stroke weight="1pt" color="#000000 [3213]" joinstyle="round"/>
                <v:imagedata o:title=""/>
                <o:lock v:ext="edit" aspectratio="f"/>
                <v:textbo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v:textbox>
              </v:shape>
            </w:pict>
          </mc:Fallback>
        </mc:AlternateContent>
      </w:r>
      <w:r>
        <w:rPr>
          <w:rFonts w:hint="eastAsia" w:eastAsia="宋体"/>
          <w:lang w:eastAsia="zh-CN"/>
        </w:rPr>
        <w:drawing>
          <wp:anchor distT="0" distB="0" distL="114300" distR="114300" simplePos="0" relativeHeight="251670528" behindDoc="0" locked="0" layoutInCell="1" allowOverlap="1">
            <wp:simplePos x="0" y="0"/>
            <wp:positionH relativeFrom="column">
              <wp:posOffset>150495</wp:posOffset>
            </wp:positionH>
            <wp:positionV relativeFrom="paragraph">
              <wp:posOffset>432435</wp:posOffset>
            </wp:positionV>
            <wp:extent cx="6505575" cy="8131810"/>
            <wp:effectExtent l="0" t="0" r="9525" b="2540"/>
            <wp:wrapNone/>
            <wp:docPr id="13" name="图片 13" descr="410721103镇土地利用总体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10721103镇土地利用总体规划图"/>
                    <pic:cNvPicPr>
                      <a:picLocks noChangeAspect="1"/>
                    </pic:cNvPicPr>
                  </pic:nvPicPr>
                  <pic:blipFill>
                    <a:blip r:embed="rId21"/>
                    <a:stretch>
                      <a:fillRect/>
                    </a:stretch>
                  </pic:blipFill>
                  <pic:spPr>
                    <a:xfrm>
                      <a:off x="0" y="0"/>
                      <a:ext cx="6505575" cy="8131810"/>
                    </a:xfrm>
                    <a:prstGeom prst="rect">
                      <a:avLst/>
                    </a:prstGeom>
                  </pic:spPr>
                </pic:pic>
              </a:graphicData>
            </a:graphic>
          </wp:anchor>
        </w:drawing>
      </w:r>
    </w:p>
    <w:p>
      <w:pPr>
        <w:rPr>
          <w:rFonts w:hint="eastAsia" w:eastAsia="宋体"/>
          <w:lang w:eastAsia="zh-CN"/>
        </w:rPr>
        <w:sectPr>
          <w:pgSz w:w="11906" w:h="16838"/>
          <w:pgMar w:top="720" w:right="720" w:bottom="720" w:left="720" w:header="851" w:footer="992" w:gutter="0"/>
          <w:cols w:space="425" w:num="1"/>
          <w:docGrid w:type="lines" w:linePitch="312" w:charSpace="0"/>
        </w:sectPr>
      </w:pPr>
      <w:r>
        <mc:AlternateContent>
          <mc:Choice Requires="wps">
            <w:drawing>
              <wp:anchor distT="0" distB="0" distL="114300" distR="114300" simplePos="0" relativeHeight="251674624" behindDoc="0" locked="0" layoutInCell="1" allowOverlap="1">
                <wp:simplePos x="0" y="0"/>
                <wp:positionH relativeFrom="column">
                  <wp:posOffset>432435</wp:posOffset>
                </wp:positionH>
                <wp:positionV relativeFrom="paragraph">
                  <wp:posOffset>8559800</wp:posOffset>
                </wp:positionV>
                <wp:extent cx="5396865" cy="51625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5396865" cy="516255"/>
                        </a:xfrm>
                        <a:prstGeom prst="rect">
                          <a:avLst/>
                        </a:prstGeom>
                        <a:noFill/>
                        <a:ln w="12700" cmpd="sng">
                          <a:noFill/>
                          <a:prstDash val="solid"/>
                        </a:ln>
                      </wps:spPr>
                      <wps:txbx>
                        <w:txbxContent>
                          <w:p>
                            <w:pPr>
                              <w:jc w:val="center"/>
                              <w:rPr>
                                <w:rFonts w:hint="default" w:eastAsia="宋体"/>
                                <w:b/>
                                <w:sz w:val="30"/>
                                <w:szCs w:val="30"/>
                                <w:lang w:val="en-US" w:eastAsia="zh-CN"/>
                              </w:rPr>
                            </w:pPr>
                            <w:r>
                              <w:rPr>
                                <w:rFonts w:hint="eastAsia"/>
                                <w:b/>
                                <w:sz w:val="30"/>
                                <w:szCs w:val="30"/>
                                <w:lang w:val="en-US" w:eastAsia="zh-CN"/>
                              </w:rPr>
                              <w:t>附图3</w:t>
                            </w:r>
                            <w:r>
                              <w:rPr>
                                <w:rFonts w:hint="eastAsia"/>
                                <w:b/>
                                <w:sz w:val="30"/>
                                <w:szCs w:val="30"/>
                              </w:rPr>
                              <w:t xml:space="preserve">  </w:t>
                            </w:r>
                            <w:r>
                              <w:rPr>
                                <w:rFonts w:hint="eastAsia"/>
                                <w:b/>
                                <w:sz w:val="30"/>
                                <w:szCs w:val="30"/>
                                <w:lang w:val="en-US" w:eastAsia="zh-CN"/>
                              </w:rPr>
                              <w:t>项目四周环境</w:t>
                            </w:r>
                          </w:p>
                        </w:txbxContent>
                      </wps:txbx>
                      <wps:bodyPr wrap="square" upright="1"/>
                    </wps:wsp>
                  </a:graphicData>
                </a:graphic>
              </wp:anchor>
            </w:drawing>
          </mc:Choice>
          <mc:Fallback>
            <w:pict>
              <v:shape id="_x0000_s1026" o:spid="_x0000_s1026" o:spt="202" type="#_x0000_t202" style="position:absolute;left:0pt;margin-left:34.05pt;margin-top:674pt;height:40.65pt;width:424.95pt;z-index:251674624;mso-width-relative:page;mso-height-relative:page;" filled="f" stroked="f" coordsize="21600,21600" o:gfxdata="UEsDBAoAAAAAAIdO4kAAAAAAAAAAAAAAAAAEAAAAZHJzL1BLAwQUAAAACACHTuJA6S83ldgAAAAM&#10;AQAADwAAAGRycy9kb3ducmV2LnhtbE1PPU/DMBDdkfofrENio85HVSUhTlWQGBg60MJ+ia9J1NgO&#10;sZsWfj3XCba7d+/eR7m5mkHMNPneWQXxMgJBtnG6t62Cj8PrYwbCB7QaB2dJwTd52FSLuxIL7S72&#10;neZ9aAWLWF+ggi6EsZDSNx0Z9Es3kuXb0U0GA69TK/WEFxY3g0yiaC0N9pYdOhzppaPmtD8bjjF/&#10;1mkets773TF5fvvBXX36UurhPo6eQAS6hj8y3OLzD1ScqXZnq70YFKyzmJmMp6uMSzEjj29DzdAq&#10;yVOQVSn/l6h+AVBLAwQUAAAACACHTuJA9tU2f9MBAACMAwAADgAAAGRycy9lMm9Eb2MueG1srVNL&#10;btswEN0X6B0I7mvJLuSkguUAhZFuirZAmgPQFCkR4K8c2pIv0N6gq26677l8jg4pxQnSTRbdUOR8&#10;3sx7M9rcjEaTowignG3oclFSIix3rbJdQ++/3r65pgQisy3TzoqGngTQm+3rV5vB12LleqdbEQiC&#10;WKgH39A+Rl8XBfBeGAYL54VFp3TBsIjP0BVtYAOiG12synJdDC60PjguANC6m5x0RgwvAXRSKi52&#10;jh+MsHFCDUKziJSgVx7oNncrpeDxs5QgItENRaYxn1gE7/t0FtsNq7vAfK/43AJ7SQvPOBmmLBa9&#10;QO1YZOQQ1D9QRvHgwMm44M4UE5GsCLJYls+0ueuZF5kLSg3+Ijr8P1j+6fglENXiJlxRYpnBiZ9/&#10;/jj/+nP+/Z2gDQUaPNQYd+cxMo7v3YjBD3ZAY+I9ymDSFxkR9KO8p4u8YoyEo7F6+259va4o4eir&#10;lutVVSWY4jHbB4gfhDMkXRoacHxZVXb8CHEKfQhJxay7VVrnEWpLBmxrdVViaW48EgLb5eQnUSl5&#10;x6AnR4b7AE6rdu5AW2wkEZ0IpVsc9+PMfu/aE5IfcE8w7duBBUHJwQfV9dhmFiMn45Ayn3mh0hY8&#10;fecSjz/R9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LzeV2AAAAAwBAAAPAAAAAAAAAAEAIAAA&#10;ACIAAABkcnMvZG93bnJldi54bWxQSwECFAAUAAAACACHTuJA9tU2f9MBAACMAwAADgAAAAAAAAAB&#10;ACAAAAAnAQAAZHJzL2Uyb0RvYy54bWxQSwUGAAAAAAYABgBZAQAAbAUAAAAA&#10;">
                <v:fill on="f" focussize="0,0"/>
                <v:stroke on="f" weight="1pt"/>
                <v:imagedata o:title=""/>
                <o:lock v:ext="edit" aspectratio="f"/>
                <v:textbox>
                  <w:txbxContent>
                    <w:p>
                      <w:pPr>
                        <w:jc w:val="center"/>
                        <w:rPr>
                          <w:rFonts w:hint="default" w:eastAsia="宋体"/>
                          <w:b/>
                          <w:sz w:val="30"/>
                          <w:szCs w:val="30"/>
                          <w:lang w:val="en-US" w:eastAsia="zh-CN"/>
                        </w:rPr>
                      </w:pPr>
                      <w:r>
                        <w:rPr>
                          <w:rFonts w:hint="eastAsia"/>
                          <w:b/>
                          <w:sz w:val="30"/>
                          <w:szCs w:val="30"/>
                          <w:lang w:val="en-US" w:eastAsia="zh-CN"/>
                        </w:rPr>
                        <w:t>附图3</w:t>
                      </w:r>
                      <w:r>
                        <w:rPr>
                          <w:rFonts w:hint="eastAsia"/>
                          <w:b/>
                          <w:sz w:val="30"/>
                          <w:szCs w:val="30"/>
                        </w:rPr>
                        <w:t xml:space="preserve">  </w:t>
                      </w:r>
                      <w:r>
                        <w:rPr>
                          <w:rFonts w:hint="eastAsia"/>
                          <w:b/>
                          <w:sz w:val="30"/>
                          <w:szCs w:val="30"/>
                          <w:lang w:val="en-US" w:eastAsia="zh-CN"/>
                        </w:rPr>
                        <w:t>项目四周环境</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4935220</wp:posOffset>
                </wp:positionH>
                <wp:positionV relativeFrom="paragraph">
                  <wp:posOffset>2386330</wp:posOffset>
                </wp:positionV>
                <wp:extent cx="638175" cy="1110615"/>
                <wp:effectExtent l="0" t="0" r="0" b="0"/>
                <wp:wrapNone/>
                <wp:docPr id="16" name="矩形 16"/>
                <wp:cNvGraphicFramePr/>
                <a:graphic xmlns:a="http://schemas.openxmlformats.org/drawingml/2006/main">
                  <a:graphicData uri="http://schemas.microsoft.com/office/word/2010/wordprocessingShape">
                    <wps:wsp>
                      <wps:cNvSpPr/>
                      <wps:spPr>
                        <a:xfrm rot="1920000">
                          <a:off x="0" y="0"/>
                          <a:ext cx="638175" cy="1110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sz w:val="24"/>
                                <w:szCs w:val="24"/>
                                <w:highlight w:val="yellow"/>
                                <w:lang w:val="en-US" w:eastAsia="zh-CN"/>
                              </w:rPr>
                            </w:pPr>
                            <w:r>
                              <w:rPr>
                                <w:rFonts w:hint="eastAsia"/>
                                <w:b/>
                                <w:bCs/>
                                <w:color w:val="FF0000"/>
                                <w:sz w:val="21"/>
                                <w:szCs w:val="21"/>
                                <w:highlight w:val="yellow"/>
                                <w:lang w:val="en-US" w:eastAsia="zh-CN"/>
                              </w:rPr>
                              <w:t>新乡市顺美壁纸有限公司厂</w:t>
                            </w:r>
                            <w:r>
                              <w:rPr>
                                <w:rFonts w:hint="eastAsia"/>
                                <w:b/>
                                <w:bCs/>
                                <w:color w:val="FF0000"/>
                                <w:sz w:val="24"/>
                                <w:szCs w:val="24"/>
                                <w:highlight w:val="yellow"/>
                                <w:lang w:val="en-US" w:eastAsia="zh-CN"/>
                              </w:rPr>
                              <w:t>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6pt;margin-top:187.9pt;height:87.45pt;width:50.25pt;rotation:2097152f;z-index:251677696;v-text-anchor:middle;mso-width-relative:page;mso-height-relative:page;" filled="f" stroked="f" coordsize="21600,21600" o:gfxdata="UEsDBAoAAAAAAIdO4kAAAAAAAAAAAAAAAAAEAAAAZHJzL1BLAwQUAAAACACHTuJAioV4QNsAAAAL&#10;AQAADwAAAGRycy9kb3ducmV2LnhtbE2PwU7DMAyG70i8Q2QkLoglK2szStMdQEhjnOgmJG5ZY9qK&#10;JqmarCtvjznB0fan399fbGbbswnH0HmnYLkQwNDV3nSuUXDYP9+ugYWondG9d6jgGwNsysuLQufG&#10;n90bTlVsGIW4kGsFbYxDznmoW7Q6LPyAjm6ffrQ60jg23Iz6TOG254kQGbe6c/Sh1QM+tlh/VSer&#10;4H3Ottvxw1SJWL2+3D+FbLpZ7ZS6vlqKB2AR5/gHw68+qUNJTkd/ciawXoGUMiFUwZ1MqQMRa1oB&#10;OypIUyGBlwX/36H8AVBLAwQUAAAACACHTuJAmtpEDlsCAACmBAAADgAAAGRycy9lMm9Eb2MueG1s&#10;rVTNbhMxEL4j8Q6W73R3Q5K2UTdV1KgIqYJKBXF2vN6sJf9hO9mUl0HixkPwOIjX4LN3W6LCoQcu&#10;1vztNzPfzOzF5UErshc+SGtqWp2UlAjDbSPNtqYfP1y/OqMkRGYapqwRNb0XgV4uX7646N1CTGxn&#10;VSM8AYgJi97VtIvRLYoi8E5oFk6sEwbO1nrNIlS/LRrPeqBrVUzKcl701jfOWy5CgHU9OOmI6J8D&#10;aNtWcrG2fKeFiQOqF4pFtBQ66QJd5mrbVvD4vm2DiETVFJ3G/CIJ5E16i+UFW2w9c53kYwnsOSU8&#10;6UkzaZD0EWrNIiM7L/+C0pJ7G2wbT7jVxdBIZgRdVOUTbu465kTuBVQH90h6+H+w/N3+1hPZYBPm&#10;lBimMfFfX7///PGNwAB2ehcWCLpzt37UAsTU6qH1mngLSqtzDLYsMwFoiRwyv/eP/IpDJBzG+euz&#10;6nRGCYerqqpyXs1SimLASpjOh/hGWE2SUFOP+WVUtr8JcQh9CEnhxl5LpWBnC2VIX9PJbIo6CGdY&#10;zBYLAVE7NBfMlhKmtth4Hn2GPPo2Qa5Z6MieYU2CVbIZ61IG5SUKhqaTFA+bw8jExjb3YC9zgKzB&#10;8WsJqBsW4i3z2CMYcWnxPZ5WWdRnR4mSzvov/7KneIwXXkp67CXq+bxjXlCi3hoM/ryaTgEbszKd&#10;nU6g+GPP5thjdvrKoqcqV5fFFB/Vg9h6qz/hIFcpK1zMcOQeWBqVqzjcC06ai9Uqh2F5HYs35s7x&#10;BD7MYrWLtpV5TImogZ2RP6xvHvR4auk+jvUc9ef3sv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oV4QNsAAAALAQAADwAAAAAAAAABACAAAAAiAAAAZHJzL2Rvd25yZXYueG1sUEsBAhQAFAAAAAgA&#10;h07iQJraRA5bAgAApgQAAA4AAAAAAAAAAQAgAAAAKgEAAGRycy9lMm9Eb2MueG1sUEsFBgAAAAAG&#10;AAYAWQEAAPcFAAAAAA==&#10;">
                <v:fill on="f" focussize="0,0"/>
                <v:stroke on="f" weight="2pt"/>
                <v:imagedata o:title=""/>
                <o:lock v:ext="edit" aspectratio="f"/>
                <v:textbox>
                  <w:txbxContent>
                    <w:p>
                      <w:pPr>
                        <w:jc w:val="center"/>
                        <w:rPr>
                          <w:rFonts w:hint="default" w:eastAsia="宋体"/>
                          <w:b/>
                          <w:bCs/>
                          <w:color w:val="FF0000"/>
                          <w:sz w:val="24"/>
                          <w:szCs w:val="24"/>
                          <w:highlight w:val="yellow"/>
                          <w:lang w:val="en-US" w:eastAsia="zh-CN"/>
                        </w:rPr>
                      </w:pPr>
                      <w:r>
                        <w:rPr>
                          <w:rFonts w:hint="eastAsia"/>
                          <w:b/>
                          <w:bCs/>
                          <w:color w:val="FF0000"/>
                          <w:sz w:val="21"/>
                          <w:szCs w:val="21"/>
                          <w:highlight w:val="yellow"/>
                          <w:lang w:val="en-US" w:eastAsia="zh-CN"/>
                        </w:rPr>
                        <w:t>新乡市顺美壁纸有限公司厂</w:t>
                      </w:r>
                      <w:r>
                        <w:rPr>
                          <w:rFonts w:hint="eastAsia"/>
                          <w:b/>
                          <w:bCs/>
                          <w:color w:val="FF0000"/>
                          <w:sz w:val="24"/>
                          <w:szCs w:val="24"/>
                          <w:highlight w:val="yellow"/>
                          <w:lang w:val="en-US" w:eastAsia="zh-CN"/>
                        </w:rPr>
                        <w:t>房</w:t>
                      </w:r>
                    </w:p>
                  </w:txbxContent>
                </v:textbox>
              </v:rect>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4758690</wp:posOffset>
                </wp:positionH>
                <wp:positionV relativeFrom="paragraph">
                  <wp:posOffset>4450080</wp:posOffset>
                </wp:positionV>
                <wp:extent cx="1038225" cy="611505"/>
                <wp:effectExtent l="734695" t="346710" r="17780" b="13335"/>
                <wp:wrapNone/>
                <wp:docPr id="21" name="矩形标注 21"/>
                <wp:cNvGraphicFramePr/>
                <a:graphic xmlns:a="http://schemas.openxmlformats.org/drawingml/2006/main">
                  <a:graphicData uri="http://schemas.microsoft.com/office/word/2010/wordprocessingShape">
                    <wps:wsp>
                      <wps:cNvSpPr/>
                      <wps:spPr>
                        <a:xfrm>
                          <a:off x="0" y="0"/>
                          <a:ext cx="1038225" cy="611505"/>
                        </a:xfrm>
                        <a:prstGeom prst="wedgeRectCallout">
                          <a:avLst>
                            <a:gd name="adj1" fmla="val -120152"/>
                            <a:gd name="adj2" fmla="val -105659"/>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74.7pt;margin-top:350.4pt;height:48.15pt;width:81.75pt;z-index:251679744;v-text-anchor:middle;mso-width-relative:page;mso-height-relative:page;" filled="f" stroked="t" coordsize="21600,21600" o:gfxdata="UEsDBAoAAAAAAIdO4kAAAAAAAAAAAAAAAAAEAAAAZHJzL1BLAwQUAAAACACHTuJARmyvDtoAAAAL&#10;AQAADwAAAGRycy9kb3ducmV2LnhtbE2PzU7DMBCE70i8g7VI3KidqqIkjdNDC5wQoi3c3Xibn8br&#10;EDtt4elZTnDb3RnNfpMvL64TJxxC40lDMlEgkEpvG6o0vO+e7h5AhGjIms4TavjCAMvi+io3mfVn&#10;2uBpGyvBIRQyo6GOsc+kDGWNzoSJ75FYO/jBmcjrUEk7mDOHu05OlbqXzjTEH2rT46rG8rgdnYaP&#10;9vXt+XE8fLeffVyvG2pfVm6n9e1NohYgIl7inxl+8RkdCmba+5FsEJ2G+SydsZUHpbgDO9JkmoLY&#10;8yWdJyCLXP7vUPwAUEsDBBQAAAAIAIdO4kBGH62gmwIAACgFAAAOAAAAZHJzL2Uyb0RvYy54bWyt&#10;VM1uEzEQviPxDpbv7f7Q9CdqUkWJipAqWlEQZ8frzS7yH7bTTXkBHgPECc6ceRzKa/DZu23TwoED&#10;OTgzntlvZr6Z8fHJRklyJZxvjZ7QYjenRGhuqlavJvTN69OdQ0p8YLpi0mgxodfC05Pp0yfHnR2L&#10;0jRGVsIRgGg/7uyENiHYcZZ53gjF/K6xQsNYG6dYgOpWWeVYB3QlszLP97POuMo6w4X3uF30Rjog&#10;un8BNHXdcrEwfK2EDj2qE5IFlOSb1no6TdnWteDhvK69CEROKCoN6UQQyMt4ZtNjNl45ZpuWDymw&#10;f0nhUU2KtRpB76AWLDCydu0fUKrlznhTh11uVNYXkhhBFUX+iJvLhlmRagHV3t6R7v8fLH95deFI&#10;W01oWVCimULHf3369vPHl5vPH2++fyW4Bked9WO4XtoLN2geYix4UzsV/1EK2SRer+94FZtAOC6L&#10;/NlhWY4o4bDtF8UoH0XQ7P5r63x4LowiUZjQTlQr8QrNmzMpzTokatnVmQ+J42pIlFXvkHStJFp2&#10;xSTZKUDiqByauuVVPvTKR/ujoyGDARW53OYQQ2hz2kqZhkNq0qGE8iDHzHCGia8xaRCVBWteryhh&#10;coVV4sGlPL2RbRU/j0DerZZz6QjSAy3pNwR+4BZjL5hver9kGtykBlGR/p7wKIXNcjN0YWmqa/TP&#10;mX6wveWnLaDOmA8XzIEW5IxdD+c4amlQiBkkShrjPvztPvpjwGClpMNmoMj3a+YEJfKFxugdFXt7&#10;cZWSsjc6KKG4bcty26LXam5QOxqF7JIY/YO8FWtn1Fs8CbMYFSamOWL3dA7KPPQbi0eFi9ksuWF9&#10;LAtn+tLyCN43bbYOpm5DnK1IVM/OoGCB0sgNyx43dFtPXvcP3PQ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myvDtoAAAALAQAADwAAAAAAAAABACAAAAAiAAAAZHJzL2Rvd25yZXYueG1sUEsBAhQA&#10;FAAAAAgAh07iQEYfraCbAgAAKAUAAA4AAAAAAAAAAQAgAAAAKQEAAGRycy9lMm9Eb2MueG1sUEsF&#10;BgAAAAAGAAYAWQEAADYGAAAAAA==&#10;" adj="-15153,-12022">
                <v:fill on="f" focussize="0,0"/>
                <v:stroke weight="1pt" color="#000000 [3213]" joinstyle="round"/>
                <v:imagedata o:title=""/>
                <o:lock v:ext="edit" aspectratio="f"/>
                <v:textbox>
                  <w:txbxContent>
                    <w:p>
                      <w:pPr>
                        <w:jc w:val="cente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ascii="宋体" w:hAnsi="宋体" w:eastAsia="宋体" w:cs="宋体"/>
                          <w:color w:val="FF0000"/>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项目所在地</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4217670</wp:posOffset>
                </wp:positionH>
                <wp:positionV relativeFrom="paragraph">
                  <wp:posOffset>3451860</wp:posOffset>
                </wp:positionV>
                <wp:extent cx="584835" cy="1738630"/>
                <wp:effectExtent l="0" t="0" r="0" b="0"/>
                <wp:wrapNone/>
                <wp:docPr id="15" name="矩形 15"/>
                <wp:cNvGraphicFramePr/>
                <a:graphic xmlns:a="http://schemas.openxmlformats.org/drawingml/2006/main">
                  <a:graphicData uri="http://schemas.microsoft.com/office/word/2010/wordprocessingShape">
                    <wps:wsp>
                      <wps:cNvSpPr/>
                      <wps:spPr>
                        <a:xfrm rot="1680000">
                          <a:off x="0" y="0"/>
                          <a:ext cx="584835" cy="173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b/>
                                <w:bCs/>
                                <w:color w:val="FF0000"/>
                                <w:sz w:val="24"/>
                                <w:szCs w:val="24"/>
                                <w:highlight w:val="yellow"/>
                                <w:lang w:val="en-US" w:eastAsia="zh-CN"/>
                              </w:rPr>
                            </w:pPr>
                            <w:r>
                              <w:rPr>
                                <w:rFonts w:hint="eastAsia"/>
                                <w:b/>
                                <w:bCs/>
                                <w:color w:val="FF0000"/>
                                <w:sz w:val="21"/>
                                <w:szCs w:val="21"/>
                                <w:highlight w:val="yellow"/>
                                <w:lang w:val="en-US" w:eastAsia="zh-CN"/>
                              </w:rPr>
                              <w:t>顺美壁纸公司厂</w:t>
                            </w:r>
                            <w:r>
                              <w:rPr>
                                <w:rFonts w:hint="eastAsia"/>
                                <w:b/>
                                <w:bCs/>
                                <w:color w:val="FF0000"/>
                                <w:sz w:val="24"/>
                                <w:szCs w:val="24"/>
                                <w:highlight w:val="yellow"/>
                                <w:lang w:val="en-US" w:eastAsia="zh-CN"/>
                              </w:rPr>
                              <w:t>房</w:t>
                            </w:r>
                          </w:p>
                          <w:p>
                            <w:pPr>
                              <w:jc w:val="center"/>
                              <w:rPr>
                                <w:rFonts w:hint="default" w:eastAsia="宋体"/>
                                <w:b/>
                                <w:bCs/>
                                <w:color w:val="FF0000"/>
                                <w:sz w:val="24"/>
                                <w:szCs w:val="24"/>
                                <w:highlight w:val="yellow"/>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1pt;margin-top:271.8pt;height:136.9pt;width:46.05pt;rotation:1835008f;z-index:251676672;v-text-anchor:middle;mso-width-relative:page;mso-height-relative:page;" filled="f" stroked="f" coordsize="21600,21600" o:gfxdata="UEsDBAoAAAAAAIdO4kAAAAAAAAAAAAAAAAAEAAAAZHJzL1BLAwQUAAAACACHTuJATweJFdsAAAAL&#10;AQAADwAAAGRycy9kb3ducmV2LnhtbE2Py07DMBBF90j8gzVI7KiTNkmrNJNKPLqCRV+IrRu7ccAe&#10;R7Hbhr/HrGA5ukf3nqlWozXsogbfOUJIJwkwRY2THbUIh/36YQHMB0FSGEcK4Vt5WNW3N5UopbvS&#10;Vl12oWWxhHwpEHQIfcm5b7Sywk9cryhmJzdYEeI5tFwO4hrLreHTJCm4FR3FBS169aRV87U7W4TX&#10;g3l8fqHtmvbj59smlx/NuybE+7s0WQILagx/MPzqR3Woo9PRnUl6ZhCKIptGFCHPZgWwSMzzYgbs&#10;iLBI5xnwuuL/f6h/AFBLAwQUAAAACACHTuJA/125rFwCAACmBAAADgAAAGRycy9lMm9Eb2MueG1s&#10;rVTNbhMxEL4j8Q6W73STNGlD1E0VNSpCqqBSQZwdr5215D9sJ5vyMkjceAgeB/EafPZuS1Q49EAO&#10;ztgz+Wa+b2ZycXkwmuxFiMrZmo5PRpQIy12j7LamHz9cv5pTEhOzDdPOiprei0gvly9fXHR+ISau&#10;dboRgQDExkXna9qm5BdVFXkrDIsnzgsLp3TBsIRr2FZNYB3Qja4mo9FZ1bnQ+OC4iBGv695JB8Tw&#10;HEAnpeJi7fjOCJt61CA0S6AUW+UjXZZqpRQ8vZcyikR0TcE0lRNJYG/yWS0v2GIbmG8VH0pgzynh&#10;CSfDlEXSR6g1S4zsgvoLyigeXHQynXBnqp5IUQQsxqMn2ty1zIvCBVJH/yh6/H+w/N3+NhDVYBJm&#10;lFhm0PFfX7///PGN4AHqdD4uEHTnb8NwizAz1YMMhgQHScdn8xE+RQBQIoei7/2jvuKQCMfjbD6d&#10;nyINh2t8fjo/Oy0NqHqsjOlDTG+EMyQbNQ3oX0Fl+5uYkB+hDyE53LprpXXpobakq+lkNkUdhDMM&#10;psRAwDQe5KLdUsL0FhPPUyiQR7/NkGsWW7JnGJPotGoydSTTFl9Zgp50ttJhcxiU2LjmHuoVDZA1&#10;en6tAHXDYrplAXOER2xaeo9Daof63GBR0rrw5V/vOR7thZeSDnOJej7vWBCU6LcWjX89nk4Bm8pl&#10;Ojuf4BKOPZtjj92ZKwdO41JdMXN80g+mDM58wkKucla4mOXI3as0XK5Svy9YaS5WqxKG4fUs3dg7&#10;zzN434vVLjmpSpuyUL06g34Y3yLosGp5P47vJerP38v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8HiRXbAAAACwEAAA8AAAAAAAAAAQAgAAAAIgAAAGRycy9kb3ducmV2LnhtbFBLAQIUABQAAAAI&#10;AIdO4kD/XbmsXAIAAKYEAAAOAAAAAAAAAAEAIAAAACoBAABkcnMvZTJvRG9jLnhtbFBLBQYAAAAA&#10;BgAGAFkBAAD4BQAAAAA=&#10;">
                <v:fill on="f" focussize="0,0"/>
                <v:stroke on="f" weight="2pt"/>
                <v:imagedata o:title=""/>
                <o:lock v:ext="edit" aspectratio="f"/>
                <v:textbox>
                  <w:txbxContent>
                    <w:p>
                      <w:pPr>
                        <w:jc w:val="center"/>
                        <w:rPr>
                          <w:rFonts w:hint="default" w:eastAsia="宋体"/>
                          <w:b/>
                          <w:bCs/>
                          <w:color w:val="FF0000"/>
                          <w:sz w:val="24"/>
                          <w:szCs w:val="24"/>
                          <w:highlight w:val="yellow"/>
                          <w:lang w:val="en-US" w:eastAsia="zh-CN"/>
                        </w:rPr>
                      </w:pPr>
                      <w:r>
                        <w:rPr>
                          <w:rFonts w:hint="eastAsia"/>
                          <w:b/>
                          <w:bCs/>
                          <w:color w:val="FF0000"/>
                          <w:sz w:val="21"/>
                          <w:szCs w:val="21"/>
                          <w:highlight w:val="yellow"/>
                          <w:lang w:val="en-US" w:eastAsia="zh-CN"/>
                        </w:rPr>
                        <w:t>顺美壁纸公司厂</w:t>
                      </w:r>
                      <w:r>
                        <w:rPr>
                          <w:rFonts w:hint="eastAsia"/>
                          <w:b/>
                          <w:bCs/>
                          <w:color w:val="FF0000"/>
                          <w:sz w:val="24"/>
                          <w:szCs w:val="24"/>
                          <w:highlight w:val="yellow"/>
                          <w:lang w:val="en-US" w:eastAsia="zh-CN"/>
                        </w:rPr>
                        <w:t>房</w:t>
                      </w:r>
                    </w:p>
                    <w:p>
                      <w:pPr>
                        <w:jc w:val="center"/>
                        <w:rPr>
                          <w:rFonts w:hint="default" w:eastAsia="宋体"/>
                          <w:b/>
                          <w:bCs/>
                          <w:color w:val="FF0000"/>
                          <w:sz w:val="24"/>
                          <w:szCs w:val="24"/>
                          <w:highlight w:val="yellow"/>
                          <w:lang w:val="en-US" w:eastAsia="zh-CN"/>
                        </w:rPr>
                      </w:pPr>
                    </w:p>
                  </w:txbxContent>
                </v:textbox>
              </v:rect>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3079750</wp:posOffset>
                </wp:positionH>
                <wp:positionV relativeFrom="paragraph">
                  <wp:posOffset>5401310</wp:posOffset>
                </wp:positionV>
                <wp:extent cx="1047115" cy="1040130"/>
                <wp:effectExtent l="0" t="0" r="0" b="0"/>
                <wp:wrapNone/>
                <wp:docPr id="22" name="矩形 22"/>
                <wp:cNvGraphicFramePr/>
                <a:graphic xmlns:a="http://schemas.openxmlformats.org/drawingml/2006/main">
                  <a:graphicData uri="http://schemas.microsoft.com/office/word/2010/wordprocessingShape">
                    <wps:wsp>
                      <wps:cNvSpPr/>
                      <wps:spPr>
                        <a:xfrm>
                          <a:off x="0" y="0"/>
                          <a:ext cx="1047115" cy="1040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eastAsia"/>
                                <w:b/>
                                <w:bCs/>
                                <w:color w:val="FF0000"/>
                                <w:sz w:val="24"/>
                                <w:szCs w:val="24"/>
                                <w:highlight w:val="yellow"/>
                                <w:lang w:val="en-US" w:eastAsia="zh-CN"/>
                              </w:rPr>
                            </w:pPr>
                            <w:r>
                              <w:rPr>
                                <w:rFonts w:hint="eastAsia"/>
                                <w:b/>
                                <w:bCs/>
                                <w:color w:val="FF0000"/>
                                <w:sz w:val="24"/>
                                <w:szCs w:val="24"/>
                                <w:highlight w:val="yellow"/>
                                <w:lang w:val="en-US" w:eastAsia="zh-CN"/>
                              </w:rPr>
                              <w:t>新乡市众和保温材料有限公司厂房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2.5pt;margin-top:425.3pt;height:81.9pt;width:82.45pt;z-index:251678720;v-text-anchor:middle;mso-width-relative:page;mso-height-relative:page;" filled="f" stroked="f" coordsize="21600,21600" o:gfxdata="UEsDBAoAAAAAAIdO4kAAAAAAAAAAAAAAAAAEAAAAZHJzL1BLAwQUAAAACACHTuJA+kvs/NoAAAAM&#10;AQAADwAAAGRycy9kb3ducmV2LnhtbE2PwUrDQBCG74LvsIzgze5GYmhjNqWICj3aCOJtk50mqdnZ&#10;kN2m7ds7nuxpGObjn+8v1mc3iBmn0HvSkCwUCKTG255aDZ/V28MSRIiGrBk8oYYLBliXtzeFya0/&#10;0QfOu9gKDqGQGw1djGMuZWg6dCYs/IjEt72fnIm8Tq20kzlxuBvko1KZdKYn/tCZEV86bH52R6ch&#10;1PO2uoybr8N3aOrNK7kq3b5rfX+XqGcQEc/xH4Y/fVaHkp1qfyQbxKAhXT5xl6iBZwaCiSxdrUDU&#10;jKokTUGWhbwuUf4CUEsDBBQAAAAIAIdO4kA5e9L9UwIAAJkEAAAOAAAAZHJzL2Uyb0RvYy54bWyt&#10;VM1uEzEQviPxDpbvdHdDSiHKpooaBSFVtFJBnB2vN2vJf9hONuVlkLjxEH0cxGvw2btto8KhBy7e&#10;Gc94Zr5vZnZ+ftCK7IUP0pqaViclJcJw20izrennT+tXbykJkZmGKWtETW9FoOeLly/mvZuJie2s&#10;aoQnCGLCrHc17WJ0s6IIvBOahRPrhIGxtV6zCNVvi8azHtG1KiZl+aborW+ct1yEgNvVYKRjRP+c&#10;gLZtJRcry3damDhE9UKxCEihky7QRa62bQWPV20bRCSqpkAa84kkkDfpLBZzNtt65jrJxxLYc0p4&#10;gkkzaZD0IdSKRUZ2Xv4VSkvubbBtPOFWFwOQzAhQVOUTbm465kTGAqqDeyA9/L+w/OP+2hPZ1HQy&#10;ocQwjY7//v7z190Pgguw07swg9ONu/ajFiAmqIfW6/QFCHLIjN4+MCoOkXBcVuX0rKpOKeGwQSmr&#10;15nz4vG58yG+F1aTJNTUo2WZSba/DBEp4XrvkrIZu5ZK5bYpQ3rUfTot0U3OMIstZgCidsATzJYS&#10;prYYch59Dnn0NoVcsdCRPcNkBKtkk9AimTL4JNQDziTFw+Ywgt/Y5haEeTtMUnB8LRHqkoV4zTxG&#10;B6VgueIVjlZZ1GdHiZLO+m//uk/+6CislPQYRdTzdce8oER9MOj1u2o6TbOblenp2QSKP7Zsji1m&#10;py8sMFVYY8ezmPyjuhdbb/UX7OAyZYWJGY7cA0ujchGHFcEWc7FcZjfMq2Px0tw4noIPvVjuom1l&#10;blMiamBn5A8TmwkdtyutxLGevR7/KI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vs/NoAAAAM&#10;AQAADwAAAAAAAAABACAAAAAiAAAAZHJzL2Rvd25yZXYueG1sUEsBAhQAFAAAAAgAh07iQDl70v1T&#10;AgAAmQQAAA4AAAAAAAAAAQAgAAAAKQEAAGRycy9lMm9Eb2MueG1sUEsFBgAAAAAGAAYAWQEAAO4F&#10;AAAAAA==&#10;">
                <v:fill on="f" focussize="0,0"/>
                <v:stroke on="f" weight="2pt"/>
                <v:imagedata o:title=""/>
                <o:lock v:ext="edit" aspectratio="f"/>
                <v:textbox>
                  <w:txbxContent>
                    <w:p>
                      <w:pPr>
                        <w:jc w:val="left"/>
                        <w:rPr>
                          <w:rFonts w:hint="eastAsia"/>
                          <w:b/>
                          <w:bCs/>
                          <w:color w:val="FF0000"/>
                          <w:sz w:val="24"/>
                          <w:szCs w:val="24"/>
                          <w:highlight w:val="yellow"/>
                          <w:lang w:val="en-US" w:eastAsia="zh-CN"/>
                        </w:rPr>
                      </w:pPr>
                      <w:r>
                        <w:rPr>
                          <w:rFonts w:hint="eastAsia"/>
                          <w:b/>
                          <w:bCs/>
                          <w:color w:val="FF0000"/>
                          <w:sz w:val="24"/>
                          <w:szCs w:val="24"/>
                          <w:highlight w:val="yellow"/>
                          <w:lang w:val="en-US" w:eastAsia="zh-CN"/>
                        </w:rPr>
                        <w:t>新乡市众和保温材料有限公司厂房</w:t>
                      </w:r>
                    </w:p>
                  </w:txbxContent>
                </v:textbox>
              </v:rect>
            </w:pict>
          </mc:Fallback>
        </mc:AlternateContent>
      </w:r>
      <w:r>
        <w:rPr>
          <w:rFonts w:hint="eastAsia" w:eastAsia="宋体"/>
          <w:lang w:eastAsia="zh-CN"/>
        </w:rPr>
        <w:drawing>
          <wp:anchor distT="0" distB="0" distL="114300" distR="114300" simplePos="0" relativeHeight="251673600" behindDoc="0" locked="0" layoutInCell="1" allowOverlap="1">
            <wp:simplePos x="0" y="0"/>
            <wp:positionH relativeFrom="column">
              <wp:posOffset>28575</wp:posOffset>
            </wp:positionH>
            <wp:positionV relativeFrom="paragraph">
              <wp:posOffset>449580</wp:posOffset>
            </wp:positionV>
            <wp:extent cx="6467475" cy="7458075"/>
            <wp:effectExtent l="0" t="0" r="9525" b="9525"/>
            <wp:wrapNone/>
            <wp:docPr id="24" name="图片 24" descr="167651937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76519375535"/>
                    <pic:cNvPicPr>
                      <a:picLocks noChangeAspect="1"/>
                    </pic:cNvPicPr>
                  </pic:nvPicPr>
                  <pic:blipFill>
                    <a:blip r:embed="rId22"/>
                    <a:stretch>
                      <a:fillRect/>
                    </a:stretch>
                  </pic:blipFill>
                  <pic:spPr>
                    <a:xfrm>
                      <a:off x="0" y="0"/>
                      <a:ext cx="6467475" cy="7458075"/>
                    </a:xfrm>
                    <a:prstGeom prst="rect">
                      <a:avLst/>
                    </a:prstGeom>
                  </pic:spPr>
                </pic:pic>
              </a:graphicData>
            </a:graphic>
          </wp:anchor>
        </w:drawing>
      </w:r>
      <w:r>
        <w:rPr>
          <w:rFonts w:hint="eastAsia" w:eastAsia="微软雅黑"/>
          <w:sz w:val="22"/>
          <w:lang w:eastAsia="zh-CN"/>
        </w:rPr>
        <w:drawing>
          <wp:anchor distT="0" distB="0" distL="114300" distR="114300" simplePos="0" relativeHeight="251680768" behindDoc="0" locked="0" layoutInCell="1" allowOverlap="1">
            <wp:simplePos x="0" y="0"/>
            <wp:positionH relativeFrom="column">
              <wp:posOffset>5895340</wp:posOffset>
            </wp:positionH>
            <wp:positionV relativeFrom="paragraph">
              <wp:posOffset>687070</wp:posOffset>
            </wp:positionV>
            <wp:extent cx="667385" cy="962660"/>
            <wp:effectExtent l="0" t="0" r="18415" b="8890"/>
            <wp:wrapNone/>
            <wp:docPr id="20" name="图片 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指北针"/>
                    <pic:cNvPicPr>
                      <a:picLocks noChangeAspect="1"/>
                    </pic:cNvPicPr>
                  </pic:nvPicPr>
                  <pic:blipFill>
                    <a:blip r:embed="rId23"/>
                    <a:stretch>
                      <a:fillRect/>
                    </a:stretch>
                  </pic:blipFill>
                  <pic:spPr>
                    <a:xfrm>
                      <a:off x="0" y="0"/>
                      <a:ext cx="667385" cy="962660"/>
                    </a:xfrm>
                    <a:prstGeom prst="rect">
                      <a:avLst/>
                    </a:prstGeom>
                    <a:noFill/>
                    <a:ln>
                      <a:noFill/>
                    </a:ln>
                  </pic:spPr>
                </pic:pic>
              </a:graphicData>
            </a:graphic>
          </wp:anchor>
        </w:drawing>
      </w:r>
      <w:r>
        <w:rPr>
          <w:sz w:val="21"/>
        </w:rPr>
        <mc:AlternateContent>
          <mc:Choice Requires="wps">
            <w:drawing>
              <wp:anchor distT="0" distB="0" distL="114300" distR="114300" simplePos="0" relativeHeight="251675648" behindDoc="0" locked="0" layoutInCell="1" allowOverlap="1">
                <wp:simplePos x="0" y="0"/>
                <wp:positionH relativeFrom="column">
                  <wp:posOffset>2174875</wp:posOffset>
                </wp:positionH>
                <wp:positionV relativeFrom="paragraph">
                  <wp:posOffset>3915410</wp:posOffset>
                </wp:positionV>
                <wp:extent cx="638175" cy="344805"/>
                <wp:effectExtent l="0" t="0" r="0" b="0"/>
                <wp:wrapNone/>
                <wp:docPr id="23" name="矩形 23"/>
                <wp:cNvGraphicFramePr/>
                <a:graphic xmlns:a="http://schemas.openxmlformats.org/drawingml/2006/main">
                  <a:graphicData uri="http://schemas.microsoft.com/office/word/2010/wordprocessingShape">
                    <wps:wsp>
                      <wps:cNvSpPr/>
                      <wps:spPr>
                        <a:xfrm>
                          <a:off x="2708910" y="4763135"/>
                          <a:ext cx="638175" cy="3448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sz w:val="24"/>
                                <w:szCs w:val="24"/>
                                <w:highlight w:val="yellow"/>
                                <w:lang w:val="en-US" w:eastAsia="zh-CN"/>
                              </w:rPr>
                            </w:pPr>
                            <w:r>
                              <w:rPr>
                                <w:rFonts w:hint="eastAsia"/>
                                <w:b/>
                                <w:bCs/>
                                <w:color w:val="FF0000"/>
                                <w:sz w:val="24"/>
                                <w:szCs w:val="24"/>
                                <w:highlight w:val="yellow"/>
                                <w:lang w:val="en-US" w:eastAsia="zh-CN"/>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25pt;margin-top:308.3pt;height:27.15pt;width:50.25pt;z-index:251675648;v-text-anchor:middle;mso-width-relative:page;mso-height-relative:page;" filled="f" stroked="f" coordsize="21600,21600" o:gfxdata="UEsDBAoAAAAAAIdO4kAAAAAAAAAAAAAAAAAEAAAAZHJzL1BLAwQUAAAACACHTuJAXBv2gNkAAAAL&#10;AQAADwAAAGRycy9kb3ducmV2LnhtbE2PwU7DMAyG70i8Q2QkbizpVgqUptOEAGnHrUiIW9qYttA4&#10;VZN129tjTnC0/en39xfrkxvEjFPoPWlIFgoEUuNtT62Gt+rl5h5EiIasGTyhhjMGWJeXF4XJrT/S&#10;Dud9bAWHUMiNhi7GMZcyNB06ExZ+ROLbp5+ciTxOrbSTOXK4G+RSqUw60xN/6MyITx023/uD0xDq&#10;eVudx83710do6s0zuSrdvmp9fZWoRxART/EPhl99VoeSnWp/IBvEoGGVLm8Z1ZAlWQaCiTRdcbua&#10;N3fqAWRZyP8dyh9QSwMEFAAAAAgAh07iQL8UnLNhAgAAowQAAA4AAABkcnMvZTJvRG9jLnhtbK1U&#10;S27bMBDdF+gdCO4bSbYcO0bkwIiRokDQBEiLrmmKsgTwV5L+pJcp0F0PkeMUvUYfKSUx0i6y6IYa&#10;akZv5r2Z0fnFQUmyE853Rle0OMkpEZqbutObin7+dPVuRokPTNdMGi0qei88vVi8fXO+t3MxMq2R&#10;tXAEINrP97aibQh2nmWet0Ixf2Ks0HA2xikWcHWbrHZsD3Qls1Gen2Z742rrDBfe4+2qd9IB0b0G&#10;0DRNx8XK8K0SOvSoTkgWQMm3nfV0kaptGsHDTdN4EYisKJiGdCIJ7HU8s8U5m28cs23HhxLYa0p4&#10;wUmxTiPpE9SKBUa2rvsLSnXcGW+acMKNynoiSRGwKPIX2ty1zIrEBVJ7+yS6/3+w/OPu1pGuruho&#10;TIlmCh3//f3nr4cfBC+gzt76OYLu7K0bbh5mpHponIpPkCAHfD/NZ2cFdL2vaDk9HRfjSa+uOATC&#10;EXA6nhXTCSUcAeOynOXJnz0DWefDe2EUiUZFHZqXNGW7ax+QHKGPITGvNledlKmBUpM9KpiUOfJz&#10;hqlsMA0wlQUzrzeUMLnBuPPgEuTRtxFyxXxLdgwz4o3s6lg3kkmNR+TfM45WOKwPgwxrU99DOmf6&#10;mfKWX3WAumY+3DKHIUIpWLNwg6ORBvWZwaKkNe7bv97HePQWXkr2GErU83XLnKBEftDo+llRloAN&#10;6VJOpiNc3LFnfezRW3VpwKnAQluezBgf5KPZOKO+YBuXMStcTHPk7lUaLpehXxbsMxfLZQrD5FoW&#10;rvWd5RG878VyG0zTpTZFoXp1Bv0wu0nQYc/ichzfU9Tzv2X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wb9oDZAAAACwEAAA8AAAAAAAAAAQAgAAAAIgAAAGRycy9kb3ducmV2LnhtbFBLAQIUABQA&#10;AAAIAIdO4kC/FJyzYQIAAKMEAAAOAAAAAAAAAAEAIAAAACgBAABkcnMvZTJvRG9jLnhtbFBLBQYA&#10;AAAABgAGAFkBAAD7BQAAAAA=&#10;">
                <v:fill on="f" focussize="0,0"/>
                <v:stroke on="f" weight="2pt"/>
                <v:imagedata o:title=""/>
                <o:lock v:ext="edit" aspectratio="f"/>
                <v:textbox>
                  <w:txbxContent>
                    <w:p>
                      <w:pPr>
                        <w:jc w:val="center"/>
                        <w:rPr>
                          <w:rFonts w:hint="eastAsia" w:eastAsia="宋体"/>
                          <w:b/>
                          <w:bCs/>
                          <w:color w:val="FF0000"/>
                          <w:sz w:val="24"/>
                          <w:szCs w:val="24"/>
                          <w:highlight w:val="yellow"/>
                          <w:lang w:val="en-US" w:eastAsia="zh-CN"/>
                        </w:rPr>
                      </w:pPr>
                      <w:r>
                        <w:rPr>
                          <w:rFonts w:hint="eastAsia"/>
                          <w:b/>
                          <w:bCs/>
                          <w:color w:val="FF0000"/>
                          <w:sz w:val="24"/>
                          <w:szCs w:val="24"/>
                          <w:highlight w:val="yellow"/>
                          <w:lang w:val="en-US" w:eastAsia="zh-CN"/>
                        </w:rPr>
                        <w:t>空地</w:t>
                      </w:r>
                    </w:p>
                  </w:txbxContent>
                </v:textbox>
              </v:rect>
            </w:pict>
          </mc:Fallback>
        </mc:AlternateContent>
      </w:r>
    </w:p>
    <w:p>
      <w:r>
        <w:rPr>
          <w:sz w:val="22"/>
        </w:rPr>
        <mc:AlternateContent>
          <mc:Choice Requires="wps">
            <w:drawing>
              <wp:anchor distT="0" distB="0" distL="114300" distR="114300" simplePos="0" relativeHeight="251684864" behindDoc="0" locked="0" layoutInCell="1" allowOverlap="1">
                <wp:simplePos x="0" y="0"/>
                <wp:positionH relativeFrom="column">
                  <wp:posOffset>3333115</wp:posOffset>
                </wp:positionH>
                <wp:positionV relativeFrom="paragraph">
                  <wp:posOffset>1234440</wp:posOffset>
                </wp:positionV>
                <wp:extent cx="1838325" cy="648335"/>
                <wp:effectExtent l="4445" t="4445" r="5080" b="13970"/>
                <wp:wrapNone/>
                <wp:docPr id="25" name="流程图: 过程 25"/>
                <wp:cNvGraphicFramePr/>
                <a:graphic xmlns:a="http://schemas.openxmlformats.org/drawingml/2006/main">
                  <a:graphicData uri="http://schemas.microsoft.com/office/word/2010/wordprocessingShape">
                    <wps:wsp>
                      <wps:cNvSpPr/>
                      <wps:spPr>
                        <a:xfrm>
                          <a:off x="0" y="0"/>
                          <a:ext cx="1838325" cy="648335"/>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b w:val="0"/>
                                <w:bCs w:val="0"/>
                                <w:sz w:val="24"/>
                                <w:szCs w:val="24"/>
                                <w:lang w:val="en-US" w:eastAsia="zh-CN"/>
                              </w:rPr>
                            </w:pPr>
                            <w:r>
                              <w:rPr>
                                <w:rFonts w:hint="eastAsia"/>
                                <w:b w:val="0"/>
                                <w:bCs w:val="0"/>
                                <w:sz w:val="24"/>
                                <w:szCs w:val="24"/>
                                <w:lang w:val="en-US" w:eastAsia="zh-CN"/>
                              </w:rPr>
                              <w:t>新乡市顺美壁纸有限公司</w:t>
                            </w:r>
                            <w:r>
                              <w:rPr>
                                <w:rFonts w:hint="eastAsia" w:cs="Times New Roman"/>
                                <w:b w:val="0"/>
                                <w:bCs w:val="0"/>
                                <w:color w:val="auto"/>
                                <w:sz w:val="24"/>
                                <w:szCs w:val="24"/>
                                <w:highlight w:val="none"/>
                                <w:lang w:val="en-US" w:eastAsia="zh-CN"/>
                              </w:rPr>
                              <w:t>闲置厂房</w:t>
                            </w:r>
                          </w:p>
                        </w:txbxContent>
                      </wps:txbx>
                      <wps:bodyPr upright="1"/>
                    </wps:wsp>
                  </a:graphicData>
                </a:graphic>
              </wp:anchor>
            </w:drawing>
          </mc:Choice>
          <mc:Fallback>
            <w:pict>
              <v:shape id="_x0000_s1026" o:spid="_x0000_s1026" o:spt="109" type="#_x0000_t109" style="position:absolute;left:0pt;margin-left:262.45pt;margin-top:97.2pt;height:51.05pt;width:144.75pt;z-index:251684864;mso-width-relative:page;mso-height-relative:page;" filled="f" stroked="t" coordsize="21600,21600" o:gfxdata="UEsDBAoAAAAAAIdO4kAAAAAAAAAAAAAAAAAEAAAAZHJzL1BLAwQUAAAACACHTuJADx7xU9kAAAAL&#10;AQAADwAAAGRycy9kb3ducmV2LnhtbE2PwU6DQBCG7ya+w2ZMvNkFQptCWXowkniyWjXxuGWnQGRn&#10;kd1CfXunJ3ubyf/ln2+K7dn2YsLRd44UxIsIBFLtTEeNgo/36mENwgdNRveOUMEvetiWtzeFzo2b&#10;6Q2nfWgEl5DPtYI2hCGX0tctWu0XbkDi7OhGqwOvYyPNqGcut71Momglre6IL7R6wMcW6+/9ySoY&#10;fpqXKvjX56c5uM/qi6Sddjul7u/iaAMi4Dn8w3DRZ3Uo2engTmS86BUskzRjlIMsTUEwsY4vw0FB&#10;kq2WIMtCXv9Q/gFQSwMEFAAAAAgAh07iQDtlxAASAgAAGQQAAA4AAABkcnMvZTJvRG9jLnhtbK1T&#10;S5LTMBDdU8UdVNoT58NMBVecWUwYNhRM1cABOvrYqtKvJCV2lqxYcAQuwAXYwmn4HIOWHDIwbLLA&#10;C7vlbr3X76m1uhqMJnsRonK2obPJlBJhmePKtg19++bmyZKSmMBy0M6Khh5EpFfrx49Wva/F3HVO&#10;cxEIgthY976hXUq+rqrIOmEgTpwXFpPSBQMJl6GteIAe0Y2u5tPpZdW7wH1wTMSIfzdjkh4RwzmA&#10;TkrFxMaxnRE2jahBaEgoKXbKR7ou3UopWHotZRSJ6Iai0lTeSILxNr+r9QrqNoDvFDu2AOe08ECT&#10;AWWR9AS1gQRkF9Q/UEax4KKTacKcqUYhxRFUMZs+8OauAy+KFrQ6+pPp8f/Bslf720AUb+j8ghIL&#10;Bk/8++d3Pz59+PbxS01+fn2PIcEcGtX7WGP9nb8Nx1XEMKseZDD5i3rIUMw9nMwVQyIMf86Wi+Ui&#10;kzDMXT5dLhYFtLrf7UNML4QzJAcNldr11x2EdDsOS/EX9i9jQnbc9rs8E1t3o7Quh6kt6Rv67KJQ&#10;AQ6oxMFAVuNRZLRtgYlOK5635M0xtNtrHcge8pCUJ8tFir/KMt8GYjfWldQ4PkYlkR2BuhPAn1tO&#10;0sGjjxbvD83NGMEp0QKvW45KZQKlz6nEJrTFXrL3o9s5SsN2QJgcbh0/4AnufFBth67NSus5gxNT&#10;RBynO4/kn+sCen+j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x7xU9kAAAALAQAADwAAAAAA&#10;AAABACAAAAAiAAAAZHJzL2Rvd25yZXYueG1sUEsBAhQAFAAAAAgAh07iQDtlxAASAgAAGQQAAA4A&#10;AAAAAAAAAQAgAAAAKAEAAGRycy9lMm9Eb2MueG1sUEsFBgAAAAAGAAYAWQEAAKwFAAAAAA==&#10;">
                <v:fill on="f" focussize="0,0"/>
                <v:stroke color="#000000" joinstyle="miter"/>
                <v:imagedata o:title=""/>
                <o:lock v:ext="edit" aspectratio="f"/>
                <v:textbox>
                  <w:txbxContent>
                    <w:p>
                      <w:pPr>
                        <w:jc w:val="center"/>
                        <w:rPr>
                          <w:rFonts w:hint="eastAsia"/>
                          <w:b w:val="0"/>
                          <w:bCs w:val="0"/>
                          <w:sz w:val="24"/>
                          <w:szCs w:val="24"/>
                          <w:lang w:val="en-US" w:eastAsia="zh-CN"/>
                        </w:rPr>
                      </w:pPr>
                      <w:r>
                        <w:rPr>
                          <w:rFonts w:hint="eastAsia"/>
                          <w:b w:val="0"/>
                          <w:bCs w:val="0"/>
                          <w:sz w:val="24"/>
                          <w:szCs w:val="24"/>
                          <w:lang w:val="en-US" w:eastAsia="zh-CN"/>
                        </w:rPr>
                        <w:t>新乡市顺美壁纸有限公司</w:t>
                      </w:r>
                      <w:r>
                        <w:rPr>
                          <w:rFonts w:hint="eastAsia" w:cs="Times New Roman"/>
                          <w:b w:val="0"/>
                          <w:bCs w:val="0"/>
                          <w:color w:val="auto"/>
                          <w:sz w:val="24"/>
                          <w:szCs w:val="24"/>
                          <w:highlight w:val="none"/>
                          <w:lang w:val="en-US" w:eastAsia="zh-CN"/>
                        </w:rPr>
                        <w:t>闲置厂房</w:t>
                      </w:r>
                    </w:p>
                  </w:txbxContent>
                </v:textbox>
              </v:shape>
            </w:pict>
          </mc:Fallback>
        </mc:AlternateContent>
      </w:r>
      <w:r>
        <w:rPr>
          <w:sz w:val="22"/>
        </w:rPr>
        <mc:AlternateContent>
          <mc:Choice Requires="wps">
            <w:drawing>
              <wp:anchor distT="0" distB="0" distL="114300" distR="114300" simplePos="0" relativeHeight="251688960" behindDoc="0" locked="0" layoutInCell="1" allowOverlap="1">
                <wp:simplePos x="0" y="0"/>
                <wp:positionH relativeFrom="column">
                  <wp:posOffset>313690</wp:posOffset>
                </wp:positionH>
                <wp:positionV relativeFrom="paragraph">
                  <wp:posOffset>3482340</wp:posOffset>
                </wp:positionV>
                <wp:extent cx="1838325" cy="648335"/>
                <wp:effectExtent l="4445" t="4445" r="5080" b="13970"/>
                <wp:wrapNone/>
                <wp:docPr id="27" name="流程图: 过程 27"/>
                <wp:cNvGraphicFramePr/>
                <a:graphic xmlns:a="http://schemas.openxmlformats.org/drawingml/2006/main">
                  <a:graphicData uri="http://schemas.microsoft.com/office/word/2010/wordprocessingShape">
                    <wps:wsp>
                      <wps:cNvSpPr/>
                      <wps:spPr>
                        <a:xfrm>
                          <a:off x="0" y="0"/>
                          <a:ext cx="1838325" cy="648335"/>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空地</w:t>
                            </w:r>
                          </w:p>
                        </w:txbxContent>
                      </wps:txbx>
                      <wps:bodyPr upright="1"/>
                    </wps:wsp>
                  </a:graphicData>
                </a:graphic>
              </wp:anchor>
            </w:drawing>
          </mc:Choice>
          <mc:Fallback>
            <w:pict>
              <v:shape id="_x0000_s1026" o:spid="_x0000_s1026" o:spt="109" type="#_x0000_t109" style="position:absolute;left:0pt;margin-left:24.7pt;margin-top:274.2pt;height:51.05pt;width:144.75pt;z-index:251688960;mso-width-relative:page;mso-height-relative:page;" filled="f" stroked="t" coordsize="21600,21600" o:gfxdata="UEsDBAoAAAAAAIdO4kAAAAAAAAAAAAAAAAAEAAAAZHJzL1BLAwQUAAAACACHTuJAYs5M+dkAAAAK&#10;AQAADwAAAGRycy9kb3ducmV2LnhtbE2PwU7DMAyG70i8Q2QkbiwZa6eu1N0BUYkTYwMkjlkT2orG&#10;KU3WjrfHnOBmy59+f3+xPbteTHYMnSeE5UKBsFR701GD8PpS3WQgQtRkdO/JInzbANvy8qLQufEz&#10;7e10iI3gEAq5RmhjHHIpQ91ap8PCD5b49uFHpyOvYyPNqGcOd728VWotne6IP7R6sPetrT8PJ4cw&#10;fDVPVQzPjw9z9G/VO0k37XaI11dLdQci2nP8g+FXn9WhZKejP5EJokdINgmTCGmS8cDAapVtQBwR&#10;1qlKQZaF/F+h/AFQSwMEFAAAAAgAh07iQOolIVAUAgAAGQQAAA4AAABkcnMvZTJvRG9jLnhtbK1T&#10;O5ITMRDNqeIOKuV4/MGLmfJ4gzVLQoGrFg7QljQzqtKvJNkzDokIOAIX4AKk7GmAPca2NMYLS+KA&#10;CTQtdffrfk+t5WWvFdkLH6Q1FZ2MxpQIwyyXpqnoh/fXzxaUhAiGg7JGVPQgAr1cPX2y7Fwppra1&#10;igtPEMSEsnMVbWN0ZVEE1goNYWSdMOisrdcQceubgnvoEF2rYjoeXxSd9dx5y0QIeLoenPSI6M8B&#10;tHUtmVhbttPCxAHVCwURKYVWukBXudu6Fiy+q+sgIlEVRaYxr1gE7W1ai9USysaDayU7tgDntPCI&#10;kwZpsOgJag0RyM7Lf6C0ZN4GW8cRs7oYiGRFkMVk/EibmxacyFxQ6uBOoof/B8ve7jeeSF7R6QtK&#10;DGi88Z/fPv76+vnHl+8lubv9hCZBHwrVuVBi/I3b+OMuoJlY97XX6Y98SJ/FPZzEFX0kDA8ni9li&#10;Np1TwtB38Xwxm80TaPGQ7XyIr4XVJBkVrZXtrlrwcTMMS9YX9m9CHNJ+h6fCxl5LpfAcSmVIV9GX&#10;81wKcEBrHAysqh2SDKbJMMEqyVNKygi+2V4pT/aQhiR/x87+Ckv11hDaIS67UhiUWkaRFIGyFcBf&#10;GU7iwaGOBt8PTc1owSlRAp9bsnJkBKnOiUR5lEGVkvaD2smK/bZHmGRuLT/gDe6cl02Lqk1y68mD&#10;E5PlPU53Gsk/9xn04UWv7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zkz52QAAAAoBAAAPAAAA&#10;AAAAAAEAIAAAACIAAABkcnMvZG93bnJldi54bWxQSwECFAAUAAAACACHTuJA6iUhUBQCAAAZBAAA&#10;DgAAAAAAAAABACAAAAAoAQAAZHJzL2Uyb0RvYy54bWxQSwUGAAAAAAYABgBZAQAArgUAAAAA&#10;">
                <v:fill on="f" focussize="0,0"/>
                <v:stroke color="#000000" joinstyle="miter"/>
                <v:imagedata o:title=""/>
                <o:lock v:ext="edit" aspectratio="f"/>
                <v:textbox>
                  <w:txbxContent>
                    <w:p>
                      <w:pPr>
                        <w:jc w:val="center"/>
                        <w:rPr>
                          <w:rFonts w:hint="eastAsia" w:ascii="宋体" w:hAnsi="宋体" w:eastAsia="宋体" w:cs="宋体"/>
                          <w:sz w:val="24"/>
                          <w:szCs w:val="24"/>
                          <w:lang w:val="en-US" w:eastAsia="zh-CN"/>
                        </w:rPr>
                      </w:pP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空地</w:t>
                      </w:r>
                    </w:p>
                  </w:txbxContent>
                </v:textbox>
              </v:shape>
            </w:pict>
          </mc:Fallback>
        </mc:AlternateContent>
      </w:r>
      <w:r>
        <w:rPr>
          <w:sz w:val="22"/>
        </w:rPr>
        <mc:AlternateContent>
          <mc:Choice Requires="wps">
            <w:drawing>
              <wp:anchor distT="0" distB="0" distL="114300" distR="114300" simplePos="0" relativeHeight="251691008" behindDoc="0" locked="0" layoutInCell="1" allowOverlap="1">
                <wp:simplePos x="0" y="0"/>
                <wp:positionH relativeFrom="column">
                  <wp:posOffset>4476115</wp:posOffset>
                </wp:positionH>
                <wp:positionV relativeFrom="paragraph">
                  <wp:posOffset>4130040</wp:posOffset>
                </wp:positionV>
                <wp:extent cx="1838325" cy="648335"/>
                <wp:effectExtent l="4445" t="4445" r="5080" b="13970"/>
                <wp:wrapNone/>
                <wp:docPr id="29" name="流程图: 过程 29"/>
                <wp:cNvGraphicFramePr/>
                <a:graphic xmlns:a="http://schemas.openxmlformats.org/drawingml/2006/main">
                  <a:graphicData uri="http://schemas.microsoft.com/office/word/2010/wordprocessingShape">
                    <wps:wsp>
                      <wps:cNvSpPr/>
                      <wps:spPr>
                        <a:xfrm>
                          <a:off x="0" y="0"/>
                          <a:ext cx="1838325" cy="648335"/>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b w:val="0"/>
                                <w:bCs/>
                                <w:sz w:val="24"/>
                                <w:szCs w:val="24"/>
                                <w:lang w:val="en-US" w:eastAsia="zh-CN"/>
                              </w:rPr>
                            </w:pPr>
                            <w:r>
                              <w:rPr>
                                <w:rFonts w:hint="eastAsia"/>
                                <w:b w:val="0"/>
                                <w:bCs/>
                                <w:sz w:val="24"/>
                                <w:szCs w:val="24"/>
                                <w:lang w:val="en-US" w:eastAsia="zh-CN"/>
                              </w:rPr>
                              <w:t>新乡市顺美壁纸有限公司</w:t>
                            </w:r>
                            <w:r>
                              <w:rPr>
                                <w:rFonts w:hint="eastAsia" w:cs="Times New Roman"/>
                                <w:b w:val="0"/>
                                <w:bCs/>
                                <w:color w:val="auto"/>
                                <w:sz w:val="24"/>
                                <w:szCs w:val="24"/>
                                <w:highlight w:val="none"/>
                                <w:lang w:val="en-US" w:eastAsia="zh-CN"/>
                              </w:rPr>
                              <w:t>生产车间</w:t>
                            </w:r>
                          </w:p>
                        </w:txbxContent>
                      </wps:txbx>
                      <wps:bodyPr upright="1"/>
                    </wps:wsp>
                  </a:graphicData>
                </a:graphic>
              </wp:anchor>
            </w:drawing>
          </mc:Choice>
          <mc:Fallback>
            <w:pict>
              <v:shape id="_x0000_s1026" o:spid="_x0000_s1026" o:spt="109" type="#_x0000_t109" style="position:absolute;left:0pt;margin-left:352.45pt;margin-top:325.2pt;height:51.05pt;width:144.75pt;z-index:251691008;mso-width-relative:page;mso-height-relative:page;" filled="f" stroked="t" coordsize="21600,21600" o:gfxdata="UEsDBAoAAAAAAIdO4kAAAAAAAAAAAAAAAAAEAAAAZHJzL1BLAwQUAAAACACHTuJAJgmusNkAAAAL&#10;AQAADwAAAGRycy9kb3ducmV2LnhtbE2PwU7DMAyG70i8Q2QkbizZ1A5amu6AqMSJwWDSjllj2orG&#10;KU3WjrfHnOBm6//0+3OxObteTDiGzpOG5UKBQKq97ajR8P5W3dyBCNGQNb0n1PCNATbl5UVhcutn&#10;esVpFxvBJRRyo6GNccilDHWLzoSFH5A4+/CjM5HXsZF2NDOXu16ulFpLZzriC60Z8KHF+nN3chqG&#10;r+a5iuHl6XGOfl8dSLppu9X6+mqp7kFEPMc/GH71WR1Kdjr6E9kgeg23KskY1bBOVQKCiSxLeDhy&#10;lK5SkGUh//9Q/gBQSwMEFAAAAAgAh07iQJzh6jkUAgAAGQQAAA4AAABkcnMvZTJvRG9jLnhtbK1T&#10;S44TMRDdI3EHy3vS+ZBRppXOLCYMGwSRhjlAxXZ3W/JPtpPuLFmx4AhcgAuwhdMMcIwpu0MGhk0W&#10;9MJddlW9qvdcXl71WpG98EFaU9HJaEyJMMxyaZqK3r2/ebGgJEQwHJQ1oqIHEejV6vmzZedKMbWt&#10;VVx4giAmlJ2raBujK4sisFZoCCPrhEFnbb2GiFvfFNxDh+haFdPx+KLorOfOWyZCwNP14KRHRH8O&#10;oK1rycTasp0WJg6oXiiISCm00gW6yt3WtWDxXV0HEYmqKDKNecUiaG/TWqyWUDYeXCvZsQU4p4Un&#10;nDRIg0VPUGuIQHZe/gOlJfM22DqOmNXFQCQrgiwm4yfa3LbgROaCUgd3Ej38P1j2dr/xRPKKTi8p&#10;MaDxxn98/fDzy6f7z99K8uv7RzQJ+lCozoUS42/dxh93Ac3Euq+9Tn/kQ/os7uEkrugjYXg4WcwW&#10;s+mcEoa+i5eL2WyeQIvHbOdDfC2sJsmoaK1sd92Cj5thWLK+sH8T4pD2OzwVNvZGKoXnUCpDuope&#10;znMpwAGtcTCwqnZIMpgmwwSrJE8pKSP4ZnutPNlDGpL8HTv7KyzVW0Noh7jsSmFQahlFUgTKVgB/&#10;ZTiJB4c6Gnw/NDWjBadECXxuycqREaQ6JxLlUQZVStoPaicr9tseYZK5tfyAN7hzXjYtqjbJrScP&#10;TkyW9zjdaST/3GfQxxe9e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Ca6w2QAAAAsBAAAPAAAA&#10;AAAAAAEAIAAAACIAAABkcnMvZG93bnJldi54bWxQSwECFAAUAAAACACHTuJAnOHqORQCAAAZBAAA&#10;DgAAAAAAAAABACAAAAAoAQAAZHJzL2Uyb0RvYy54bWxQSwUGAAAAAAYABgBZAQAArgUAAAAA&#10;">
                <v:fill on="f" focussize="0,0"/>
                <v:stroke color="#000000" joinstyle="miter"/>
                <v:imagedata o:title=""/>
                <o:lock v:ext="edit" aspectratio="f"/>
                <v:textbox>
                  <w:txbxContent>
                    <w:p>
                      <w:pPr>
                        <w:jc w:val="center"/>
                        <w:rPr>
                          <w:rFonts w:hint="eastAsia"/>
                          <w:b w:val="0"/>
                          <w:bCs/>
                          <w:sz w:val="24"/>
                          <w:szCs w:val="24"/>
                          <w:lang w:val="en-US" w:eastAsia="zh-CN"/>
                        </w:rPr>
                      </w:pPr>
                      <w:r>
                        <w:rPr>
                          <w:rFonts w:hint="eastAsia"/>
                          <w:b w:val="0"/>
                          <w:bCs/>
                          <w:sz w:val="24"/>
                          <w:szCs w:val="24"/>
                          <w:lang w:val="en-US" w:eastAsia="zh-CN"/>
                        </w:rPr>
                        <w:t>新乡市顺美壁纸有限公司</w:t>
                      </w:r>
                      <w:r>
                        <w:rPr>
                          <w:rFonts w:hint="eastAsia" w:cs="Times New Roman"/>
                          <w:b w:val="0"/>
                          <w:bCs/>
                          <w:color w:val="auto"/>
                          <w:sz w:val="24"/>
                          <w:szCs w:val="24"/>
                          <w:highlight w:val="none"/>
                          <w:lang w:val="en-US" w:eastAsia="zh-CN"/>
                        </w:rPr>
                        <w:t>生产车间</w:t>
                      </w:r>
                    </w:p>
                  </w:txbxContent>
                </v:textbox>
              </v:shape>
            </w:pict>
          </mc:Fallback>
        </mc:AlternateContent>
      </w:r>
      <w:r>
        <w:rPr>
          <w:sz w:val="22"/>
        </w:rPr>
        <mc:AlternateContent>
          <mc:Choice Requires="wps">
            <w:drawing>
              <wp:anchor distT="0" distB="0" distL="114300" distR="114300" simplePos="0" relativeHeight="251689984" behindDoc="0" locked="0" layoutInCell="1" allowOverlap="1">
                <wp:simplePos x="0" y="0"/>
                <wp:positionH relativeFrom="column">
                  <wp:posOffset>2466340</wp:posOffset>
                </wp:positionH>
                <wp:positionV relativeFrom="paragraph">
                  <wp:posOffset>7339965</wp:posOffset>
                </wp:positionV>
                <wp:extent cx="1838325" cy="648335"/>
                <wp:effectExtent l="4445" t="4445" r="5080" b="13970"/>
                <wp:wrapNone/>
                <wp:docPr id="28" name="流程图: 过程 28"/>
                <wp:cNvGraphicFramePr/>
                <a:graphic xmlns:a="http://schemas.openxmlformats.org/drawingml/2006/main">
                  <a:graphicData uri="http://schemas.microsoft.com/office/word/2010/wordprocessingShape">
                    <wps:wsp>
                      <wps:cNvSpPr/>
                      <wps:spPr>
                        <a:xfrm>
                          <a:off x="0" y="0"/>
                          <a:ext cx="1838325" cy="648335"/>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lang w:val="en-US" w:eastAsia="zh-CN"/>
                              </w:rPr>
                            </w:pPr>
                            <w:r>
                              <w:rPr>
                                <w:rFonts w:hint="eastAsia" w:cs="Times New Roman"/>
                                <w:color w:val="auto"/>
                                <w:sz w:val="24"/>
                                <w:highlight w:val="none"/>
                                <w:lang w:val="en-US" w:eastAsia="zh-CN"/>
                              </w:rPr>
                              <w:t>新乡市众和保温材料有限公司厂房</w:t>
                            </w:r>
                          </w:p>
                        </w:txbxContent>
                      </wps:txbx>
                      <wps:bodyPr upright="1"/>
                    </wps:wsp>
                  </a:graphicData>
                </a:graphic>
              </wp:anchor>
            </w:drawing>
          </mc:Choice>
          <mc:Fallback>
            <w:pict>
              <v:shape id="_x0000_s1026" o:spid="_x0000_s1026" o:spt="109" type="#_x0000_t109" style="position:absolute;left:0pt;margin-left:194.2pt;margin-top:577.95pt;height:51.05pt;width:144.75pt;z-index:251689984;mso-width-relative:page;mso-height-relative:page;" filled="f" stroked="t" coordsize="21600,21600" o:gfxdata="UEsDBAoAAAAAAIdO4kAAAAAAAAAAAAAAAAAEAAAAZHJzL1BLAwQUAAAACACHTuJAcjEowdoAAAAN&#10;AQAADwAAAGRycy9kb3ducmV2LnhtbE2PQU/DMAyF70j8h8hI3FjSQbdSmu6AqMSJjQESx6wxbUXj&#10;lCZrx7/HnOBm+z09f6/YnFwvJhxD50lDslAgkGpvO2o0vL5UVxmIEA1Z03tCDd8YYFOenxUmt36m&#10;Z5z2sREcQiE3GtoYh1zKULfoTFj4AYm1Dz86E3kdG2lHM3O46+VSqZV0piP+0JoB71usP/dHp2H4&#10;ap6qGHaPD3P0b9U7STdtt1pfXiTqDkTEU/wzwy8+o0PJTAd/JBtEr+E6y27YykKSprcg2LJar3k4&#10;8GmZZgpkWcj/LcofUEsDBBQAAAAIAIdO4kDUwiD8EwIAABkEAAAOAAAAZHJzL2Uyb0RvYy54bWyt&#10;U0uS0zAQ3VPFHVTaE+dDpoIrziwmDBsKUjVwgI4k26rSryQldpasWHAELsAF2MJp+ByDlmwyMGyy&#10;wAu5pe5+3e+ptb7utSJH4YO0pqKzyZQSYZjl0jQVffvm9smKkhDBcFDWiIqeRKDXm8eP1p0rxdy2&#10;VnHhCYKYUHauom2MriyKwFqhIUysEwadtfUaIm59U3APHaJrVcyn06uis547b5kIAU+3g5OOiP4S&#10;QFvXkomtZQctTBxQvVAQkVJopQt0k7uta8Hi67oOIhJVUWQa84pF0N6ntdisoWw8uFaysQW4pIUH&#10;nDRIg0XPUFuIQA5e/gOlJfM22DpOmNXFQCQrgixm0wfa3LXgROaCUgd3Fj38P1j26rjzRPKKzvHe&#10;DWi88e+f3/349OHbxy8l+fn1PZoEfShU50KJ8Xdu58ddQDOx7muv0x/5kD6LezqLK/pIGB7OVovV&#10;Yr6khKHv6ulqsVgm0OI+2/kQXwirSTIqWivb3bTg424YlqwvHF+GOKT9Dk+Fjb2VSuE5lMqQrqLP&#10;lrkU4IDWOBhYVTskGUyTYYJVkqeUlBF8s79RnhwhDUn+xs7+Ckv1thDaIS67UhiUWkaRFIGyFcCf&#10;G07iyaGOBt8PTc1owSlRAp9bsnJkBKkuiUR5lEGVkvaD2smK/b5HmGTuLT/hDR6cl02Lqs1y68mD&#10;E5PlHac7jeSf+wx6/6I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yMSjB2gAAAA0BAAAPAAAA&#10;AAAAAAEAIAAAACIAAABkcnMvZG93bnJldi54bWxQSwECFAAUAAAACACHTuJA1MIg/BMCAAAZBAAA&#10;DgAAAAAAAAABACAAAAApAQAAZHJzL2Uyb0RvYy54bWxQSwUGAAAAAAYABgBZAQAArgUAAAAA&#10;">
                <v:fill on="f" focussize="0,0"/>
                <v:stroke color="#000000" joinstyle="miter"/>
                <v:imagedata o:title=""/>
                <o:lock v:ext="edit" aspectratio="f"/>
                <v:textbox>
                  <w:txbxContent>
                    <w:p>
                      <w:pPr>
                        <w:rPr>
                          <w:rFonts w:hint="eastAsia"/>
                          <w:lang w:val="en-US" w:eastAsia="zh-CN"/>
                        </w:rPr>
                      </w:pPr>
                      <w:r>
                        <w:rPr>
                          <w:rFonts w:hint="eastAsia" w:cs="Times New Roman"/>
                          <w:color w:val="auto"/>
                          <w:sz w:val="24"/>
                          <w:highlight w:val="none"/>
                          <w:lang w:val="en-US" w:eastAsia="zh-CN"/>
                        </w:rPr>
                        <w:t>新乡市众和保温材料有限公司厂房</w:t>
                      </w:r>
                    </w:p>
                  </w:txbxContent>
                </v:textbox>
              </v:shape>
            </w:pict>
          </mc:Fallback>
        </mc:AlternateContent>
      </w:r>
      <w:r>
        <w:rPr>
          <w:rFonts w:hint="eastAsia" w:eastAsia="微软雅黑"/>
          <w:sz w:val="22"/>
          <w:lang w:eastAsia="zh-CN"/>
        </w:rPr>
        <w:drawing>
          <wp:anchor distT="0" distB="0" distL="114300" distR="114300" simplePos="0" relativeHeight="251687936" behindDoc="0" locked="0" layoutInCell="1" allowOverlap="1">
            <wp:simplePos x="0" y="0"/>
            <wp:positionH relativeFrom="column">
              <wp:posOffset>5962015</wp:posOffset>
            </wp:positionH>
            <wp:positionV relativeFrom="paragraph">
              <wp:posOffset>553720</wp:posOffset>
            </wp:positionV>
            <wp:extent cx="667385" cy="962660"/>
            <wp:effectExtent l="0" t="0" r="18415" b="8890"/>
            <wp:wrapNone/>
            <wp:docPr id="26" name="图片 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指北针"/>
                    <pic:cNvPicPr>
                      <a:picLocks noChangeAspect="1"/>
                    </pic:cNvPicPr>
                  </pic:nvPicPr>
                  <pic:blipFill>
                    <a:blip r:embed="rId23"/>
                    <a:stretch>
                      <a:fillRect/>
                    </a:stretch>
                  </pic:blipFill>
                  <pic:spPr>
                    <a:xfrm>
                      <a:off x="0" y="0"/>
                      <a:ext cx="667385" cy="962660"/>
                    </a:xfrm>
                    <a:prstGeom prst="rect">
                      <a:avLst/>
                    </a:prstGeom>
                    <a:noFill/>
                    <a:ln>
                      <a:noFill/>
                    </a:ln>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19050</wp:posOffset>
                </wp:positionH>
                <wp:positionV relativeFrom="paragraph">
                  <wp:posOffset>551815</wp:posOffset>
                </wp:positionV>
                <wp:extent cx="6619240" cy="8181340"/>
                <wp:effectExtent l="9525" t="9525" r="19685" b="19685"/>
                <wp:wrapNone/>
                <wp:docPr id="30" name="矩形 30"/>
                <wp:cNvGraphicFramePr/>
                <a:graphic xmlns:a="http://schemas.openxmlformats.org/drawingml/2006/main">
                  <a:graphicData uri="http://schemas.microsoft.com/office/word/2010/wordprocessingShape">
                    <wps:wsp>
                      <wps:cNvSpPr/>
                      <wps:spPr>
                        <a:xfrm>
                          <a:off x="589915" y="551815"/>
                          <a:ext cx="6619240" cy="81813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43.45pt;height:644.2pt;width:521.2pt;z-index:251683840;v-text-anchor:middle;mso-width-relative:page;mso-height-relative:page;" filled="f" stroked="t" coordsize="21600,21600" o:gfxdata="UEsDBAoAAAAAAIdO4kAAAAAAAAAAAAAAAAAEAAAAZHJzL1BLAwQUAAAACACHTuJApgyVPNoAAAAK&#10;AQAADwAAAGRycy9kb3ducmV2LnhtbE2PzU7DMBCE70i8g7VI3Khd0pYS4lT8iBuqoO2F2yZZkgh7&#10;HcVO2/TpcU/0NqtZzXyTrY7WiD31vnWsYTpRIIhLV7Vca9ht3++WIHxArtA4Jg0jeVjl11cZppU7&#10;8BftN6EWMYR9ihqaELpUSl82ZNFPXEccvR/XWwzx7GtZ9XiI4dbIe6UW0mLLsaHBjl4bKn83g9Vg&#10;8S05fRYjj9viY2devtfr0/Og9e3NVD2BCHQM/89wxo/okEemwg1ceWE0JHFJ0LBcPII422o2n4Eo&#10;okoe5gnIPJOXE/I/UEsDBBQAAAAIAIdO4kC96TPUZQIAAMEEAAAOAAAAZHJzL2Uyb0RvYy54bWyt&#10;VEtu2zAQ3RfoHQjuG1lOnNpG5MCIkaJA0ARwi65pirQE8FeStpxepkB3PUSOU/QafaSUT9MusqgX&#10;9Ixm9Gbe44zOzg9akb3wobWmouXRiBJhuK1bs63op4+Xb6aUhMhMzZQ1oqK3ItDzxetXZ52bi7Ft&#10;rKqFJwAxYd65ijYxunlRBN4IzcKRdcIgKK3XLML126L2rAO6VsV4NDotOutr5y0XIeDpqg/SAdG/&#10;BNBK2XKxsnynhYk9qheKRVAKTesCXeRupRQ8XksZRCSqomAa84kisDfpLBZnbL71zDUtH1pgL2nh&#10;GSfNWoOiD1ArFhnZ+fYvKN1yb4OV8YhbXfREsiJgUY6eabNumBOZC6QO7kH08P9g+Yf9jSdtXdFj&#10;SGKYxo3/+vbj5913ggdQp3NhjqS1u/GDF2AmqgfpdfoHCXKo6GQ6m5UTSm5hTsopzKytOETCET49&#10;LWfjE9TgSJgifgwHGcUjkPMhvhNWk2RU1OPysqZsfxVin3qfkuoae9kqlYsoQzrM8mw0SQUYplJi&#10;GmBqB2bBbClhaotx59FnyGBVW6fXE1Dw282F8mTP0pDk39DZH2mp9oqFps/LoSFNGfBIQvXSJGtj&#10;61sI620/ccHxyxbvX7EQb5jHiKFRLGG8xiGVRfd2sChprP/6r+cpHzePKCUdRhbMvuyYF5So9wYz&#10;MStPksAxOyeTt2M4/mlk8zRidvrCgnCJdXc8myk/qntTeqs/Y1eXqSpCzHDU7jUcnIvYrxK2nYvl&#10;Mqdhrh2LV2bteALvb2q5i1a2+RIf1RlEw2TnMRi2MK3OUz9nPX55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gyVPNoAAAAKAQAADwAAAAAAAAABACAAAAAiAAAAZHJzL2Rvd25yZXYueG1sUEsB&#10;AhQAFAAAAAgAh07iQL3pM9RlAgAAwQQAAA4AAAAAAAAAAQAgAAAAKQEAAGRycy9lMm9Eb2MueG1s&#10;UEsFBgAAAAAGAAYAWQEAAAAGAAAAAA==&#10;">
                <v:fill on="f" focussize="0,0"/>
                <v:stroke weight="1.5pt" color="#000000 [3213]" joinstyle="round"/>
                <v:imagedata o:title=""/>
                <o:lock v:ext="edit" aspectratio="f"/>
              </v:rect>
            </w:pict>
          </mc:Fallback>
        </mc:AlternateContent>
      </w:r>
      <w:r>
        <w:rPr>
          <w:sz w:val="32"/>
        </w:rPr>
        <mc:AlternateContent>
          <mc:Choice Requires="wps">
            <w:drawing>
              <wp:anchor distT="0" distB="0" distL="114300" distR="114300" simplePos="0" relativeHeight="251685888" behindDoc="0" locked="0" layoutInCell="1" allowOverlap="1">
                <wp:simplePos x="0" y="0"/>
                <wp:positionH relativeFrom="column">
                  <wp:posOffset>1129665</wp:posOffset>
                </wp:positionH>
                <wp:positionV relativeFrom="paragraph">
                  <wp:posOffset>3831590</wp:posOffset>
                </wp:positionV>
                <wp:extent cx="4319905" cy="1440180"/>
                <wp:effectExtent l="445135" t="114300" r="457835" b="118745"/>
                <wp:wrapNone/>
                <wp:docPr id="31" name="矩形 31"/>
                <wp:cNvGraphicFramePr/>
                <a:graphic xmlns:a="http://schemas.openxmlformats.org/drawingml/2006/main">
                  <a:graphicData uri="http://schemas.microsoft.com/office/word/2010/wordprocessingShape">
                    <wps:wsp>
                      <wps:cNvSpPr/>
                      <wps:spPr>
                        <a:xfrm rot="6120000">
                          <a:off x="0" y="0"/>
                          <a:ext cx="4319905" cy="1440180"/>
                        </a:xfrm>
                        <a:prstGeom prst="rect">
                          <a:avLst/>
                        </a:prstGeom>
                        <a:noFill/>
                        <a:ln w="19050"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88.95pt;margin-top:301.7pt;height:113.4pt;width:340.15pt;rotation:6684672f;z-index:251685888;mso-width-relative:page;mso-height-relative:page;" filled="f" stroked="t" coordsize="21600,21600" o:gfxdata="UEsDBAoAAAAAAIdO4kAAAAAAAAAAAAAAAAAEAAAAZHJzL1BLAwQUAAAACACHTuJAygOR090AAAAL&#10;AQAADwAAAGRycy9kb3ducmV2LnhtbE2PTUvDQBCG74L/YRnBm91tqm0asym2UASLglUavG2SMQnN&#10;zobs9kN/veNJb/MyD+88ky7OthNHHHzrSMN4pEAgla5qqdbw/ra+iUH4YKgynSPU8IUeFtnlRWqS&#10;yp3oFY/bUAsuIZ8YDU0IfSKlLxu0xo9cj8S7TzdYEzgOtawGc+Jy28lIqam0piW+0JgeVw2W++3B&#10;avie79z65WP5tCs2D2G/zPN89fyo9fXVWN2DCHgOfzD86rM6ZOxUuANVXnScZ7M5oxqmanILgon4&#10;Lo5AFDxMVAQyS+X/H7IfUEsDBBQAAAAIAIdO4kC32VkrAwIAAAcEAAAOAAAAZHJzL2Uyb0RvYy54&#10;bWytU82O0zAQviPxDpbvNMluWe1GTfdAWS4IVtrlAVx7kljynzxu0z4NEjcegsdBvAZjpxRYLnsg&#10;h2hsf/5mvm/Gq9uDNWwPEbV3HW8WNWfgpFfaDR3/9Hj36pozTMIpYbyDjh8B+e365YvVFFq48KM3&#10;CiIjEoftFDo+phTaqkI5ghW48AEcHfY+WpFoGYdKRTERuzXVRV1fVZOPKkQvAZF2N/MhPzHG5xD6&#10;vtcSNl7uLLg0s0YwIpEkHHVAvi7V9j3I9LHvERIzHSelqfwpCcXb/K/WK9EOUYRRy1MJ4jklPNFk&#10;hXaU9Ey1EUmwXdT/UFkto0ffp4X0tpqFFEdIRVM/8eZhFAGKFrIaw9l0/H+08sP+PjKtOn7ZcOaE&#10;pY7/+Pz1+7cvjDbInSlgS6CHcB9PK6QwSz300bLoydKrhhpb18UAksQOxd/j2V84JCZpc3nZ3NzU&#10;rzmTdNYsl3VzXTpQzWSZNERM78BbloOOR2pgoRX795ioAIL+gmS483famNJE49hErMRPvZWCJrOn&#10;iaDQBlKHbig86I1W+U6+jXHYvjGR7UWejvJlyZTjL1hOuBE4zrhyNM+N1QmyK6IdQai3TrF0DGSg&#10;o4fDczUWFGcG6J3lqCCT0OY5SCrCOKol+z87nqOtV0fq1y5EPYzkT2lRwdB8lMpPs5wH8M91Yfr9&#10;ft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oDkdPdAAAACwEAAA8AAAAAAAAAAQAgAAAAIgAA&#10;AGRycy9kb3ducmV2LnhtbFBLAQIUABQAAAAIAIdO4kC32VkrAwIAAAcEAAAOAAAAAAAAAAEAIAAA&#10;ACwBAABkcnMvZTJvRG9jLnhtbFBLBQYAAAAABgAGAFkBAAChBQAAAAA=&#10;">
                <v:fill on="f" focussize="0,0"/>
                <v:stroke weight="1.5pt" color="#000000" joinstyle="miter"/>
                <v:imagedata o:title=""/>
                <o:lock v:ext="edit" aspectratio="f"/>
              </v:rect>
            </w:pict>
          </mc:Fallback>
        </mc:AlternateContent>
      </w:r>
      <w:r>
        <w:rPr>
          <w:sz w:val="22"/>
        </w:rPr>
        <mc:AlternateContent>
          <mc:Choice Requires="wps">
            <w:drawing>
              <wp:anchor distT="0" distB="0" distL="114300" distR="114300" simplePos="0" relativeHeight="251686912" behindDoc="0" locked="0" layoutInCell="1" allowOverlap="1">
                <wp:simplePos x="0" y="0"/>
                <wp:positionH relativeFrom="column">
                  <wp:posOffset>5856605</wp:posOffset>
                </wp:positionH>
                <wp:positionV relativeFrom="paragraph">
                  <wp:posOffset>8130540</wp:posOffset>
                </wp:positionV>
                <wp:extent cx="733425" cy="552450"/>
                <wp:effectExtent l="0" t="0" r="0" b="0"/>
                <wp:wrapNone/>
                <wp:docPr id="32" name="流程图: 过程 32"/>
                <wp:cNvGraphicFramePr/>
                <a:graphic xmlns:a="http://schemas.openxmlformats.org/drawingml/2006/main">
                  <a:graphicData uri="http://schemas.microsoft.com/office/word/2010/wordprocessingShape">
                    <wps:wsp>
                      <wps:cNvSpPr/>
                      <wps:spPr>
                        <a:xfrm>
                          <a:off x="0" y="0"/>
                          <a:ext cx="733425" cy="552450"/>
                        </a:xfrm>
                        <a:prstGeom prst="flowChartProcess">
                          <a:avLst/>
                        </a:prstGeom>
                        <a:noFill/>
                        <a:ln w="12700" cap="flat" cmpd="sng">
                          <a:noFill/>
                          <a:prstDash val="solid"/>
                          <a:miter/>
                          <a:headEnd type="none" w="med" len="med"/>
                          <a:tailEnd type="none" w="med" len="med"/>
                        </a:ln>
                      </wps:spPr>
                      <wps:txbx>
                        <w:txbxContent>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比例尺：</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1:500</w:t>
                            </w:r>
                          </w:p>
                          <w:p>
                            <w:pPr>
                              <w:rPr>
                                <w:rFonts w:hint="default"/>
                                <w:lang w:val="en-US" w:eastAsia="zh-CN"/>
                              </w:rPr>
                            </w:pPr>
                          </w:p>
                        </w:txbxContent>
                      </wps:txbx>
                      <wps:bodyPr upright="1"/>
                    </wps:wsp>
                  </a:graphicData>
                </a:graphic>
              </wp:anchor>
            </w:drawing>
          </mc:Choice>
          <mc:Fallback>
            <w:pict>
              <v:shape id="_x0000_s1026" o:spid="_x0000_s1026" o:spt="109" type="#_x0000_t109" style="position:absolute;left:0pt;margin-left:461.15pt;margin-top:640.2pt;height:43.5pt;width:57.75pt;z-index:251686912;mso-width-relative:page;mso-height-relative:page;" filled="f" stroked="f" coordsize="21600,21600" o:gfxdata="UEsDBAoAAAAAAIdO4kAAAAAAAAAAAAAAAAAEAAAAZHJzL1BLAwQUAAAACACHTuJAeCB5dNsAAAAO&#10;AQAADwAAAGRycy9kb3ducmV2LnhtbE2PwWrDMBBE74X+g9hAb40U28SpazmUQg+BXpoEcpUtxTKx&#10;VsZS7OTvuzm1tx3mMTtTbm+uZ5MZQ+dRwmopgBlsvO6wlXA8fL1ugIWoUKveo5FwNwG21fNTqQrt&#10;Z/wx0z62jEIwFEqCjXEoOA+NNU6FpR8Mknf2o1OR5NhyPaqZwl3PEyHW3KkO6YNVg/m0prnsr05C&#10;fbDh5LOPc57Nu509Td/3MDVSvixW4h1YNLf4B8OjPlWHijrV/oo6sF7CW5KkhJKRbEQG7IGINKc5&#10;NV3pOs+AVyX/P6P6BVBLAwQUAAAACACHTuJAmUh+rQICAADwAwAADgAAAGRycy9lMm9Eb2MueG1s&#10;rVNLjhMxEN0jcQfLe9JJZ8KgVjqzIAwbBCMNHKDiT9qSf7KddGfJigVH4AJcgC2cZoBjUHaHzGjY&#10;ZMGmu+wqv6r3/Ly8GowmexGicrals8mUEmGZ48puW/rh/fWzF5TEBJaDdla09CAivVo9fbLsfSNq&#10;1znNRSAIYmPT+5Z2KfmmqiLrhIE4cV5YTEoXDCRchm3FA/SIbnRVT6fPq94F7oNjIkbcXY9JekQM&#10;5wA6KRUTa8d2Rtg0ogahISGl2Ckf6apMK6Vg6Z2UUSSiW4pMU/liE4w3+VutltBsA/hOseMIcM4I&#10;jzgZUBabnqDWkIDsgvoHyigWXHQyTZgz1UikKIIsZtNH2tx24EXhglJHfxI9/j9Y9nZ/E4jiLZ3X&#10;lFgweOM/v3389fXz3ZfvDfn94xOGBHMoVO9jg/W3/iYcVxHDzHqQweQ/8iFDEfdwElcMiTDcvJzP&#10;L+oFJQxTi0V9sSjiV/eHfYjptXCG5KClUrv+ZQch3YxeKfLC/k1M2ByP/S3Pfa27VlqXu9SW9Gjr&#10;+nKKV8wADSrRGBgajySj3RacBwcyzhpiR/aAHolOKz66wqgkMlFoOgH8leUkHTzKY/FZ0NzECE6J&#10;FviKclQqEyh9TiXOry3SyJKOIuYoDZsBYXK4cfyAF7PzQW07VGOW8Us5GqHwP5o2O+3hulTdP9T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geXTbAAAADgEAAA8AAAAAAAAAAQAgAAAAIgAAAGRy&#10;cy9kb3ducmV2LnhtbFBLAQIUABQAAAAIAIdO4kCZSH6tAgIAAPADAAAOAAAAAAAAAAEAIAAAACoB&#10;AABkcnMvZTJvRG9jLnhtbFBLBQYAAAAABgAGAFkBAACeBQAAAAA=&#10;">
                <v:fill on="f" focussize="0,0"/>
                <v:stroke on="f" weight="1pt" joinstyle="miter"/>
                <v:imagedata o:title=""/>
                <o:lock v:ext="edit" aspectratio="f"/>
                <v:textbox>
                  <w:txbxContent>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比例尺：</w:t>
                      </w:r>
                    </w:p>
                    <w:p>
                      <w:pP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1:500</w:t>
                      </w:r>
                    </w:p>
                    <w:p>
                      <w:pPr>
                        <w:rPr>
                          <w:rFonts w:hint="default"/>
                          <w:lang w:val="en-US" w:eastAsia="zh-CN"/>
                        </w:rPr>
                      </w:pP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499110</wp:posOffset>
                </wp:positionH>
                <wp:positionV relativeFrom="paragraph">
                  <wp:posOffset>8836025</wp:posOffset>
                </wp:positionV>
                <wp:extent cx="5396865" cy="51625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396865" cy="516255"/>
                        </a:xfrm>
                        <a:prstGeom prst="rect">
                          <a:avLst/>
                        </a:prstGeom>
                        <a:noFill/>
                        <a:ln w="12700" cmpd="sng">
                          <a:noFill/>
                          <a:prstDash val="solid"/>
                        </a:ln>
                      </wps:spPr>
                      <wps:txbx>
                        <w:txbxContent>
                          <w:p>
                            <w:pPr>
                              <w:jc w:val="center"/>
                              <w:rPr>
                                <w:rFonts w:hint="default" w:eastAsia="宋体"/>
                                <w:b/>
                                <w:sz w:val="30"/>
                                <w:szCs w:val="30"/>
                                <w:lang w:val="en-US" w:eastAsia="zh-CN"/>
                              </w:rPr>
                            </w:pPr>
                            <w:r>
                              <w:rPr>
                                <w:rFonts w:hint="eastAsia"/>
                                <w:b/>
                                <w:sz w:val="30"/>
                                <w:szCs w:val="30"/>
                                <w:lang w:val="en-US" w:eastAsia="zh-CN"/>
                              </w:rPr>
                              <w:t>附图4</w:t>
                            </w:r>
                            <w:r>
                              <w:rPr>
                                <w:rFonts w:hint="eastAsia"/>
                                <w:b/>
                                <w:sz w:val="30"/>
                                <w:szCs w:val="30"/>
                              </w:rPr>
                              <w:t xml:space="preserve">  </w:t>
                            </w:r>
                            <w:r>
                              <w:rPr>
                                <w:rFonts w:hint="eastAsia" w:ascii="宋体" w:hAnsi="宋体" w:eastAsia="宋体" w:cs="宋体"/>
                                <w:b/>
                                <w:bCs/>
                                <w:sz w:val="30"/>
                                <w:szCs w:val="30"/>
                              </w:rPr>
                              <w:t>项目平面布置</w:t>
                            </w:r>
                            <w:r>
                              <w:rPr>
                                <w:rFonts w:hint="eastAsia" w:ascii="宋体" w:hAnsi="宋体" w:eastAsia="宋体" w:cs="宋体"/>
                                <w:b/>
                                <w:bCs/>
                                <w:sz w:val="30"/>
                                <w:szCs w:val="30"/>
                                <w:lang w:val="en-US" w:eastAsia="zh-CN"/>
                              </w:rPr>
                              <w:t>图</w:t>
                            </w:r>
                          </w:p>
                        </w:txbxContent>
                      </wps:txbx>
                      <wps:bodyPr wrap="square" upright="1"/>
                    </wps:wsp>
                  </a:graphicData>
                </a:graphic>
              </wp:anchor>
            </w:drawing>
          </mc:Choice>
          <mc:Fallback>
            <w:pict>
              <v:shape id="_x0000_s1026" o:spid="_x0000_s1026" o:spt="202" type="#_x0000_t202" style="position:absolute;left:0pt;margin-left:39.3pt;margin-top:695.75pt;height:40.65pt;width:424.95pt;z-index:251681792;mso-width-relative:page;mso-height-relative:page;" filled="f" stroked="f" coordsize="21600,21600" o:gfxdata="UEsDBAoAAAAAAIdO4kAAAAAAAAAAAAAAAAAEAAAAZHJzL1BLAwQUAAAACACHTuJAF7koF9kAAAAM&#10;AQAADwAAAGRycy9kb3ducmV2LnhtbE2PQVODQAyF7874H3bijDe7QLUFZOmoMx489GDVe4AUmLJZ&#10;ZLe0+uuNJ70lLy8vX4rN2Q5qpsn3jg3EiwgUce2anlsD72/PNykoH5AbHByTgS/ysCkvLwrMG3fi&#10;V5p3oVUSwj5HA10IY661rzuy6BduJJbZ3k0Wg7RTq5sJTxJuB51E0Upb7FkudDjSU0f1YXe0gjF/&#10;VMssPDjvt/vk8eUbt9Xh05jrqzi6BxXoHP7M8IsvO1AKU+WO3Hg1GFinK3GKvsziO1DiyJJUikqk&#10;23WSgi4L/f+J8gdQSwMEFAAAAAgAh07iQLDPz6fUAQAAjAMAAA4AAABkcnMvZTJvRG9jLnhtbK1T&#10;S27bMBDdF+gdCO5ryTbkJoLlAIGRboq2QJoD0BQlEeCvHNqSL5DcoKtuuu+5fI4OKcUJkk0W2VDk&#10;fN7MezNaXw1akYPwIK2p6HyWUyIMt7U0bUXvft58uqAEAjM1U9aIih4F0KvNxw/r3pViYTurauEJ&#10;ghgoe1fRLgRXZhnwTmgGM+uEQWdjvWYBn77Nas96RNcqW+T5Kuutr523XACgdTs66YTo3wJom0Zy&#10;sbV8r4UJI6oXigWkBJ10QDep26YRPHxvGhCBqIoi05BOLIL3XTyzzZqVrWeuk3xqgb2lhRecNJMG&#10;i56htiwwsvfyFZSW3FuwTZhxq7ORSFIEWczzF9rcdsyJxAWlBncWHd4Pln87/PBE1hVdLikxTOPE&#10;T78fTn/+nf7eE7ShQL2DEuNuHUaG4doOuDaPdkBj5D00XscvMiLoR3mPZ3nFEAhHY7G8XF2sCko4&#10;+or5alEUESZ7ynYewhdhNYmXinocX1KVHb5CGEMfQ2IxY2+kUmmEypAe21p8zrE01w4JgWlT8rOo&#10;mLxl0JEDw30Aq2Q9daAMNhKJjoTiLQy7YWK/s/URyfe4J5j2a8+8oGTvvGw7bDOJkZJxSInPtFBx&#10;C56/U4mnn2j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e5KBfZAAAADAEAAA8AAAAAAAAAAQAg&#10;AAAAIgAAAGRycy9kb3ducmV2LnhtbFBLAQIUABQAAAAIAIdO4kCwz8+n1AEAAIwDAAAOAAAAAAAA&#10;AAEAIAAAACgBAABkcnMvZTJvRG9jLnhtbFBLBQYAAAAABgAGAFkBAABuBQAAAAA=&#10;">
                <v:fill on="f" focussize="0,0"/>
                <v:stroke on="f" weight="1pt"/>
                <v:imagedata o:title=""/>
                <o:lock v:ext="edit" aspectratio="f"/>
                <v:textbox>
                  <w:txbxContent>
                    <w:p>
                      <w:pPr>
                        <w:jc w:val="center"/>
                        <w:rPr>
                          <w:rFonts w:hint="default" w:eastAsia="宋体"/>
                          <w:b/>
                          <w:sz w:val="30"/>
                          <w:szCs w:val="30"/>
                          <w:lang w:val="en-US" w:eastAsia="zh-CN"/>
                        </w:rPr>
                      </w:pPr>
                      <w:r>
                        <w:rPr>
                          <w:rFonts w:hint="eastAsia"/>
                          <w:b/>
                          <w:sz w:val="30"/>
                          <w:szCs w:val="30"/>
                          <w:lang w:val="en-US" w:eastAsia="zh-CN"/>
                        </w:rPr>
                        <w:t>附图4</w:t>
                      </w:r>
                      <w:r>
                        <w:rPr>
                          <w:rFonts w:hint="eastAsia"/>
                          <w:b/>
                          <w:sz w:val="30"/>
                          <w:szCs w:val="30"/>
                        </w:rPr>
                        <w:t xml:space="preserve">  </w:t>
                      </w:r>
                      <w:r>
                        <w:rPr>
                          <w:rFonts w:hint="eastAsia" w:ascii="宋体" w:hAnsi="宋体" w:eastAsia="宋体" w:cs="宋体"/>
                          <w:b/>
                          <w:bCs/>
                          <w:sz w:val="30"/>
                          <w:szCs w:val="30"/>
                        </w:rPr>
                        <w:t>项目平面布置</w:t>
                      </w:r>
                      <w:r>
                        <w:rPr>
                          <w:rFonts w:hint="eastAsia" w:ascii="宋体" w:hAnsi="宋体" w:eastAsia="宋体" w:cs="宋体"/>
                          <w:b/>
                          <w:bCs/>
                          <w:sz w:val="30"/>
                          <w:szCs w:val="30"/>
                          <w:lang w:val="en-US" w:eastAsia="zh-CN"/>
                        </w:rPr>
                        <w:t>图</w:t>
                      </w:r>
                    </w:p>
                  </w:txbxContent>
                </v:textbox>
              </v:shape>
            </w:pict>
          </mc:Fallback>
        </mc:AlternateContent>
      </w:r>
    </w:p>
    <w:p>
      <w:pPr>
        <w:bidi w:val="0"/>
        <w:rPr>
          <w:rFonts w:hint="eastAsia" w:ascii="Times New Roman" w:hAnsi="Times New Roman"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s">
            <w:drawing>
              <wp:anchor distT="0" distB="0" distL="114300" distR="114300" simplePos="0" relativeHeight="251698176" behindDoc="0" locked="0" layoutInCell="1" allowOverlap="1">
                <wp:simplePos x="0" y="0"/>
                <wp:positionH relativeFrom="column">
                  <wp:posOffset>3216910</wp:posOffset>
                </wp:positionH>
                <wp:positionV relativeFrom="paragraph">
                  <wp:posOffset>101600</wp:posOffset>
                </wp:positionV>
                <wp:extent cx="1114425" cy="341630"/>
                <wp:effectExtent l="24765" t="129540" r="41910" b="138430"/>
                <wp:wrapNone/>
                <wp:docPr id="39" name="文本框 39"/>
                <wp:cNvGraphicFramePr/>
                <a:graphic xmlns:a="http://schemas.openxmlformats.org/drawingml/2006/main">
                  <a:graphicData uri="http://schemas.microsoft.com/office/word/2010/wordprocessingShape">
                    <wps:wsp>
                      <wps:cNvSpPr txBox="1"/>
                      <wps:spPr>
                        <a:xfrm rot="840000">
                          <a:off x="3847465" y="2536825"/>
                          <a:ext cx="1114425" cy="3416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24"/>
                                <w:szCs w:val="24"/>
                                <w:lang w:val="en-US" w:eastAsia="zh-CN"/>
                              </w:rPr>
                            </w:pPr>
                            <w:r>
                              <w:rPr>
                                <w:rFonts w:hint="eastAsia"/>
                                <w:sz w:val="24"/>
                                <w:szCs w:val="24"/>
                                <w:lang w:val="en-US" w:eastAsia="zh-CN"/>
                              </w:rPr>
                              <w:t>厂房大门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pt;margin-top:8pt;height:26.9pt;width:87.75pt;rotation:917504f;z-index:251698176;mso-width-relative:page;mso-height-relative:page;" fillcolor="#FFFFFF [3201]" filled="t" stroked="f" coordsize="21600,21600" o:gfxdata="UEsDBAoAAAAAAIdO4kAAAAAAAAAAAAAAAAAEAAAAZHJzL1BLAwQUAAAACACHTuJAYngx1dYAAAAJ&#10;AQAADwAAAGRycy9kb3ducmV2LnhtbE2PwU7DMBBE70j8g7WVuFE7URuFEKcHpHKiB0rF2Y23Sai9&#10;jmK3KX/PcoLbjuZpdqbe3LwTV5ziEEhDtlQgkNpgB+o0HD62jyWImAxZ4wKhhm+MsGnu72pT2TDT&#10;O173qRMcQrEyGvqUxkrK2PboTVyGEYm9U5i8SSynTtrJzBzuncyVKqQ3A/GH3oz40mN73l+8hnF9&#10;8rPafb19vuY7JWfcrlbOaf2wyNQziIS39AfDb32uDg13OoYL2SichrUqCkbZKHgTA0WZZyCOfDyV&#10;IJta/l/Q/ABQSwMEFAAAAAgAh07iQIMUb9hmAgAAqgQAAA4AAABkcnMvZTJvRG9jLnhtbK1UzY7T&#10;MBC+I/EOlu9s+pN2u9Wmq7KrIqSKXakgzq7jNJZsj7HdJuUB4A04ceHOc/U5GDvtUhYOeyCHaDzz&#10;5ZuZzzO5vmm1IjvhvART0P5FjxJhOJTSbAr64f3i1YQSH5gpmQIjCroXnt7MXr64buxUDKAGVQpH&#10;kMT4aWMLWodgp1nmeS008xdghcFgBU6zgEe3yUrHGmTXKhv0euOsAVdaB1x4j967LkiPjO45hFBV&#10;kos74FstTOhYnVAsYEu+ltbTWaq2qgQP91XlRSCqoNhpSG9MgvY6vrPZNZtuHLO15McS2HNKeNKT&#10;ZtJg0keqOxYY2Tr5F5WW3IGHKlxw0FnXSFIEu+j3nmizqpkVqReU2ttH0f3/o+Xvdg+OyLKgwytK&#10;DNN444dvXw/ffx5+fCHoQ4Ea66eIW1lEhvY1tDg2J79HZ+y7rZwmDlDfSd7DJ4mB7REEDyf5ZT4e&#10;UbIv6GA0HE8Go0530QbCI1u/n+foJBwRw7w/HqaLyTraSG+dD28EaBKNgjq815SB7ZY+YIkIPUEi&#10;3IOS5UIqlQ5us75VjuwYzsAiPTE9fvIHTBnSFHQ8HHW1G4jfdzhlEB5V6LqNVmjX7VGaNZR7VCY1&#10;j2PlLV9IrHLJfHhgDqcJnbhv4R5flQJMAkeLkhrc53/5Ix4vGaOUNDidBfWftswJStRbg9d/hYLF&#10;cU6HfHQ5wIM7j6zPI2arbwGb76fqkhnxQZ3MyoH+iGs5j1kxxAzH3AUNJ/M2dDuDa83FfJ5AOMCW&#10;haVZWR6po9QG5tsAlUxXEmXqtDmqhyOcZD+uW9yR83NC/f7Fz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Yngx1dYAAAAJAQAADwAAAAAAAAABACAAAAAiAAAAZHJzL2Rvd25yZXYueG1sUEsBAhQA&#10;FAAAAAgAh07iQIMUb9hmAgAAqgQAAA4AAAAAAAAAAQAgAAAAJQEAAGRycy9lMm9Eb2MueG1sUEsF&#10;BgAAAAAGAAYAWQEAAP0FAAAAAA==&#10;">
                <v:fill on="t" focussize="0,0"/>
                <v:stroke on="f" weight="0.5pt"/>
                <v:imagedata o:title=""/>
                <o:lock v:ext="edit" aspectratio="f"/>
                <v:textbox>
                  <w:txbxContent>
                    <w:p>
                      <w:pPr>
                        <w:jc w:val="center"/>
                        <w:rPr>
                          <w:rFonts w:hint="eastAsia" w:eastAsia="宋体"/>
                          <w:sz w:val="24"/>
                          <w:szCs w:val="24"/>
                          <w:lang w:val="en-US" w:eastAsia="zh-CN"/>
                        </w:rPr>
                      </w:pPr>
                      <w:r>
                        <w:rPr>
                          <w:rFonts w:hint="eastAsia"/>
                          <w:sz w:val="24"/>
                          <w:szCs w:val="24"/>
                          <w:lang w:val="en-US" w:eastAsia="zh-CN"/>
                        </w:rPr>
                        <w:t>厂房大门</w:t>
                      </w:r>
                    </w:p>
                  </w:txbxContent>
                </v:textbox>
              </v:shape>
            </w:pict>
          </mc:Fallback>
        </mc:AlternateContent>
      </w:r>
      <w:r>
        <w:rPr>
          <w:sz w:val="22"/>
        </w:rPr>
        <mc:AlternateContent>
          <mc:Choice Requires="wps">
            <w:drawing>
              <wp:anchor distT="0" distB="0" distL="114300" distR="114300" simplePos="0" relativeHeight="251692032" behindDoc="0" locked="0" layoutInCell="1" allowOverlap="1">
                <wp:simplePos x="0" y="0"/>
                <wp:positionH relativeFrom="column">
                  <wp:posOffset>1656080</wp:posOffset>
                </wp:positionH>
                <wp:positionV relativeFrom="paragraph">
                  <wp:posOffset>1698625</wp:posOffset>
                </wp:positionV>
                <wp:extent cx="2886075" cy="425450"/>
                <wp:effectExtent l="325120" t="17145" r="335280" b="30480"/>
                <wp:wrapNone/>
                <wp:docPr id="34" name="流程图: 过程 34"/>
                <wp:cNvGraphicFramePr/>
                <a:graphic xmlns:a="http://schemas.openxmlformats.org/drawingml/2006/main">
                  <a:graphicData uri="http://schemas.microsoft.com/office/word/2010/wordprocessingShape">
                    <wps:wsp>
                      <wps:cNvSpPr/>
                      <wps:spPr>
                        <a:xfrm rot="6180000">
                          <a:off x="0" y="0"/>
                          <a:ext cx="2886075" cy="425450"/>
                        </a:xfrm>
                        <a:prstGeom prst="flowChartProcess">
                          <a:avLst/>
                        </a:prstGeom>
                        <a:noFill/>
                        <a:ln w="9525" cap="flat" cmpd="sng">
                          <a:solidFill>
                            <a:srgbClr val="000000"/>
                          </a:solidFill>
                          <a:prstDash val="solid"/>
                          <a:miter/>
                          <a:headEnd type="none" w="med" len="med"/>
                          <a:tailEnd type="none" w="med" len="med"/>
                        </a:ln>
                      </wps:spPr>
                      <wps:txb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线  </w:t>
                            </w:r>
                          </w:p>
                        </w:txbxContent>
                      </wps:txbx>
                      <wps:bodyPr upright="1"/>
                    </wps:wsp>
                  </a:graphicData>
                </a:graphic>
              </wp:anchor>
            </w:drawing>
          </mc:Choice>
          <mc:Fallback>
            <w:pict>
              <v:shape id="_x0000_s1026" o:spid="_x0000_s1026" o:spt="109" type="#_x0000_t109" style="position:absolute;left:0pt;margin-left:130.4pt;margin-top:133.75pt;height:33.5pt;width:227.25pt;rotation:6750208f;z-index:251692032;mso-width-relative:page;mso-height-relative:page;" filled="f" stroked="t" coordsize="21600,21600" o:gfxdata="UEsDBAoAAAAAAIdO4kAAAAAAAAAAAAAAAAAEAAAAZHJzL1BLAwQUAAAACACHTuJAainbVtwAAAAL&#10;AQAADwAAAGRycy9kb3ducmV2LnhtbE2PwU7DMBBE70j8g7VI3KjtpmkhxOmhFRIHLikVUm9uvCSh&#10;8TrEThv+HvcEtx3taOZNvp5sx844+NaRAjkTwJAqZ1qqFezfXx4egfmgyejOESr4QQ/r4vYm15lx&#10;FyrxvAs1iyHkM62gCaHPOPdVg1b7meuR4u/TDVaHKIeam0FfYrjt+FyIJbe6pdjQ6B43DVan3WgV&#10;HLbp9rCYPr6fxs2blK/78qs9lUrd30nxDCzgFP7McMWP6FBEpqMbyXjWKZgvRUQP12OVAouOlUwT&#10;YEcFSbJIgRc5/7+h+AVQSwMEFAAAAAgAh07iQCkf4K8eAgAAJwQAAA4AAABkcnMvZTJvRG9jLnht&#10;bK1TS44TMRDdI3EHy3vSnZCE0EpnFhOGDYKRBg7g2O5uS/7J5aQ7S1YsOAIX4AJs4TR8jkHZHQIM&#10;myzwwiq7yq/qvSqvrwajyUEGUM7WdDopKZGWO6FsW9M3r28erSiByKxg2llZ06MEerV5+GDd+0rO&#10;XOe0kIEgiIWq9zXtYvRVUQDvpGEwcV5adDYuGBbxGNpCBNYjutHFrCyXRe+C8MFxCYC329FJT4jh&#10;EkDXNIrLreN7I20cUYPULCIl6JQHusnVNo3k8VXTgIxE1xSZxrxjErR3aS82a1a1gflO8VMJ7JIS&#10;7nEyTFlMeobassjIPqh/oIziwYFr4oQ7U4xEsiLIYlre0+auY15mLig1+LPo8P9g+cvDbSBK1PTx&#10;nBLLDHb826e33z++//rhc0V+fHmHJkEfCtV7qDD+zt+G0wnQTKyHJhgSHKq7nK5KXFkLZEeGLPXx&#10;LLUcIuF4OVutluWTBSUcffPZYr7IvShGrITpA8Tn0hmSjJo22vXXHQvxdhydnIEdXkDEWvDZr/D0&#10;1LobpXVurbakr+nTxSylYjiuDY4JmsYjZbBthgGnlUhP0mMI7e5aB3JgaWTySuQxxV9hKd+WQTfG&#10;Zdc4TEZFmfRhVSeZeGYFiUePqlr8TTQVY6SgREv8fMnKkZEpfUkkFqEt1pI6MWqfrDjsBoRJ5s6J&#10;I/Zz74NqO1RtmktPHpyfTOI062lA/zxn0N//e/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inb&#10;VtwAAAALAQAADwAAAAAAAAABACAAAAAiAAAAZHJzL2Rvd25yZXYueG1sUEsBAhQAFAAAAAgAh07i&#10;QCkf4K8eAgAAJwQAAA4AAAAAAAAAAQAgAAAAKwEAAGRycy9lMm9Eb2MueG1sUEsFBgAAAAAGAAYA&#10;WQEAALsFAAAAAA==&#10;">
                <v:fill on="f" focussize="0,0"/>
                <v:stroke color="#000000" joinstyle="miter"/>
                <v:imagedata o:title=""/>
                <o:lock v:ext="edit" aspectratio="f"/>
                <v:textbox>
                  <w:txbxContent>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产</w:t>
                      </w:r>
                    </w:p>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线  </w:t>
                      </w:r>
                    </w:p>
                  </w:txbxContent>
                </v:textbox>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center" w:pos="5233"/>
        </w:tabs>
        <w:bidi w:val="0"/>
        <w:jc w:val="left"/>
        <w:rPr>
          <w:rFonts w:hint="default"/>
          <w:lang w:val="en-US" w:eastAsia="zh-CN"/>
        </w:rPr>
        <w:sectPr>
          <w:pgSz w:w="11906" w:h="16838"/>
          <w:pgMar w:top="720" w:right="720" w:bottom="720" w:left="720" w:header="851" w:footer="992" w:gutter="0"/>
          <w:cols w:space="425" w:num="1"/>
          <w:docGrid w:type="lines" w:linePitch="312" w:charSpace="0"/>
        </w:sectPr>
      </w:pPr>
      <w:r>
        <w:rPr>
          <w:sz w:val="22"/>
        </w:rPr>
        <mc:AlternateContent>
          <mc:Choice Requires="wps">
            <w:drawing>
              <wp:anchor distT="0" distB="0" distL="114300" distR="114300" simplePos="0" relativeHeight="251696128" behindDoc="0" locked="0" layoutInCell="1" allowOverlap="1">
                <wp:simplePos x="0" y="0"/>
                <wp:positionH relativeFrom="column">
                  <wp:posOffset>2197100</wp:posOffset>
                </wp:positionH>
                <wp:positionV relativeFrom="paragraph">
                  <wp:posOffset>3033395</wp:posOffset>
                </wp:positionV>
                <wp:extent cx="633095" cy="491490"/>
                <wp:effectExtent l="57785" t="76835" r="71120" b="79375"/>
                <wp:wrapNone/>
                <wp:docPr id="35" name="流程图: 过程 35"/>
                <wp:cNvGraphicFramePr/>
                <a:graphic xmlns:a="http://schemas.openxmlformats.org/drawingml/2006/main">
                  <a:graphicData uri="http://schemas.microsoft.com/office/word/2010/wordprocessingShape">
                    <wps:wsp>
                      <wps:cNvSpPr/>
                      <wps:spPr>
                        <a:xfrm rot="840000">
                          <a:off x="0" y="0"/>
                          <a:ext cx="633095" cy="491490"/>
                        </a:xfrm>
                        <a:prstGeom prst="flowChartProcess">
                          <a:avLst/>
                        </a:prstGeom>
                        <a:noFill/>
                        <a:ln w="12700" cap="flat" cmpd="sng">
                          <a:solidFill>
                            <a:srgbClr val="000000"/>
                          </a:solidFill>
                          <a:prstDash val="solid"/>
                          <a:miter/>
                          <a:headEnd type="none" w="med" len="med"/>
                          <a:tailEnd type="none" w="med" len="med"/>
                        </a:ln>
                      </wps:spPr>
                      <wps:txbx>
                        <w:txbxContent>
                          <w:p>
                            <w:pPr>
                              <w:rPr>
                                <w:rFonts w:hint="default" w:ascii="宋体" w:hAnsi="宋体" w:eastAsia="宋体" w:cs="宋体"/>
                                <w:sz w:val="21"/>
                                <w:szCs w:val="21"/>
                                <w:lang w:val="en-US" w:eastAsia="zh-CN"/>
                              </w:rPr>
                            </w:pPr>
                          </w:p>
                        </w:txbxContent>
                      </wps:txbx>
                      <wps:bodyPr upright="1"/>
                    </wps:wsp>
                  </a:graphicData>
                </a:graphic>
              </wp:anchor>
            </w:drawing>
          </mc:Choice>
          <mc:Fallback>
            <w:pict>
              <v:shape id="_x0000_s1026" o:spid="_x0000_s1026" o:spt="109" type="#_x0000_t109" style="position:absolute;left:0pt;margin-left:173pt;margin-top:238.85pt;height:38.7pt;width:49.85pt;rotation:917504f;z-index:251696128;mso-width-relative:page;mso-height-relative:page;" filled="f" stroked="t" coordsize="21600,21600" o:gfxdata="UEsDBAoAAAAAAIdO4kAAAAAAAAAAAAAAAAAEAAAAZHJzL1BLAwQUAAAACACHTuJAkUxEgNwAAAAL&#10;AQAADwAAAGRycy9kb3ducmV2LnhtbE2PS0/DMBCE70j8B2uRuFEn4CQoxKkQj0OlqqKlB47bZEki&#10;7HWI3de/x5zgNqsZzX5TzU/WiANNfnCsIZ0lIIgb1w7cadi+v97cg/ABuUXjmDScycO8vryosGzd&#10;kdd02IROxBL2JWroQxhLKX3Tk0U/cyNx9D7dZDHEc+pkO+Exllsjb5MklxYHjh96HOmpp+Zrs7ca&#10;vg2umo9z/vi8XcrlWr10i3zxpvX1VZo8gAh0Cn9h+MWP6FBHpp3bc+uF0XCn8rglaFBFUYCICaWy&#10;KHYasixLQdaV/L+h/gFQSwMEFAAAAAgAh07iQFpQVtsdAgAAJgQAAA4AAABkcnMvZTJvRG9jLnht&#10;bK1TS44TMRDdI3EHy3vSnQ/DpJXOLCYMGwQjDRygYru7Lfkn20l3lqxYcAQuwAXYMqfhcwzK7hBg&#10;2GSBF1bZVX5V71V5dTVoRfbCB2lNTaeTkhJhmOXStDV9++bmySUlIYLhoKwRNT2IQK/Wjx+teleJ&#10;me2s4sITBDGh6l1NuxhdVRSBdUJDmFgnDDob6zVEPPq24B56RNeqmJXlRdFbz523TISAt5vRSY+I&#10;/hxA2zSSiY1lOy1MHFG9UBCRUuikC3Sdq20aweLrpgkiElVTZBrzjknQ3qa9WK+gaj24TrJjCXBO&#10;CQ84aZAGk56gNhCB7Lz8B0pL5m2wTZwwq4uRSFYEWUzLB9rcdeBE5oJSB3cSPfw/WPZqf+uJ5DWd&#10;P6XEgMaOf/v87vunD18/fqnIj/v3aBL0oVC9CxXG37lbfzwFNBProfGaeIvqXi5KXFkKJEeGrPTh&#10;pLQYImF4eTGfl0tMyNC1WE4Xy9yJYkRKiM6H+EJYTZJR00bZ/roDH2/HwckJYP8yRKwEn/0KT0+N&#10;vZFK5cYqQ3qc8dkzLIkwwGltcErQ1A4ZB9NmnGCV5OlNeh18u71WnuwhTUxeiTvm+CssJdxA6Ma4&#10;7BpnScsokjxQdQL4c8NJPDgU1eBnoqkaLTglSuDfS1aOjCDVOZFYhDJYS2rEKH2y4rAdECaZW8sP&#10;2M6d87LtULZpLj15cHwyieOop/n885xBf3/v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TESA&#10;3AAAAAsBAAAPAAAAAAAAAAEAIAAAACIAAABkcnMvZG93bnJldi54bWxQSwECFAAUAAAACACHTuJA&#10;WlBW2x0CAAAmBAAADgAAAAAAAAABACAAAAArAQAAZHJzL2Uyb0RvYy54bWxQSwUGAAAAAAYABgBZ&#10;AQAAugUAAAAA&#10;">
                <v:fill on="f" focussize="0,0"/>
                <v:stroke weight="1pt" color="#000000" joinstyle="miter"/>
                <v:imagedata o:title=""/>
                <o:lock v:ext="edit" aspectratio="f"/>
                <v:textbox>
                  <w:txbxContent>
                    <w:p>
                      <w:pPr>
                        <w:rPr>
                          <w:rFonts w:hint="default" w:ascii="宋体" w:hAnsi="宋体" w:eastAsia="宋体" w:cs="宋体"/>
                          <w:sz w:val="21"/>
                          <w:szCs w:val="21"/>
                          <w:lang w:val="en-US" w:eastAsia="zh-CN"/>
                        </w:rPr>
                      </w:pPr>
                    </w:p>
                  </w:txbxContent>
                </v:textbox>
              </v:shape>
            </w:pict>
          </mc:Fallback>
        </mc:AlternateContent>
      </w:r>
      <w:r>
        <w:rPr>
          <w:sz w:val="22"/>
        </w:rPr>
        <mc:AlternateContent>
          <mc:Choice Requires="wps">
            <w:drawing>
              <wp:anchor distT="0" distB="0" distL="114300" distR="114300" simplePos="0" relativeHeight="251695104" behindDoc="0" locked="0" layoutInCell="1" allowOverlap="1">
                <wp:simplePos x="0" y="0"/>
                <wp:positionH relativeFrom="column">
                  <wp:posOffset>2322830</wp:posOffset>
                </wp:positionH>
                <wp:positionV relativeFrom="paragraph">
                  <wp:posOffset>2549525</wp:posOffset>
                </wp:positionV>
                <wp:extent cx="486410" cy="489585"/>
                <wp:effectExtent l="59690" t="59055" r="63500" b="60960"/>
                <wp:wrapNone/>
                <wp:docPr id="36" name="流程图: 过程 36"/>
                <wp:cNvGraphicFramePr/>
                <a:graphic xmlns:a="http://schemas.openxmlformats.org/drawingml/2006/main">
                  <a:graphicData uri="http://schemas.microsoft.com/office/word/2010/wordprocessingShape">
                    <wps:wsp>
                      <wps:cNvSpPr/>
                      <wps:spPr>
                        <a:xfrm rot="840000">
                          <a:off x="0" y="0"/>
                          <a:ext cx="486410" cy="489585"/>
                        </a:xfrm>
                        <a:prstGeom prst="flowChartProcess">
                          <a:avLst/>
                        </a:prstGeom>
                        <a:noFill/>
                        <a:ln w="12700" cap="flat" cmpd="sng">
                          <a:solidFill>
                            <a:srgbClr val="000000"/>
                          </a:solidFill>
                          <a:prstDash val="solid"/>
                          <a:miter/>
                          <a:headEnd type="none" w="med" len="med"/>
                          <a:tailEnd type="none" w="med" len="med"/>
                        </a:ln>
                      </wps:spPr>
                      <wps:txb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危废间</w:t>
                            </w:r>
                          </w:p>
                        </w:txbxContent>
                      </wps:txbx>
                      <wps:bodyPr upright="1"/>
                    </wps:wsp>
                  </a:graphicData>
                </a:graphic>
              </wp:anchor>
            </w:drawing>
          </mc:Choice>
          <mc:Fallback>
            <w:pict>
              <v:shape id="_x0000_s1026" o:spid="_x0000_s1026" o:spt="109" type="#_x0000_t109" style="position:absolute;left:0pt;margin-left:182.9pt;margin-top:200.75pt;height:38.55pt;width:38.3pt;rotation:917504f;z-index:251695104;mso-width-relative:page;mso-height-relative:page;" filled="f" stroked="t" coordsize="21600,21600" o:gfxdata="UEsDBAoAAAAAAIdO4kAAAAAAAAAAAAAAAAAEAAAAZHJzL1BLAwQUAAAACACHTuJA8qK2hNsAAAAL&#10;AQAADwAAAGRycy9kb3ducmV2LnhtbE2PS0/DMBCE70j8B2uRuFE7xTVViFMhHodKFaKlB47b2CQR&#10;foTYff17lhPcdrSjmW+qxck7drBj6mPQUEwEMBuaaPrQati+v9zMgaWMwaCLwWo42wSL+vKiwtLE&#10;Y1jbwya3jEJCKlFDl/NQcp6aznpMkzjYQL/POHrMJMeWmxGPFO4dnwqhuMc+UEOHg33sbPO12XsN&#10;3w5fm4+zenjarvhqLZ/bpVq+aX19VYh7YNme8p8ZfvEJHWpi2sV9MIk5DbdqRuhZgxTFDBg5pJxK&#10;YDs67uYKeF3x/xvqH1BLAwQUAAAACACHTuJAHzg+gBwCAAAmBAAADgAAAGRycy9lMm9Eb2MueG1s&#10;rVNLjhMxEN0jcQfLe9JJyISmlc4sJgwbBJEGDlCx3d2W/JPtpDtLViw4AhfgAmzhNHyOQdkdAgyb&#10;LPDCKruqXtV7Lq+uB63IQfggranpbDKlRBhmuTRtTd+8vn1UUhIiGA7KGlHTowj0ev3wwap3lZjb&#10;ziouPEEQE6re1bSL0VVFEVgnNISJdcKgs7FeQ8SjbwvuoUd0rYr5dLoseuu585aJEPB2MzrpCdFf&#10;AmibRjKxsWyvhYkjqhcKIlIKnXSBrnO3TSNYfNU0QUSiaopMY96xCNq7tBfrFVStB9dJdmoBLmnh&#10;HicN0mDRM9QGIpC9l/9Aacm8DbaJE2Z1MRLJiiCL2fSeNncdOJG5oNTBnUUP/w+WvTxsPZG8po+X&#10;lBjQ+OLfPr39/vH91w+fK/Ljyzs0CfpQqN6FCuPv3NafTgHNxHpovCbeorrlYoorS4HkyJCVPp6V&#10;FkMkDC8X5XIxwzdg6FqUT6/Kq1SgGJESovMhPhdWk2TUtFG2v+nAx+04OLkAHF6EOKb9Ck+pxt5K&#10;pfAeKmVIjzM+f4ItEQY4rQ1OCZraIeNg2owTrJI85aSU4NvdjfLkAGli8jq19ldYKriB0I1x2ZXC&#10;oNIyiiQPVJ0A/sxwEo8ORTX4mWjqRgtOiRL495KVIyNIdUkk6qMMypQeYpQ+WXHYDQiTzJ3lR3zO&#10;vfOy7VC2WW49eXB8sr6nUU/z+ec5g/7+3u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8qK2hNsA&#10;AAALAQAADwAAAAAAAAABACAAAAAiAAAAZHJzL2Rvd25yZXYueG1sUEsBAhQAFAAAAAgAh07iQB84&#10;PoAcAgAAJgQAAA4AAAAAAAAAAQAgAAAAKgEAAGRycy9lMm9Eb2MueG1sUEsFBgAAAAAGAAYAWQEA&#10;ALgFAAAAAA==&#10;">
                <v:fill on="f" focussize="0,0"/>
                <v:stroke weight="1pt" color="#000000" joinstyle="miter"/>
                <v:imagedata o:title=""/>
                <o:lock v:ext="edit" aspectratio="f"/>
                <v:textbox>
                  <w:txbxContent>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危废间</w:t>
                      </w:r>
                    </w:p>
                  </w:txbxContent>
                </v:textbox>
              </v:shape>
            </w:pict>
          </mc:Fallback>
        </mc:AlternateContent>
      </w:r>
      <w:r>
        <w:rPr>
          <w:sz w:val="22"/>
        </w:rPr>
        <mc:AlternateContent>
          <mc:Choice Requires="wps">
            <w:drawing>
              <wp:anchor distT="0" distB="0" distL="114300" distR="114300" simplePos="0" relativeHeight="251697152" behindDoc="0" locked="0" layoutInCell="1" allowOverlap="1">
                <wp:simplePos x="0" y="0"/>
                <wp:positionH relativeFrom="column">
                  <wp:posOffset>647065</wp:posOffset>
                </wp:positionH>
                <wp:positionV relativeFrom="paragraph">
                  <wp:posOffset>2949575</wp:posOffset>
                </wp:positionV>
                <wp:extent cx="1019175" cy="611505"/>
                <wp:effectExtent l="4445" t="5080" r="862330" b="12065"/>
                <wp:wrapNone/>
                <wp:docPr id="37" name="矩形标注 37"/>
                <wp:cNvGraphicFramePr/>
                <a:graphic xmlns:a="http://schemas.openxmlformats.org/drawingml/2006/main">
                  <a:graphicData uri="http://schemas.microsoft.com/office/word/2010/wordprocessingShape">
                    <wps:wsp>
                      <wps:cNvSpPr/>
                      <wps:spPr>
                        <a:xfrm>
                          <a:off x="2828290" y="6673850"/>
                          <a:ext cx="1019175" cy="611505"/>
                        </a:xfrm>
                        <a:prstGeom prst="wedgeRectCallout">
                          <a:avLst>
                            <a:gd name="adj1" fmla="val 133800"/>
                            <a:gd name="adj2" fmla="val -9190"/>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宋体"/>
                                <w:color w:val="auto"/>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一般固废间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0.95pt;margin-top:232.25pt;height:48.15pt;width:80.25pt;z-index:251697152;v-text-anchor:middle;mso-width-relative:page;mso-height-relative:page;" filled="f" stroked="t" coordsize="21600,21600" o:gfxdata="UEsDBAoAAAAAAIdO4kAAAAAAAAAAAAAAAAAEAAAAZHJzL1BLAwQUAAAACACHTuJAl+klu9sAAAAL&#10;AQAADwAAAGRycy9kb3ducmV2LnhtbE2PQUvDQBCF74L/YRnBm91NSEOM2RQRChUPpVVBb9tkzEaz&#10;syG7aeu/dzzp8TEf731Trc5uEEecQu9JQ7JQIJAa3/bUaXh5Xt8UIEI01JrBE2r4xgCr+vKiMmXr&#10;T7TD4z52gksolEaDjXEspQyNRWfCwo9IfPvwkzOR49TJdjInLneDTJXKpTM98YI1Iz5YbL72s9OQ&#10;3s9v2dPndrN93bn39ebR9kVntb6+StQdiIjn+AfDrz6rQ81OBz9TG8TAWSW3jGrI8mwJgok0TzMQ&#10;Bw3LXBUg60r+/6H+AVBLAwQUAAAACACHTuJAdU+FbKcCAAAwBQAADgAAAGRycy9lMm9Eb2MueG1s&#10;rVTNbtNAEL4j8Q6rvbeOk6b5UZ0qSlSEVNGKgjhv1uvYaP/Y3cQpL8BjFHGCM2ceh/IafGu7bSgc&#10;eiCR7Jmd8Tcz38zsyelOSbIVzldGZzQ97FEiNDd5pdcZffvm7GBMiQ9M50waLTJ6LTw9nT1/dlLb&#10;qeib0shcOAIQ7ae1zWgZgp0mieelUMwfGis0jIVxigWobp3kjtVAVzLp93rHSW1cbp3hwnucLlsj&#10;7RDdUwBNUVRcLA3fKKFDi+qEZAEl+bKyns6abItC8HBRFF4EIjOKSkPzRBDIq/hMZidsunbMlhXv&#10;UmBPSeFRTYpVGkHvoZYsMLJx1V9QquLOeFOEQ25U0hbSMIIq0t4jbq5KZkVTC6j29p50//9g+avt&#10;pSNVntHBiBLNFDr+6+bbzx9fbj9/uv3+leAYHNXWT+F6ZS9dp3mIseBd4VR8oxSyy2h/jP8E7F5n&#10;9Ph4NBgPO47FLhAOh7SXTtLRkBIePdJ02BvGAMkDknU+vBBGkShktBb5WrxGIxdMSrMJDc1se+5D&#10;w3feJc3y9yklhZJo35ZJkg4G495df/ec+vtOB5MUubbhO0gkcpdAxNfmrJISHmwqNamR8gAVEc4w&#10;+QUmDqKyYM/rNSVMrrFSPLgmR29klcev48ferVcL6QhSw9g1vy7uH24x9JL5svVrTJ2b1CAptqEl&#10;Pkpht9p13ViZ/Bp9dKYdcG/5WQWoc+bDJXOgBDlj58MFHoU0qMN0EiWlcR//dR79MWiwUlJjQ1Dk&#10;hw1zghL5UmMEJ+nREWBDoxwNR30obt+y2rfojVoY1I4mIbtGjP5B3omFM+odroZ5jAoT0xyxWzo7&#10;ZRHazcXlwsV83rhhjSwL5/rK8gje9my+CaaoQmxsJKplp1OwSM24dUsfN3Vfb7weLrr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fpJbvbAAAACwEAAA8AAAAAAAAAAQAgAAAAIgAAAGRycy9kb3du&#10;cmV2LnhtbFBLAQIUABQAAAAIAIdO4kB1T4VspwIAADAFAAAOAAAAAAAAAAEAIAAAACoBAABkcnMv&#10;ZTJvRG9jLnhtbFBLBQYAAAAABgAGAFkBAABDBgAAAAA=&#10;" adj="39701,8815">
                <v:fill on="f" focussize="0,0"/>
                <v:stroke weight="0.5pt" color="#000000 [3213]" joinstyle="round"/>
                <v:imagedata o:title=""/>
                <o:lock v:ext="edit" aspectratio="f"/>
                <v:textbox>
                  <w:txbxContent>
                    <w:p>
                      <w:pPr>
                        <w:jc w:val="center"/>
                        <w:rPr>
                          <w:rFonts w:hint="eastAsia" w:eastAsia="宋体"/>
                          <w:color w:val="auto"/>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auto"/>
                          <w:sz w:val="24"/>
                          <w:szCs w:val="24"/>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一般固废间</w:t>
                      </w:r>
                    </w:p>
                  </w:txbxContent>
                </v:textbox>
              </v:shape>
            </w:pict>
          </mc:Fallback>
        </mc:AlternateContent>
      </w:r>
      <w:r>
        <w:rPr>
          <w:sz w:val="22"/>
        </w:rPr>
        <mc:AlternateContent>
          <mc:Choice Requires="wps">
            <w:drawing>
              <wp:anchor distT="0" distB="0" distL="114300" distR="114300" simplePos="0" relativeHeight="251694080" behindDoc="0" locked="0" layoutInCell="1" allowOverlap="1">
                <wp:simplePos x="0" y="0"/>
                <wp:positionH relativeFrom="column">
                  <wp:posOffset>3232785</wp:posOffset>
                </wp:positionH>
                <wp:positionV relativeFrom="paragraph">
                  <wp:posOffset>1729105</wp:posOffset>
                </wp:positionV>
                <wp:extent cx="666750" cy="419100"/>
                <wp:effectExtent l="36195" t="57150" r="40005" b="57150"/>
                <wp:wrapNone/>
                <wp:docPr id="38" name="自选图形 11"/>
                <wp:cNvGraphicFramePr/>
                <a:graphic xmlns:a="http://schemas.openxmlformats.org/drawingml/2006/main">
                  <a:graphicData uri="http://schemas.microsoft.com/office/word/2010/wordprocessingShape">
                    <wps:wsp>
                      <wps:cNvSpPr/>
                      <wps:spPr>
                        <a:xfrm rot="540000">
                          <a:off x="0" y="0"/>
                          <a:ext cx="666750" cy="419100"/>
                        </a:xfrm>
                        <a:prstGeom prst="flowChartProcess">
                          <a:avLst/>
                        </a:prstGeom>
                        <a:noFill/>
                        <a:ln w="12700" cap="flat" cmpd="sng">
                          <a:solidFill>
                            <a:srgbClr val="000000"/>
                          </a:solidFill>
                          <a:prstDash val="solid"/>
                          <a:miter/>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成品区</w:t>
                            </w:r>
                          </w:p>
                        </w:txbxContent>
                      </wps:txbx>
                      <wps:bodyPr upright="1"/>
                    </wps:wsp>
                  </a:graphicData>
                </a:graphic>
              </wp:anchor>
            </w:drawing>
          </mc:Choice>
          <mc:Fallback>
            <w:pict>
              <v:shape id="自选图形 11" o:spid="_x0000_s1026" o:spt="109" type="#_x0000_t109" style="position:absolute;left:0pt;margin-left:254.55pt;margin-top:136.15pt;height:33pt;width:52.5pt;rotation:589824f;z-index:251694080;mso-width-relative:page;mso-height-relative:page;" filled="f" stroked="t" coordsize="21600,21600" o:gfxdata="UEsDBAoAAAAAAIdO4kAAAAAAAAAAAAAAAAAEAAAAZHJzL1BLAwQUAAAACACHTuJAaFZkutsAAAAL&#10;AQAADwAAAGRycy9kb3ducmV2LnhtbE2Py07DMBBF90j8gzVI7KidpJQ2ZFIhpCxQhVRK2bvx5CH8&#10;iGK3Tf4es4LlzBzdObfYTkazC42+dxYhWQhgZGunetsiHD+rhzUwH6RVUjtLCDN52Ja3N4XMlbva&#10;D7ocQstiiPW5ROhCGHLOfd2RkX7hBrLx1rjRyBDHseVqlNcYbjRPhVhxI3sbP3RyoNeO6u/D2SA0&#10;729HPuh23r9U07zcbar9rvlCvL9LxDOwQFP4g+FXP6pDGZ1O7myVZxrhUWySiCKkT2kGLBKrZBk3&#10;J4QsW2fAy4L/71D+AFBLAwQUAAAACACHTuJAkBGh3xgCAAAhBAAADgAAAGRycy9lMm9Eb2MueG1s&#10;rVPNjtMwEL4j8Q6W7zRJ2e1C1HQPW5YLgkoLDzB17MSS/2S7TXrjhngGbhx5B3ibleAtGDulwHLp&#10;AR+ssT3zzXzfjJfXo1Zkz32Q1jS0mpWUcMNsK03X0Hdvb588oyREMC0oa3hDDzzQ69XjR8vB1Xxu&#10;e6ta7gmCmFAPrqF9jK4uisB6riHMrOMGH4X1GiIefVe0HgZE16qYl+WiGKxvnbeMh4C36+mRHhH9&#10;OYBWCMn42rKd5iZOqJ4riEgp9NIFusrVCsFZfCNE4JGohiLTmHdMgvY27cVqCXXnwfWSHUuAc0p4&#10;wEmDNJj0BLWGCGTn5T9QWjJvgxVxxqwuJiJZEWRRlQ+0uevB8cwFpQ7uJHr4f7Ds9X7jiWwb+hT7&#10;bkBjx79/+PLj/cf7T9/uv34mVZU0Glyo0fXObfzxFNBMhEfhNfEWhb28KHFlFZAXGbPIh5PIfIyE&#10;4eVisbi6RPkZPl1UzysMQchiQkqIzof4kltNktFQoexw04OPm2lmcgLYvwpxCvvlnkKNvZVK4T3U&#10;ypABx3t+hfiEAQ6qwAFBUzskG0yXcYJVsk0xKST4bnujPNlDGpa8jqX95ZYSriH0k19+Sm5Qaxl5&#10;kgfqnkP7wrQkHhzqafAf0VSN5i0liuO3S1b2jCDVOZ6ojzIoU2rEJH2y4rgdESaZW9sesJM752XX&#10;o2y5bdkdJyfre5zyNJp/njPo75+9+g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VmS62wAAAAsB&#10;AAAPAAAAAAAAAAEAIAAAACIAAABkcnMvZG93bnJldi54bWxQSwECFAAUAAAACACHTuJAkBGh3xgC&#10;AAAhBAAADgAAAAAAAAABACAAAAAqAQAAZHJzL2Uyb0RvYy54bWxQSwUGAAAAAAYABgBZAQAAtAUA&#10;AAAA&#10;">
                <v:fill on="f" focussize="0,0"/>
                <v:stroke weight="1pt" color="#000000"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成品区</w:t>
                      </w:r>
                    </w:p>
                  </w:txbxContent>
                </v:textbox>
              </v:shape>
            </w:pict>
          </mc:Fallback>
        </mc:AlternateContent>
      </w:r>
      <w:r>
        <w:rPr>
          <w:sz w:val="22"/>
        </w:rPr>
        <mc:AlternateContent>
          <mc:Choice Requires="wps">
            <w:drawing>
              <wp:anchor distT="0" distB="0" distL="114300" distR="114300" simplePos="0" relativeHeight="251693056" behindDoc="0" locked="0" layoutInCell="1" allowOverlap="1">
                <wp:simplePos x="0" y="0"/>
                <wp:positionH relativeFrom="column">
                  <wp:posOffset>3528060</wp:posOffset>
                </wp:positionH>
                <wp:positionV relativeFrom="paragraph">
                  <wp:posOffset>319405</wp:posOffset>
                </wp:positionV>
                <wp:extent cx="666750" cy="419100"/>
                <wp:effectExtent l="36195" t="57150" r="40005" b="57150"/>
                <wp:wrapNone/>
                <wp:docPr id="40" name="自选图形 11"/>
                <wp:cNvGraphicFramePr/>
                <a:graphic xmlns:a="http://schemas.openxmlformats.org/drawingml/2006/main">
                  <a:graphicData uri="http://schemas.microsoft.com/office/word/2010/wordprocessingShape">
                    <wps:wsp>
                      <wps:cNvSpPr/>
                      <wps:spPr>
                        <a:xfrm rot="540000">
                          <a:off x="0" y="0"/>
                          <a:ext cx="666750" cy="419100"/>
                        </a:xfrm>
                        <a:prstGeom prst="flowChartProcess">
                          <a:avLst/>
                        </a:prstGeom>
                        <a:noFill/>
                        <a:ln w="12700" cap="flat" cmpd="sng">
                          <a:solidFill>
                            <a:srgbClr val="000000"/>
                          </a:solidFill>
                          <a:prstDash val="solid"/>
                          <a:miter/>
                          <a:headEnd type="none" w="med" len="med"/>
                          <a:tailEnd type="none" w="med" len="med"/>
                        </a:ln>
                      </wps:spPr>
                      <wps:txb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原料区</w:t>
                            </w:r>
                          </w:p>
                        </w:txbxContent>
                      </wps:txbx>
                      <wps:bodyPr upright="1"/>
                    </wps:wsp>
                  </a:graphicData>
                </a:graphic>
              </wp:anchor>
            </w:drawing>
          </mc:Choice>
          <mc:Fallback>
            <w:pict>
              <v:shape id="自选图形 11" o:spid="_x0000_s1026" o:spt="109" type="#_x0000_t109" style="position:absolute;left:0pt;margin-left:277.8pt;margin-top:25.15pt;height:33pt;width:52.5pt;rotation:589824f;z-index:251693056;mso-width-relative:page;mso-height-relative:page;" filled="f" stroked="t" coordsize="21600,21600" o:gfxdata="UEsDBAoAAAAAAIdO4kAAAAAAAAAAAAAAAAAEAAAAZHJzL1BLAwQUAAAACACHTuJASa6SWtcAAAAK&#10;AQAADwAAAGRycy9kb3ducmV2LnhtbE2Py07DMBBF90j8gzVI7KgdSiwIcSqElAWqkEopezeePIQf&#10;Uey2yd8zrGA3j6M7Z8rN7Cw74xSH4BVkKwEMfRPM4DsFh8/67hFYTNobbYNHBQtG2FTXV6UuTLj4&#10;DzzvU8coxMdCK+hTGgvOY9Oj03EVRvS0a8PkdKJ26riZ9IXCneX3Qkju9ODpQq9HfO2x+d6fnIL2&#10;/e3AR9stu5d6Xh62T/Vu234pdXuTiWdgCef0B8OvPqlDRU7HcPImMqsgz3NJKBViDYwAKQUNjkRm&#10;cg28Kvn/F6ofUEsDBBQAAAAIAIdO4kCFhUDDGAIAACEEAAAOAAAAZHJzL2Uyb0RvYy54bWytU72O&#10;EzEQ7pF4B8s92WyUy3GrbK64cDQIIh08wMT27lryn2wnu+noEM9AR8k7wNucdLwFY28uwNGkwIU1&#10;9sx8M9/n8fJ60IrshQ/SmpqWkyklwjDLpWlr+uH97YuXlIQIhoOyRtT0IAK9Xj1/tuxdJWa2s4oL&#10;TxDEhKp3Ne1idFVRBNYJDWFinTDobKzXEPHo24J76BFdq2I2nS6K3nruvGUiBLxdj056RPTnANqm&#10;kUysLdtpYeKI6oWCiJRCJ12gq9xt0wgW3zVNEJGomiLTmHcsgvY27cVqCVXrwXWSHVuAc1p4wkmD&#10;NFj0BLWGCGTn5T9QWjJvg23ihFldjESyIsiinD7R5q4DJzIXlDq4k+jh/8Gyt/uNJ5LXdI6SGND4&#10;4g+fvv38+Pn+y4/7719JWSaNehcqDL1zG388BTQT4aHxmniLwl7Mp7iyCsiLDFnkw0lkMUTC8HKx&#10;WFxeYC2Grnl5VWIKQhYjUkJ0PsTXwmqSjJo2yvY3Hfi4GWcmF4D9mxDHtMfwlGrsrVQK76FShvQ4&#10;3rNLxCcMcFAbHBA0tUOywbQZJ1glecpJKcG32xvlyR7SsOR1bO2vsFRwDaEb47IrhUGlZRRJHqg6&#10;AfyV4SQeHOpp8B/R1I0WnBIl8NslK0dGkOqcSNRHGZQpPcQofbLisB0QJplbyw/4kjvnZduhbPnZ&#10;cjhOTtb3OOVpNP88Z9DfP3v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muklrXAAAACgEAAA8A&#10;AAAAAAAAAQAgAAAAIgAAAGRycy9kb3ducmV2LnhtbFBLAQIUABQAAAAIAIdO4kCFhUDDGAIAACEE&#10;AAAOAAAAAAAAAAEAIAAAACYBAABkcnMvZTJvRG9jLnhtbFBLBQYAAAAABgAGAFkBAACwBQAAAAA=&#10;">
                <v:fill on="f" focussize="0,0"/>
                <v:stroke weight="1pt" color="#000000" joinstyle="miter"/>
                <v:imagedata o:title=""/>
                <o:lock v:ext="edit" aspectratio="f"/>
                <v:textbox>
                  <w:txbxContent>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原料区</w:t>
                      </w:r>
                    </w:p>
                  </w:txbxContent>
                </v:textbox>
              </v:shape>
            </w:pict>
          </mc:Fallback>
        </mc:AlternateContent>
      </w:r>
    </w:p>
    <w:p>
      <w:pPr>
        <w:rPr>
          <w:rFonts w:hint="eastAsia" w:eastAsia="宋体"/>
          <w:lang w:eastAsia="zh-CN"/>
        </w:rPr>
      </w:pPr>
      <w:r>
        <w:drawing>
          <wp:anchor distT="0" distB="0" distL="114300" distR="114300" simplePos="0" relativeHeight="251700224" behindDoc="0" locked="0" layoutInCell="1" allowOverlap="1">
            <wp:simplePos x="0" y="0"/>
            <wp:positionH relativeFrom="column">
              <wp:posOffset>5076190</wp:posOffset>
            </wp:positionH>
            <wp:positionV relativeFrom="paragraph">
              <wp:posOffset>-106680</wp:posOffset>
            </wp:positionV>
            <wp:extent cx="3599815" cy="2700655"/>
            <wp:effectExtent l="0" t="0" r="635" b="4445"/>
            <wp:wrapNone/>
            <wp:docPr id="48" name="图片 48" descr="西面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西面空地"/>
                    <pic:cNvPicPr>
                      <a:picLocks noChangeAspect="1"/>
                    </pic:cNvPicPr>
                  </pic:nvPicPr>
                  <pic:blipFill>
                    <a:blip r:embed="rId24"/>
                    <a:stretch>
                      <a:fillRect/>
                    </a:stretch>
                  </pic:blipFill>
                  <pic:spPr>
                    <a:xfrm>
                      <a:off x="0" y="0"/>
                      <a:ext cx="3599815" cy="2700655"/>
                    </a:xfrm>
                    <a:prstGeom prst="rect">
                      <a:avLst/>
                    </a:prstGeom>
                  </pic:spPr>
                </pic:pic>
              </a:graphicData>
            </a:graphic>
          </wp:anchor>
        </w:drawing>
      </w:r>
      <w:r>
        <w:drawing>
          <wp:anchor distT="0" distB="0" distL="114300" distR="114300" simplePos="0" relativeHeight="251699200" behindDoc="0" locked="0" layoutInCell="1" allowOverlap="1">
            <wp:simplePos x="0" y="0"/>
            <wp:positionH relativeFrom="column">
              <wp:posOffset>-152400</wp:posOffset>
            </wp:positionH>
            <wp:positionV relativeFrom="paragraph">
              <wp:posOffset>-120015</wp:posOffset>
            </wp:positionV>
            <wp:extent cx="3599815" cy="2700655"/>
            <wp:effectExtent l="0" t="0" r="635" b="4445"/>
            <wp:wrapNone/>
            <wp:docPr id="49" name="图片 49" descr="东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东面"/>
                    <pic:cNvPicPr>
                      <a:picLocks noChangeAspect="1"/>
                    </pic:cNvPicPr>
                  </pic:nvPicPr>
                  <pic:blipFill>
                    <a:blip r:embed="rId25"/>
                    <a:stretch>
                      <a:fillRect/>
                    </a:stretch>
                  </pic:blipFill>
                  <pic:spPr>
                    <a:xfrm>
                      <a:off x="0" y="0"/>
                      <a:ext cx="3599815" cy="2700655"/>
                    </a:xfrm>
                    <a:prstGeom prst="rect">
                      <a:avLst/>
                    </a:prstGeom>
                  </pic:spPr>
                </pic:pic>
              </a:graphicData>
            </a:graphic>
          </wp:anchor>
        </w:drawing>
      </w:r>
    </w:p>
    <w:p>
      <w:pPr>
        <w:rPr>
          <w:sz w:val="24"/>
        </w:rPr>
      </w:pPr>
      <w:r>
        <mc:AlternateContent>
          <mc:Choice Requires="wps">
            <w:drawing>
              <wp:anchor distT="0" distB="0" distL="114300" distR="114300" simplePos="0" relativeHeight="251682816" behindDoc="0" locked="0" layoutInCell="1" allowOverlap="1">
                <wp:simplePos x="0" y="0"/>
                <wp:positionH relativeFrom="column">
                  <wp:posOffset>-501015</wp:posOffset>
                </wp:positionH>
                <wp:positionV relativeFrom="paragraph">
                  <wp:posOffset>5822950</wp:posOffset>
                </wp:positionV>
                <wp:extent cx="9787255" cy="52514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787255" cy="525145"/>
                        </a:xfrm>
                        <a:prstGeom prst="rect">
                          <a:avLst/>
                        </a:prstGeom>
                        <a:noFill/>
                        <a:ln w="12700" cmpd="sng">
                          <a:noFill/>
                          <a:prstDash val="solid"/>
                        </a:ln>
                      </wps:spPr>
                      <wps:txbx>
                        <w:txbxContent>
                          <w:p>
                            <w:pPr>
                              <w:jc w:val="center"/>
                              <w:rPr>
                                <w:rFonts w:hint="default" w:eastAsia="宋体"/>
                                <w:b/>
                                <w:sz w:val="30"/>
                                <w:szCs w:val="30"/>
                                <w:lang w:val="en-US" w:eastAsia="zh-CN"/>
                              </w:rPr>
                            </w:pPr>
                            <w:r>
                              <w:rPr>
                                <w:rFonts w:hint="eastAsia"/>
                                <w:b/>
                                <w:sz w:val="30"/>
                                <w:szCs w:val="30"/>
                                <w:lang w:val="en-US" w:eastAsia="zh-CN"/>
                              </w:rPr>
                              <w:t>附图5</w:t>
                            </w:r>
                            <w:r>
                              <w:rPr>
                                <w:rFonts w:hint="eastAsia"/>
                                <w:b/>
                                <w:sz w:val="30"/>
                                <w:szCs w:val="30"/>
                              </w:rPr>
                              <w:t xml:space="preserve">  </w:t>
                            </w:r>
                            <w:r>
                              <w:rPr>
                                <w:rFonts w:hint="eastAsia" w:ascii="宋体" w:hAnsi="宋体" w:eastAsia="宋体" w:cs="宋体"/>
                                <w:b/>
                                <w:bCs/>
                                <w:sz w:val="30"/>
                                <w:szCs w:val="30"/>
                                <w:lang w:val="en-US" w:eastAsia="zh-CN"/>
                              </w:rPr>
                              <w:t>项目周边情况</w:t>
                            </w:r>
                          </w:p>
                        </w:txbxContent>
                      </wps:txbx>
                      <wps:bodyPr wrap="square" upright="1"/>
                    </wps:wsp>
                  </a:graphicData>
                </a:graphic>
              </wp:anchor>
            </w:drawing>
          </mc:Choice>
          <mc:Fallback>
            <w:pict>
              <v:shape id="_x0000_s1026" o:spid="_x0000_s1026" o:spt="202" type="#_x0000_t202" style="position:absolute;left:0pt;margin-left:-39.45pt;margin-top:458.5pt;height:41.35pt;width:770.65pt;z-index:251682816;mso-width-relative:page;mso-height-relative:page;" filled="f" stroked="f" coordsize="21600,21600" o:gfxdata="UEsDBAoAAAAAAIdO4kAAAAAAAAAAAAAAAAAEAAAAZHJzL1BLAwQUAAAACACHTuJAPiHRndoAAAAM&#10;AQAADwAAAGRycy9kb3ducmV2LnhtbE2PMU/DMBCFd6T+B+sqsbVOQtXUIU4FSAwMHSiwO8k1iRqf&#10;Q+ymhV/PdaLj3b337nv59mJ7MeHoO0ca4mUEAqlydUeNhs+P18UGhA+GatM7Qg0/6GFbzO5yk9Xu&#10;TO847UMjOIR8ZjS0IQyZlL5q0Rq/dAMS3w5utCbwODayHs2Zw20vkyhaS2s64g+tGfClxeq4P1nG&#10;mL7KBxWenPe7Q/L89mt25fFb6/t5HD2CCHgJ/2K44rMHCmYq3YlqL3oNi3SjWKpBxSmXuipW62QF&#10;ouSVUinIIpe3JYo/UEsDBBQAAAAIAIdO4kCPBDbR1AEAAIwDAAAOAAAAZHJzL2Uyb0RvYy54bWyt&#10;U0tu2zAQ3RfIHQjua8lCVCeC5QCFkWyKtkCaA9AUJRHgrxzaki/Q3qCrbrrvuXyODinFCZJNFt1Q&#10;5HzezHszWt+MWpGD8CCtqelykVMiDLeNNF1NH77dvr+iBAIzDVPWiJoeBdCbzcW79eAqUdjeqkZ4&#10;giAGqsHVtA/BVVkGvBeawcI6YdDZWq9ZwKfvssazAdG1yoo8/5AN1jfOWy4A0LqdnHRG9G8BtG0r&#10;udhavtfChAnVC8UCUoJeOqCb1G3bCh6+tC2IQFRNkWlIJxbB+y6e2WbNqs4z10s+t8De0sILTppJ&#10;g0XPUFsWGNl7+QpKS+4t2DYsuNXZRCQpgiyW+Qtt7nvmROKCUoM7iw7/D5Z/Pnz1RDY1vVxSYpjG&#10;iZ9+/Tz9/nv684OgDQUaHFQYd+8wMowf7Yhr82gHNEbeY+t1/CIjgn6U93iWV4yBcDRer65WRVlS&#10;wtFXFuXysoww2VO28xDuhNUkXmrqcXxJVXb4BGEKfQyJxYy9lUqlESpDBmyrWOVYmmuHhMB0KflZ&#10;VEzeMujJgeE+gFWymTtQBhuJRCdC8RbG3Tiz39nmiOQH3BNM+75nXlCyd152PbaZxEjJOKTEZ16o&#10;uAXP36nE00+0+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IdGd2gAAAAwBAAAPAAAAAAAAAAEA&#10;IAAAACIAAABkcnMvZG93bnJldi54bWxQSwECFAAUAAAACACHTuJAjwQ20dQBAACMAwAADgAAAAAA&#10;AAABACAAAAApAQAAZHJzL2Uyb0RvYy54bWxQSwUGAAAAAAYABgBZAQAAbwUAAAAA&#10;">
                <v:fill on="f" focussize="0,0"/>
                <v:stroke on="f" weight="1pt"/>
                <v:imagedata o:title=""/>
                <o:lock v:ext="edit" aspectratio="f"/>
                <v:textbox>
                  <w:txbxContent>
                    <w:p>
                      <w:pPr>
                        <w:jc w:val="center"/>
                        <w:rPr>
                          <w:rFonts w:hint="default" w:eastAsia="宋体"/>
                          <w:b/>
                          <w:sz w:val="30"/>
                          <w:szCs w:val="30"/>
                          <w:lang w:val="en-US" w:eastAsia="zh-CN"/>
                        </w:rPr>
                      </w:pPr>
                      <w:r>
                        <w:rPr>
                          <w:rFonts w:hint="eastAsia"/>
                          <w:b/>
                          <w:sz w:val="30"/>
                          <w:szCs w:val="30"/>
                          <w:lang w:val="en-US" w:eastAsia="zh-CN"/>
                        </w:rPr>
                        <w:t>附图5</w:t>
                      </w:r>
                      <w:r>
                        <w:rPr>
                          <w:rFonts w:hint="eastAsia"/>
                          <w:b/>
                          <w:sz w:val="30"/>
                          <w:szCs w:val="30"/>
                        </w:rPr>
                        <w:t xml:space="preserve">  </w:t>
                      </w:r>
                      <w:r>
                        <w:rPr>
                          <w:rFonts w:hint="eastAsia" w:ascii="宋体" w:hAnsi="宋体" w:eastAsia="宋体" w:cs="宋体"/>
                          <w:b/>
                          <w:bCs/>
                          <w:sz w:val="30"/>
                          <w:szCs w:val="30"/>
                          <w:lang w:val="en-US" w:eastAsia="zh-CN"/>
                        </w:rPr>
                        <w:t>项目周边情况</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5414010</wp:posOffset>
                </wp:positionH>
                <wp:positionV relativeFrom="paragraph">
                  <wp:posOffset>5556250</wp:posOffset>
                </wp:positionV>
                <wp:extent cx="2931160" cy="37274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931160" cy="372745"/>
                        </a:xfrm>
                        <a:prstGeom prst="rect">
                          <a:avLst/>
                        </a:prstGeom>
                        <a:noFill/>
                        <a:ln w="12700" cmpd="sng">
                          <a:noFill/>
                          <a:prstDash val="solid"/>
                        </a:ln>
                      </wps:spPr>
                      <wps:txbx>
                        <w:txbxContent>
                          <w:p>
                            <w:pPr>
                              <w:jc w:val="center"/>
                              <w:rPr>
                                <w:rFonts w:hint="default" w:eastAsia="宋体"/>
                                <w:b/>
                                <w:sz w:val="24"/>
                                <w:szCs w:val="24"/>
                                <w:lang w:val="en-US" w:eastAsia="zh-CN"/>
                              </w:rPr>
                            </w:pPr>
                            <w:r>
                              <w:rPr>
                                <w:rFonts w:hint="eastAsia"/>
                                <w:b/>
                                <w:sz w:val="24"/>
                                <w:szCs w:val="24"/>
                                <w:lang w:val="en-US" w:eastAsia="zh-CN"/>
                              </w:rPr>
                              <w:t>北侧新乡市顺美壁纸有限公司闲置厂房</w:t>
                            </w:r>
                          </w:p>
                        </w:txbxContent>
                      </wps:txbx>
                      <wps:bodyPr wrap="square" upright="1"/>
                    </wps:wsp>
                  </a:graphicData>
                </a:graphic>
              </wp:anchor>
            </w:drawing>
          </mc:Choice>
          <mc:Fallback>
            <w:pict>
              <v:shape id="_x0000_s1026" o:spid="_x0000_s1026" o:spt="202" type="#_x0000_t202" style="position:absolute;left:0pt;margin-left:426.3pt;margin-top:437.5pt;height:29.35pt;width:230.8pt;z-index:251704320;mso-width-relative:page;mso-height-relative:page;" filled="f" stroked="f" coordsize="21600,21600" o:gfxdata="UEsDBAoAAAAAAIdO4kAAAAAAAAAAAAAAAAAEAAAAZHJzL1BLAwQUAAAACACHTuJANcTkRdoAAAAM&#10;AQAADwAAAGRycy9kb3ducmV2LnhtbE2PS0/DQAyE70j8h5WRuNHNg75CNhUgceDQAwXuTuImUbPe&#10;kN2mhV+Pe4KbLc+Mv8k3Z9uriUbfOTYQzyJQxJWrO24MfLy/3K1A+YBcY++YDHyTh01xfZVjVrsT&#10;v9G0C42SEPYZGmhDGDKtfdWSRT9zA7Hc9m60GGQdG12PeJJw2+skihbaYsfyocWBnluqDrujFYzp&#10;s0zX4dF5v90nT68/uC0PX8bc3sTRA6hA5/Anhgu+eKAQptIdufaqN7CaJwuRyrCcS6mLIo3vE1Cl&#10;gXWaLkEXuf5fovgFUEsDBBQAAAAIAIdO4kBaQG/w1AEAAIwDAAAOAAAAZHJzL2Uyb0RvYy54bWyt&#10;U0tu2zAQ3RfoHQjua8lKG7eC5QCFkW6KtkDaA9AUJREgOSyHtuQLtDfoqpvuey6fI0PacYJkk0U2&#10;IjmfN/PejJZXkzVspwJqcA2fz0rOlJPQatc3/Mf36zfvOcMoXCsMONXwvUJ+tXr9ajn6WlUwgGlV&#10;YATisB59w4cYfV0UKAdlBc7AK0fODoIVkZ6hL9ogRkK3pqjK8rIYIbQ+gFSIZF0fnfyEGJ4DCF2n&#10;pVqD3Frl4hE1KCMiUcJBe+Sr3G3XKRm/dh2qyEzDiWnMXypC9036FqulqPsg/KDlqQXxnBYecbJC&#10;Oyp6hlqLKNg26CdQVssACF2cSbDFkUhWhFjMy0fa3AzCq8yFpEZ/Fh1fDlZ+2X0LTLcNf/uOMycs&#10;Tfzw5/fh7//Dv1+MbCTQ6LGmuBtPkXH6CBOtzZ0dyZh4T12w6SRGjPwk7/4sr5oik2SsPlzM55fk&#10;kuS7WFSLI3xxn+0Dxk8KLEuXhgcaX1ZV7D5jpE4o9C4kFXNwrY3JIzSOjdRWtSgTvvVECF2fkx9E&#10;peS1wIHtBO0DgtFtIkKwxtGRiB4JpVucNtOJ/QbaPZEfaU8o7edWBMXZ1gfdD9RmFiMn05Ay2mmh&#10;0hY8fOcS9z/R6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1xORF2gAAAAwBAAAPAAAAAAAAAAEA&#10;IAAAACIAAABkcnMvZG93bnJldi54bWxQSwECFAAUAAAACACHTuJAWkBv8NQBAACMAwAADgAAAAAA&#10;AAABACAAAAApAQAAZHJzL2Uyb0RvYy54bWxQSwUGAAAAAAYABgBZAQAAbwUAAAAA&#10;">
                <v:fill on="f" focussize="0,0"/>
                <v:stroke on="f" weight="1pt"/>
                <v:imagedata o:title=""/>
                <o:lock v:ext="edit" aspectratio="f"/>
                <v:textbox>
                  <w:txbxContent>
                    <w:p>
                      <w:pPr>
                        <w:jc w:val="center"/>
                        <w:rPr>
                          <w:rFonts w:hint="default" w:eastAsia="宋体"/>
                          <w:b/>
                          <w:sz w:val="24"/>
                          <w:szCs w:val="24"/>
                          <w:lang w:val="en-US" w:eastAsia="zh-CN"/>
                        </w:rPr>
                      </w:pPr>
                      <w:r>
                        <w:rPr>
                          <w:rFonts w:hint="eastAsia"/>
                          <w:b/>
                          <w:sz w:val="24"/>
                          <w:szCs w:val="24"/>
                          <w:lang w:val="en-US" w:eastAsia="zh-CN"/>
                        </w:rPr>
                        <w:t>北侧新乡市顺美壁纸有限公司闲置厂房</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146685</wp:posOffset>
                </wp:positionH>
                <wp:positionV relativeFrom="paragraph">
                  <wp:posOffset>5603875</wp:posOffset>
                </wp:positionV>
                <wp:extent cx="2931160" cy="37274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931160" cy="372745"/>
                        </a:xfrm>
                        <a:prstGeom prst="rect">
                          <a:avLst/>
                        </a:prstGeom>
                        <a:noFill/>
                        <a:ln w="12700" cmpd="sng">
                          <a:noFill/>
                          <a:prstDash val="solid"/>
                        </a:ln>
                      </wps:spPr>
                      <wps:txbx>
                        <w:txbxContent>
                          <w:p>
                            <w:pPr>
                              <w:jc w:val="center"/>
                              <w:rPr>
                                <w:rFonts w:hint="default"/>
                                <w:b/>
                                <w:bCs/>
                                <w:sz w:val="24"/>
                                <w:szCs w:val="24"/>
                                <w:lang w:val="en-US" w:eastAsia="zh-CN"/>
                              </w:rPr>
                            </w:pPr>
                            <w:r>
                              <w:rPr>
                                <w:rFonts w:hint="eastAsia" w:cs="Times New Roman"/>
                                <w:b/>
                                <w:bCs/>
                                <w:color w:val="auto"/>
                                <w:sz w:val="24"/>
                                <w:szCs w:val="24"/>
                                <w:highlight w:val="none"/>
                                <w:lang w:val="en-US" w:eastAsia="zh-CN"/>
                              </w:rPr>
                              <w:t>南侧新乡市众和保温材料有限公司</w:t>
                            </w:r>
                          </w:p>
                        </w:txbxContent>
                      </wps:txbx>
                      <wps:bodyPr wrap="square" upright="1"/>
                    </wps:wsp>
                  </a:graphicData>
                </a:graphic>
              </wp:anchor>
            </w:drawing>
          </mc:Choice>
          <mc:Fallback>
            <w:pict>
              <v:shape id="_x0000_s1026" o:spid="_x0000_s1026" o:spt="202" type="#_x0000_t202" style="position:absolute;left:0pt;margin-left:11.55pt;margin-top:441.25pt;height:29.35pt;width:230.8pt;z-index:251705344;mso-width-relative:page;mso-height-relative:page;" filled="f" stroked="f" coordsize="21600,21600" o:gfxdata="UEsDBAoAAAAAAIdO4kAAAAAAAAAAAAAAAAAEAAAAZHJzL1BLAwQUAAAACACHTuJAWaN5xtkAAAAK&#10;AQAADwAAAGRycy9kb3ducmV2LnhtbE2PwU7DMAyG70i8Q2QkbixtVqArTSdA4sBhhw24u03WVmuc&#10;0mTd4OkxJzha/v7fn8v12Q1itlPoPWlIFwkIS403PbUa3t9ebnIQISIZHDxZDV82wLq6vCixMP5E&#10;WzvvYiu4hEKBGroYx0LK0HTWYVj40RLv9n5yGHmcWmkmPHG5G6RKkjvpsCe+0OFonzvbHHZHxxrz&#10;R71cxUcfwmavnl6/cVMfPrW+vkqTBxDRnuMfDL/6nIGKnWp/JBPEoEEtUyY15Lm6BcFAlmf3IGoN&#10;qyxVIKtS/n+h+gFQSwMEFAAAAAgAh07iQO1kl4DTAQAAjAMAAA4AAABkcnMvZTJvRG9jLnhtbK1T&#10;zY7TMBC+I/EOlu80aXZpIWq6EqqWCwKkhQdwHTux5D88bpO+ALwBJy7cea4+B2Mn210tlz1wcez5&#10;+Wa+byabm9FochQBlLMNXS5KSoTlrlW2a+jXL7ev3lACkdmWaWdFQ08C6M325YvN4GtRud7pVgSC&#10;IBbqwTe0j9HXRQG8F4bBwnlh0SldMCziM3RFG9iA6EYXVVmuisGF1gfHBQBad5OTzojhOYBOSsXF&#10;zvGDETZOqEFoFpES9MoD3eZupRQ8fpISRCS6ocg05hOL4H2fzmK7YXUXmO8Vn1tgz2nhCSfDlMWi&#10;F6gdi4wcgvoHyigeHDgZF9yZYiKSFUEWy/KJNnc98yJzQanBX0SH/wfLPx4/B6Lahl6vKLHM4MTP&#10;P3+cf/05//5O0IYCDR5qjLvzGBnHd27Etbm3AxoT71EGk77IiKAf5T1d5BVjJByN1dur5XKFLo6+&#10;q3W1vn6dYIqHbB8gvhfOkHRpaMDxZVXZ8QPEKfQ+JBWz7lZpnUeoLRmwrWpdJnzjkRDYLic/ikrJ&#10;OwY9OTLcB3BatXMH2mIjiehEKN3iuB9n9nvXnpD8gHuCad8OLAhKDj6orsc2sxg5GYeU+cwLlbbg&#10;8TuXePiJt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WaN5xtkAAAAKAQAADwAAAAAAAAABACAA&#10;AAAiAAAAZHJzL2Rvd25yZXYueG1sUEsBAhQAFAAAAAgAh07iQO1kl4DTAQAAjAMAAA4AAAAAAAAA&#10;AQAgAAAAKAEAAGRycy9lMm9Eb2MueG1sUEsFBgAAAAAGAAYAWQEAAG0FAAAAAA==&#10;">
                <v:fill on="f" focussize="0,0"/>
                <v:stroke on="f" weight="1pt"/>
                <v:imagedata o:title=""/>
                <o:lock v:ext="edit" aspectratio="f"/>
                <v:textbox>
                  <w:txbxContent>
                    <w:p>
                      <w:pPr>
                        <w:jc w:val="center"/>
                        <w:rPr>
                          <w:rFonts w:hint="default"/>
                          <w:b/>
                          <w:bCs/>
                          <w:sz w:val="24"/>
                          <w:szCs w:val="24"/>
                          <w:lang w:val="en-US" w:eastAsia="zh-CN"/>
                        </w:rPr>
                      </w:pPr>
                      <w:r>
                        <w:rPr>
                          <w:rFonts w:hint="eastAsia" w:cs="Times New Roman"/>
                          <w:b/>
                          <w:bCs/>
                          <w:color w:val="auto"/>
                          <w:sz w:val="24"/>
                          <w:szCs w:val="24"/>
                          <w:highlight w:val="none"/>
                          <w:lang w:val="en-US" w:eastAsia="zh-CN"/>
                        </w:rPr>
                        <w:t>南侧新乡市众和保温材料有限公司</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5509260</wp:posOffset>
                </wp:positionH>
                <wp:positionV relativeFrom="paragraph">
                  <wp:posOffset>2451100</wp:posOffset>
                </wp:positionV>
                <wp:extent cx="2931160" cy="37274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2931160" cy="372745"/>
                        </a:xfrm>
                        <a:prstGeom prst="rect">
                          <a:avLst/>
                        </a:prstGeom>
                        <a:noFill/>
                        <a:ln w="12700" cmpd="sng">
                          <a:noFill/>
                          <a:prstDash val="solid"/>
                        </a:ln>
                      </wps:spPr>
                      <wps:txbx>
                        <w:txbxContent>
                          <w:p>
                            <w:pPr>
                              <w:jc w:val="center"/>
                              <w:rPr>
                                <w:rFonts w:hint="default" w:eastAsia="宋体"/>
                                <w:b/>
                                <w:sz w:val="24"/>
                                <w:szCs w:val="24"/>
                                <w:lang w:val="en-US" w:eastAsia="zh-CN"/>
                              </w:rPr>
                            </w:pPr>
                            <w:r>
                              <w:rPr>
                                <w:rFonts w:hint="eastAsia"/>
                                <w:b/>
                                <w:sz w:val="24"/>
                                <w:szCs w:val="24"/>
                                <w:lang w:val="en-US" w:eastAsia="zh-CN"/>
                              </w:rPr>
                              <w:t>西侧空地</w:t>
                            </w:r>
                          </w:p>
                        </w:txbxContent>
                      </wps:txbx>
                      <wps:bodyPr wrap="square" upright="1"/>
                    </wps:wsp>
                  </a:graphicData>
                </a:graphic>
              </wp:anchor>
            </w:drawing>
          </mc:Choice>
          <mc:Fallback>
            <w:pict>
              <v:shape id="_x0000_s1026" o:spid="_x0000_s1026" o:spt="202" type="#_x0000_t202" style="position:absolute;left:0pt;margin-left:433.8pt;margin-top:193pt;height:29.35pt;width:230.8pt;z-index:251706368;mso-width-relative:page;mso-height-relative:page;" filled="f" stroked="f" coordsize="21600,21600" o:gfxdata="UEsDBAoAAAAAAIdO4kAAAAAAAAAAAAAAAAAEAAAAZHJzL1BLAwQUAAAACACHTuJAVAOS/doAAAAM&#10;AQAADwAAAGRycy9kb3ducmV2LnhtbE2PwU6DQBCG7ya+w2ZMvNmlQChFlkZNPHjowar3gZ0CKTuL&#10;7JZWn97tyR4n880/319uzmYQM02ut6xguYhAEDdW99wq+Px4fchBOI+scbBMCn7Iwaa6vSmx0PbE&#10;7zTvfCtCCLsCFXTej4WUrunIoFvYkTjs9nYy6MM4tVJPeArhZpBxFGXSYM/hQ4cjvXTUHHZHEzTm&#10;rzpZ+yfr3HYfP7/94rY+fCt1f7eMHkF4Ovt/GC764Qaq4FTbI2snBgV5tsoCqiDJs1DqQiTxOgZR&#10;K0jTdAWyKuV1ieoPUEsDBBQAAAAIAIdO4kCAeD+v0wEAAIwDAAAOAAAAZHJzL2Uyb0RvYy54bWyt&#10;U0tu2zAQ3RfoHQjua8lKGreC5QCBkW6KtkDaA9AUKRHgrxzaki/Q3qCrbrrvuXyODinFCdJNFtlQ&#10;5HzezHszWl+PRpODCKCcbehyUVIiLHetsl1Dv329ffOOEojMtkw7Kxp6FECvN69frQdfi8r1Trci&#10;EASxUA++oX2Mvi4K4L0wDBbOC4tO6YJhEZ+hK9rABkQ3uqjK8qoYXGh9cFwAoHU7OemMGJ4D6KRU&#10;XGwd3xth44QahGYRKUGvPNBN7lZKweNnKUFEohuKTGM+sQjed+ksNmtWd4H5XvG5BfacFp5wMkxZ&#10;LHqG2rLIyD6o/6CM4sGBk3HBnSkmIlkRZLEsn2hz1zMvMheUGvxZdHg5WP7p8CUQ1Tb0ckWJZQYn&#10;fvr18/T77+nPD4I2FGjwUGPcncfION64Edfm3g5oTLxHGUz6IiOCfpT3eJZXjJFwNFbvL5bLK3Rx&#10;9F2sqtXl2wRTPGT7APGDcIakS0MDji+ryg4fIU6h9yGpmHW3Sus8Qm3JgG1VqzLhG4+EwHY5+VFU&#10;St4y6MmB4T6A06qdO9AWG0lEJ0LpFsfdOLPfufaI5AfcE0z7vmdBULL3QXU9tpnFyMk4pMxnXqi0&#10;BY/fucTDT7T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QDkv3aAAAADAEAAA8AAAAAAAAAAQAg&#10;AAAAIgAAAGRycy9kb3ducmV2LnhtbFBLAQIUABQAAAAIAIdO4kCAeD+v0wEAAIwDAAAOAAAAAAAA&#10;AAEAIAAAACkBAABkcnMvZTJvRG9jLnhtbFBLBQYAAAAABgAGAFkBAABuBQAAAAA=&#10;">
                <v:fill on="f" focussize="0,0"/>
                <v:stroke on="f" weight="1pt"/>
                <v:imagedata o:title=""/>
                <o:lock v:ext="edit" aspectratio="f"/>
                <v:textbox>
                  <w:txbxContent>
                    <w:p>
                      <w:pPr>
                        <w:jc w:val="center"/>
                        <w:rPr>
                          <w:rFonts w:hint="default" w:eastAsia="宋体"/>
                          <w:b/>
                          <w:sz w:val="24"/>
                          <w:szCs w:val="24"/>
                          <w:lang w:val="en-US" w:eastAsia="zh-CN"/>
                        </w:rPr>
                      </w:pPr>
                      <w:r>
                        <w:rPr>
                          <w:rFonts w:hint="eastAsia"/>
                          <w:b/>
                          <w:sz w:val="24"/>
                          <w:szCs w:val="24"/>
                          <w:lang w:val="en-US" w:eastAsia="zh-CN"/>
                        </w:rPr>
                        <w:t>西侧空地</w:t>
                      </w:r>
                    </w:p>
                  </w:txbxContent>
                </v:textbox>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51435</wp:posOffset>
                </wp:positionH>
                <wp:positionV relativeFrom="paragraph">
                  <wp:posOffset>2451100</wp:posOffset>
                </wp:positionV>
                <wp:extent cx="2931160" cy="37274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931160" cy="372745"/>
                        </a:xfrm>
                        <a:prstGeom prst="rect">
                          <a:avLst/>
                        </a:prstGeom>
                        <a:noFill/>
                        <a:ln w="12700" cmpd="sng">
                          <a:noFill/>
                          <a:prstDash val="solid"/>
                        </a:ln>
                      </wps:spPr>
                      <wps:txbx>
                        <w:txbxContent>
                          <w:p>
                            <w:pPr>
                              <w:jc w:val="center"/>
                              <w:rPr>
                                <w:rFonts w:hint="default" w:eastAsia="宋体"/>
                                <w:b/>
                                <w:sz w:val="24"/>
                                <w:szCs w:val="24"/>
                                <w:lang w:val="en-US" w:eastAsia="zh-CN"/>
                              </w:rPr>
                            </w:pPr>
                            <w:r>
                              <w:rPr>
                                <w:rFonts w:hint="eastAsia"/>
                                <w:b/>
                                <w:sz w:val="24"/>
                                <w:szCs w:val="24"/>
                                <w:lang w:val="en-US" w:eastAsia="zh-CN"/>
                              </w:rPr>
                              <w:t>东侧新乡市顺美壁纸有限公司生产车间</w:t>
                            </w:r>
                          </w:p>
                        </w:txbxContent>
                      </wps:txbx>
                      <wps:bodyPr wrap="square" upright="1"/>
                    </wps:wsp>
                  </a:graphicData>
                </a:graphic>
              </wp:anchor>
            </w:drawing>
          </mc:Choice>
          <mc:Fallback>
            <w:pict>
              <v:shape id="_x0000_s1026" o:spid="_x0000_s1026" o:spt="202" type="#_x0000_t202" style="position:absolute;left:0pt;margin-left:4.05pt;margin-top:193pt;height:29.35pt;width:230.8pt;z-index:251703296;mso-width-relative:page;mso-height-relative:page;" filled="f" stroked="f" coordsize="21600,21600" o:gfxdata="UEsDBAoAAAAAAIdO4kAAAAAAAAAAAAAAAAAEAAAAZHJzL1BLAwQUAAAACACHTuJAxuD/nNgAAAAJ&#10;AQAADwAAAGRycy9kb3ducmV2LnhtbE2PQU+DQBCF7yb+h82YeLMLLaEUWRo18eChB6veB5gCKTuL&#10;7JZWf73jSW8zeW/efK/YXuygZpp879hAvIhAEdeu6bk18P72fJeB8gG5wcExGfgiD9vy+qrAvHFn&#10;fqV5H1olIexzNNCFMOZa+7oji37hRmLRDm6yGGSdWt1MeJZwO+hlFKXaYs/yocORnjqqj/uTFYz5&#10;o1ptwoPzfndYPr584646fhpzexNH96ACXcKfGX7x5QZKYarciRuvBgNZLEYDqyyVSqIn6WYNqpIh&#10;Sdagy0L/b1D+AFBLAwQUAAAACACHTuJAN1zH39MBAACMAwAADgAAAGRycy9lMm9Eb2MueG1srVPN&#10;jtMwEL4j8Q6W7zRptmwharoSqpYLAqSFB3AdO7HkPzxuk74AvAEnLtx5rj4HYyfbXS2XPXBx7Pn5&#10;Zr5vJpub0WhyFAGUsw1dLkpKhOWuVbZr6Ncvt6/eUAKR2ZZpZ0VDTwLozfbli83ga1G53ulWBIIg&#10;FurBN7SP0ddFAbwXhsHCeWHRKV0wLOIzdEUb2IDoRhdVWV4XgwutD44LALTuJiedEcNzAJ2Uioud&#10;4wcjbJxQg9AsIiXolQe6zd1KKXj8JCWISHRDkWnMJxbB+z6dxXbD6i4w3ys+t8Ce08ITToYpi0Uv&#10;UDsWGTkE9Q+UUTw4cDIuuDPFRCQrgiyW5RNt7nrmReaCUoO/iA7/D5Z/PH4ORLUNXa0osczgxM8/&#10;f5x//Tn//k7QhgINHmqMu/MYGcd3bsS1ubcDGhPvUQaTvsiIoB/lPV3kFWMkHI3V26vl8hpdHH1X&#10;62q9ep1giodsHyC+F86QdGlowPFlVdnxA8Qp9D4kFbPuVmmdR6gtGbCtal0mfOORENguJz+KSsk7&#10;Bj05MtwHcFq1cwfaYiOJ6EQo3eK4H2f2e9eekPyAe4Jp3w4sCEoOPqiuxzazGDkZh5T5zAuVtuDx&#10;O5d4+Im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4P+c2AAAAAkBAAAPAAAAAAAAAAEAIAAA&#10;ACIAAABkcnMvZG93bnJldi54bWxQSwECFAAUAAAACACHTuJAN1zH39MBAACMAwAADgAAAAAAAAAB&#10;ACAAAAAnAQAAZHJzL2Uyb0RvYy54bWxQSwUGAAAAAAYABgBZAQAAbAUAAAAA&#10;">
                <v:fill on="f" focussize="0,0"/>
                <v:stroke on="f" weight="1pt"/>
                <v:imagedata o:title=""/>
                <o:lock v:ext="edit" aspectratio="f"/>
                <v:textbox>
                  <w:txbxContent>
                    <w:p>
                      <w:pPr>
                        <w:jc w:val="center"/>
                        <w:rPr>
                          <w:rFonts w:hint="default" w:eastAsia="宋体"/>
                          <w:b/>
                          <w:sz w:val="24"/>
                          <w:szCs w:val="24"/>
                          <w:lang w:val="en-US" w:eastAsia="zh-CN"/>
                        </w:rPr>
                      </w:pPr>
                      <w:r>
                        <w:rPr>
                          <w:rFonts w:hint="eastAsia"/>
                          <w:b/>
                          <w:sz w:val="24"/>
                          <w:szCs w:val="24"/>
                          <w:lang w:val="en-US" w:eastAsia="zh-CN"/>
                        </w:rPr>
                        <w:t>东侧新乡市顺美壁纸有限公司生产车间</w:t>
                      </w:r>
                    </w:p>
                  </w:txbxContent>
                </v:textbox>
              </v:shape>
            </w:pict>
          </mc:Fallback>
        </mc:AlternateContent>
      </w:r>
      <w:r>
        <w:drawing>
          <wp:anchor distT="0" distB="0" distL="114300" distR="114300" simplePos="0" relativeHeight="251702272" behindDoc="0" locked="0" layoutInCell="1" allowOverlap="1">
            <wp:simplePos x="0" y="0"/>
            <wp:positionH relativeFrom="column">
              <wp:posOffset>5048250</wp:posOffset>
            </wp:positionH>
            <wp:positionV relativeFrom="paragraph">
              <wp:posOffset>2848610</wp:posOffset>
            </wp:positionV>
            <wp:extent cx="3599815" cy="2700020"/>
            <wp:effectExtent l="0" t="0" r="635" b="5080"/>
            <wp:wrapNone/>
            <wp:docPr id="43" name="图片 43" descr="北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北面"/>
                    <pic:cNvPicPr>
                      <a:picLocks noChangeAspect="1"/>
                    </pic:cNvPicPr>
                  </pic:nvPicPr>
                  <pic:blipFill>
                    <a:blip r:embed="rId26"/>
                    <a:stretch>
                      <a:fillRect/>
                    </a:stretch>
                  </pic:blipFill>
                  <pic:spPr>
                    <a:xfrm>
                      <a:off x="0" y="0"/>
                      <a:ext cx="3599815" cy="2700020"/>
                    </a:xfrm>
                    <a:prstGeom prst="rect">
                      <a:avLst/>
                    </a:prstGeom>
                  </pic:spPr>
                </pic:pic>
              </a:graphicData>
            </a:graphic>
          </wp:anchor>
        </w:drawing>
      </w:r>
      <w:r>
        <w:drawing>
          <wp:anchor distT="0" distB="0" distL="114300" distR="114300" simplePos="0" relativeHeight="251701248" behindDoc="0" locked="0" layoutInCell="1" allowOverlap="1">
            <wp:simplePos x="0" y="0"/>
            <wp:positionH relativeFrom="column">
              <wp:posOffset>-76200</wp:posOffset>
            </wp:positionH>
            <wp:positionV relativeFrom="paragraph">
              <wp:posOffset>2858135</wp:posOffset>
            </wp:positionV>
            <wp:extent cx="3599815" cy="2699385"/>
            <wp:effectExtent l="0" t="0" r="635" b="5715"/>
            <wp:wrapNone/>
            <wp:docPr id="42" name="图片 42" descr="南面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南面企业"/>
                    <pic:cNvPicPr>
                      <a:picLocks noChangeAspect="1"/>
                    </pic:cNvPicPr>
                  </pic:nvPicPr>
                  <pic:blipFill>
                    <a:blip r:embed="rId27"/>
                    <a:stretch>
                      <a:fillRect/>
                    </a:stretch>
                  </pic:blipFill>
                  <pic:spPr>
                    <a:xfrm>
                      <a:off x="0" y="0"/>
                      <a:ext cx="3599815" cy="2699385"/>
                    </a:xfrm>
                    <a:prstGeom prst="rect">
                      <a:avLst/>
                    </a:prstGeom>
                  </pic:spPr>
                </pic:pic>
              </a:graphicData>
            </a:graphic>
          </wp:anchor>
        </w:drawing>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Style w:val="26"/>
        <w:rFonts w:ascii="宋体" w:hAnsi="宋体"/>
        <w:szCs w:val="21"/>
      </w:rPr>
    </w:pPr>
    <w:r>
      <w:rPr>
        <w:rStyle w:val="26"/>
        <w:rFonts w:hint="eastAsia" w:ascii="宋体" w:hAnsi="宋体"/>
        <w:szCs w:val="21"/>
      </w:rPr>
      <w:t xml:space="preserve"> </w:t>
    </w:r>
    <w:r>
      <w:rPr>
        <w:rStyle w:val="26"/>
        <w:rFonts w:ascii="宋体" w:hAnsi="宋体"/>
        <w:szCs w:val="21"/>
      </w:rPr>
      <w:fldChar w:fldCharType="begin"/>
    </w:r>
    <w:r>
      <w:rPr>
        <w:rStyle w:val="26"/>
        <w:rFonts w:ascii="宋体" w:hAnsi="宋体"/>
        <w:szCs w:val="21"/>
      </w:rPr>
      <w:instrText xml:space="preserve">PAGE  </w:instrText>
    </w:r>
    <w:r>
      <w:rPr>
        <w:rStyle w:val="26"/>
        <w:rFonts w:ascii="宋体" w:hAnsi="宋体"/>
        <w:szCs w:val="21"/>
      </w:rPr>
      <w:fldChar w:fldCharType="separate"/>
    </w:r>
    <w:r>
      <w:rPr>
        <w:rStyle w:val="26"/>
        <w:rFonts w:ascii="宋体" w:hAnsi="宋体"/>
        <w:szCs w:val="21"/>
      </w:rPr>
      <w:t>35</w:t>
    </w:r>
    <w:r>
      <w:rPr>
        <w:rStyle w:val="26"/>
        <w:rFonts w:ascii="宋体" w:hAnsi="宋体"/>
        <w:szCs w:val="21"/>
      </w:rPr>
      <w:fldChar w:fldCharType="end"/>
    </w:r>
    <w:r>
      <w:rPr>
        <w:rStyle w:val="26"/>
        <w:rFonts w:hint="eastAsia" w:ascii="宋体" w:hAnsi="宋体"/>
        <w:szCs w:val="21"/>
      </w:rPr>
      <w:t xml:space="preserve">  </w:t>
    </w:r>
  </w:p>
  <w:p>
    <w:pPr>
      <w:pStyle w:val="16"/>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6"/>
        <w:rFonts w:ascii="宋体" w:hAnsi="宋体"/>
        <w:sz w:val="28"/>
        <w:szCs w:val="28"/>
      </w:rPr>
    </w:pPr>
  </w:p>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17FAA0"/>
    <w:multiLevelType w:val="singleLevel"/>
    <w:tmpl w:val="0517FAA0"/>
    <w:lvl w:ilvl="0" w:tentative="0">
      <w:start w:val="2"/>
      <w:numFmt w:val="decimal"/>
      <w:suff w:val="nothing"/>
      <w:lvlText w:val="（%1）"/>
      <w:lvlJc w:val="left"/>
    </w:lvl>
  </w:abstractNum>
  <w:abstractNum w:abstractNumId="1">
    <w:nsid w:val="0B0CD235"/>
    <w:multiLevelType w:val="multilevel"/>
    <w:tmpl w:val="0B0CD235"/>
    <w:lvl w:ilvl="0" w:tentative="0">
      <w:start w:val="1"/>
      <w:numFmt w:val="decimal"/>
      <w:suff w:val="nothing"/>
      <w:lvlText w:val="（%1）"/>
      <w:lvlJc w:val="left"/>
      <w:pPr>
        <w:ind w:left="0" w:firstLine="0"/>
      </w:pPr>
      <w:rPr>
        <w:rFonts w:hint="default" w:ascii="Times New Roman" w:hAnsi="Times New Roman" w:cs="Times New Roman"/>
        <w:kern w:val="2"/>
        <w:sz w:val="21"/>
        <w:szCs w:val="21"/>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M4MTc2MzBkODRiODZiMGNkMWQ4OGRmYTM5MTdiMjkifQ=="/>
  </w:docVars>
  <w:rsids>
    <w:rsidRoot w:val="00172A27"/>
    <w:rsid w:val="00003E10"/>
    <w:rsid w:val="000060B3"/>
    <w:rsid w:val="0001025A"/>
    <w:rsid w:val="00012110"/>
    <w:rsid w:val="0001250F"/>
    <w:rsid w:val="0001437F"/>
    <w:rsid w:val="00022A68"/>
    <w:rsid w:val="00025826"/>
    <w:rsid w:val="00025E89"/>
    <w:rsid w:val="0003339E"/>
    <w:rsid w:val="0003642C"/>
    <w:rsid w:val="00041C78"/>
    <w:rsid w:val="000434BC"/>
    <w:rsid w:val="0004364B"/>
    <w:rsid w:val="0004485A"/>
    <w:rsid w:val="00045F8A"/>
    <w:rsid w:val="000549D2"/>
    <w:rsid w:val="0005601F"/>
    <w:rsid w:val="00056413"/>
    <w:rsid w:val="00061B1F"/>
    <w:rsid w:val="0006238D"/>
    <w:rsid w:val="0006273D"/>
    <w:rsid w:val="00066043"/>
    <w:rsid w:val="00067BFC"/>
    <w:rsid w:val="000729DD"/>
    <w:rsid w:val="000733C4"/>
    <w:rsid w:val="0007386C"/>
    <w:rsid w:val="0007389B"/>
    <w:rsid w:val="00074422"/>
    <w:rsid w:val="00074783"/>
    <w:rsid w:val="0007669A"/>
    <w:rsid w:val="00076B2E"/>
    <w:rsid w:val="00077C1B"/>
    <w:rsid w:val="0008070B"/>
    <w:rsid w:val="000810AC"/>
    <w:rsid w:val="00081533"/>
    <w:rsid w:val="00081A02"/>
    <w:rsid w:val="00082231"/>
    <w:rsid w:val="00085CCD"/>
    <w:rsid w:val="000917B5"/>
    <w:rsid w:val="00092D38"/>
    <w:rsid w:val="0009377B"/>
    <w:rsid w:val="00095EA5"/>
    <w:rsid w:val="00097557"/>
    <w:rsid w:val="000A0E1F"/>
    <w:rsid w:val="000A1108"/>
    <w:rsid w:val="000A20C9"/>
    <w:rsid w:val="000A2DBF"/>
    <w:rsid w:val="000A63F0"/>
    <w:rsid w:val="000B058F"/>
    <w:rsid w:val="000B368D"/>
    <w:rsid w:val="000B4467"/>
    <w:rsid w:val="000B4DB9"/>
    <w:rsid w:val="000B7E98"/>
    <w:rsid w:val="000C0484"/>
    <w:rsid w:val="000C09AC"/>
    <w:rsid w:val="000C2B43"/>
    <w:rsid w:val="000C3F08"/>
    <w:rsid w:val="000C617D"/>
    <w:rsid w:val="000C699A"/>
    <w:rsid w:val="000C767F"/>
    <w:rsid w:val="000D02D7"/>
    <w:rsid w:val="000D1537"/>
    <w:rsid w:val="000D1D47"/>
    <w:rsid w:val="000D4598"/>
    <w:rsid w:val="000D5A44"/>
    <w:rsid w:val="000D7171"/>
    <w:rsid w:val="000E2FD7"/>
    <w:rsid w:val="000E3ED2"/>
    <w:rsid w:val="000E5F8A"/>
    <w:rsid w:val="000F0BD7"/>
    <w:rsid w:val="000F2BE8"/>
    <w:rsid w:val="000F4CC5"/>
    <w:rsid w:val="000F673D"/>
    <w:rsid w:val="000F69DD"/>
    <w:rsid w:val="001000CB"/>
    <w:rsid w:val="0010134C"/>
    <w:rsid w:val="00101A78"/>
    <w:rsid w:val="0010212A"/>
    <w:rsid w:val="00103D0D"/>
    <w:rsid w:val="00104023"/>
    <w:rsid w:val="00106229"/>
    <w:rsid w:val="001145CE"/>
    <w:rsid w:val="00121AF7"/>
    <w:rsid w:val="001231F0"/>
    <w:rsid w:val="00125123"/>
    <w:rsid w:val="001259B0"/>
    <w:rsid w:val="00126B1C"/>
    <w:rsid w:val="00131F42"/>
    <w:rsid w:val="00133FFC"/>
    <w:rsid w:val="001342C9"/>
    <w:rsid w:val="001353A3"/>
    <w:rsid w:val="001357F1"/>
    <w:rsid w:val="00135E0F"/>
    <w:rsid w:val="001377D8"/>
    <w:rsid w:val="001404E7"/>
    <w:rsid w:val="00140FA8"/>
    <w:rsid w:val="00142379"/>
    <w:rsid w:val="00142C50"/>
    <w:rsid w:val="00142FEB"/>
    <w:rsid w:val="00143A2D"/>
    <w:rsid w:val="00144B9F"/>
    <w:rsid w:val="00145A41"/>
    <w:rsid w:val="00151675"/>
    <w:rsid w:val="00151AE6"/>
    <w:rsid w:val="00152C83"/>
    <w:rsid w:val="00157435"/>
    <w:rsid w:val="0016059D"/>
    <w:rsid w:val="00161DC1"/>
    <w:rsid w:val="00162109"/>
    <w:rsid w:val="00162D35"/>
    <w:rsid w:val="0016326C"/>
    <w:rsid w:val="001632DA"/>
    <w:rsid w:val="001638D1"/>
    <w:rsid w:val="00166B7E"/>
    <w:rsid w:val="00167927"/>
    <w:rsid w:val="00171E01"/>
    <w:rsid w:val="001747FE"/>
    <w:rsid w:val="0017504D"/>
    <w:rsid w:val="0017671A"/>
    <w:rsid w:val="00177422"/>
    <w:rsid w:val="00181411"/>
    <w:rsid w:val="00184590"/>
    <w:rsid w:val="001860D8"/>
    <w:rsid w:val="00186E82"/>
    <w:rsid w:val="001870D1"/>
    <w:rsid w:val="0018781E"/>
    <w:rsid w:val="00190243"/>
    <w:rsid w:val="0019262D"/>
    <w:rsid w:val="00194283"/>
    <w:rsid w:val="001943EB"/>
    <w:rsid w:val="0019640E"/>
    <w:rsid w:val="00196C42"/>
    <w:rsid w:val="00197778"/>
    <w:rsid w:val="001A11BF"/>
    <w:rsid w:val="001A1B35"/>
    <w:rsid w:val="001A3EE5"/>
    <w:rsid w:val="001A48A2"/>
    <w:rsid w:val="001A6139"/>
    <w:rsid w:val="001A63FC"/>
    <w:rsid w:val="001A67B2"/>
    <w:rsid w:val="001A6BFE"/>
    <w:rsid w:val="001A6C5D"/>
    <w:rsid w:val="001A6F61"/>
    <w:rsid w:val="001A7F91"/>
    <w:rsid w:val="001B09ED"/>
    <w:rsid w:val="001B26C6"/>
    <w:rsid w:val="001B416E"/>
    <w:rsid w:val="001B5D8F"/>
    <w:rsid w:val="001B60E1"/>
    <w:rsid w:val="001B72B8"/>
    <w:rsid w:val="001B7AE4"/>
    <w:rsid w:val="001C3174"/>
    <w:rsid w:val="001C383C"/>
    <w:rsid w:val="001C69B3"/>
    <w:rsid w:val="001D0DEB"/>
    <w:rsid w:val="001D1CAA"/>
    <w:rsid w:val="001D25C0"/>
    <w:rsid w:val="001D39D5"/>
    <w:rsid w:val="001D4447"/>
    <w:rsid w:val="001D5537"/>
    <w:rsid w:val="001D5595"/>
    <w:rsid w:val="001D6A2E"/>
    <w:rsid w:val="001D7874"/>
    <w:rsid w:val="001D7F22"/>
    <w:rsid w:val="001E2C9B"/>
    <w:rsid w:val="001E5527"/>
    <w:rsid w:val="001E74E5"/>
    <w:rsid w:val="001F0F17"/>
    <w:rsid w:val="001F2BE0"/>
    <w:rsid w:val="001F3347"/>
    <w:rsid w:val="001F5528"/>
    <w:rsid w:val="001F553E"/>
    <w:rsid w:val="001F69E4"/>
    <w:rsid w:val="001F784E"/>
    <w:rsid w:val="00204EEB"/>
    <w:rsid w:val="00205542"/>
    <w:rsid w:val="00206108"/>
    <w:rsid w:val="00206697"/>
    <w:rsid w:val="002072AB"/>
    <w:rsid w:val="002101D6"/>
    <w:rsid w:val="002118BF"/>
    <w:rsid w:val="002125B4"/>
    <w:rsid w:val="00212B81"/>
    <w:rsid w:val="002136B6"/>
    <w:rsid w:val="002155B8"/>
    <w:rsid w:val="00215F90"/>
    <w:rsid w:val="00222BC9"/>
    <w:rsid w:val="00223CE5"/>
    <w:rsid w:val="00224839"/>
    <w:rsid w:val="002249B2"/>
    <w:rsid w:val="002256F6"/>
    <w:rsid w:val="00226574"/>
    <w:rsid w:val="0022742B"/>
    <w:rsid w:val="002278EC"/>
    <w:rsid w:val="00231E6E"/>
    <w:rsid w:val="0023280E"/>
    <w:rsid w:val="00232DDB"/>
    <w:rsid w:val="00232E64"/>
    <w:rsid w:val="0023384F"/>
    <w:rsid w:val="0023387E"/>
    <w:rsid w:val="00234D62"/>
    <w:rsid w:val="00236123"/>
    <w:rsid w:val="0023634C"/>
    <w:rsid w:val="002377D1"/>
    <w:rsid w:val="0023796C"/>
    <w:rsid w:val="0024252E"/>
    <w:rsid w:val="002506BC"/>
    <w:rsid w:val="00251458"/>
    <w:rsid w:val="00252C1C"/>
    <w:rsid w:val="00254345"/>
    <w:rsid w:val="00255D41"/>
    <w:rsid w:val="00256AC5"/>
    <w:rsid w:val="0026314D"/>
    <w:rsid w:val="00264557"/>
    <w:rsid w:val="00265552"/>
    <w:rsid w:val="0026602C"/>
    <w:rsid w:val="00270C05"/>
    <w:rsid w:val="00273458"/>
    <w:rsid w:val="002805AB"/>
    <w:rsid w:val="002832C6"/>
    <w:rsid w:val="00284204"/>
    <w:rsid w:val="00285793"/>
    <w:rsid w:val="00291773"/>
    <w:rsid w:val="002A168C"/>
    <w:rsid w:val="002A3DC7"/>
    <w:rsid w:val="002A5D65"/>
    <w:rsid w:val="002A5FD3"/>
    <w:rsid w:val="002B005B"/>
    <w:rsid w:val="002B12A4"/>
    <w:rsid w:val="002B1500"/>
    <w:rsid w:val="002B3074"/>
    <w:rsid w:val="002B49E2"/>
    <w:rsid w:val="002B4D31"/>
    <w:rsid w:val="002B66A9"/>
    <w:rsid w:val="002B7B00"/>
    <w:rsid w:val="002B7C44"/>
    <w:rsid w:val="002C23A8"/>
    <w:rsid w:val="002C2B17"/>
    <w:rsid w:val="002C3A48"/>
    <w:rsid w:val="002D3DD0"/>
    <w:rsid w:val="002D5745"/>
    <w:rsid w:val="002D579B"/>
    <w:rsid w:val="002E1F3A"/>
    <w:rsid w:val="002E298A"/>
    <w:rsid w:val="002E2C2E"/>
    <w:rsid w:val="002E6845"/>
    <w:rsid w:val="002E7CBA"/>
    <w:rsid w:val="002E7F12"/>
    <w:rsid w:val="002F3461"/>
    <w:rsid w:val="002F5A6B"/>
    <w:rsid w:val="002F6570"/>
    <w:rsid w:val="00300D45"/>
    <w:rsid w:val="00301978"/>
    <w:rsid w:val="00301B1E"/>
    <w:rsid w:val="0030332C"/>
    <w:rsid w:val="00304DEC"/>
    <w:rsid w:val="003051C2"/>
    <w:rsid w:val="003057AE"/>
    <w:rsid w:val="00305C8C"/>
    <w:rsid w:val="0031022A"/>
    <w:rsid w:val="00312296"/>
    <w:rsid w:val="00312452"/>
    <w:rsid w:val="00313800"/>
    <w:rsid w:val="00314F0E"/>
    <w:rsid w:val="00320B1A"/>
    <w:rsid w:val="00321D8E"/>
    <w:rsid w:val="00323096"/>
    <w:rsid w:val="00325928"/>
    <w:rsid w:val="00326FFE"/>
    <w:rsid w:val="0032787A"/>
    <w:rsid w:val="00327902"/>
    <w:rsid w:val="003302E4"/>
    <w:rsid w:val="00332863"/>
    <w:rsid w:val="0033684D"/>
    <w:rsid w:val="00337B42"/>
    <w:rsid w:val="00340AA9"/>
    <w:rsid w:val="00341B42"/>
    <w:rsid w:val="0034261C"/>
    <w:rsid w:val="0034348F"/>
    <w:rsid w:val="00344252"/>
    <w:rsid w:val="00344F54"/>
    <w:rsid w:val="00345814"/>
    <w:rsid w:val="00345918"/>
    <w:rsid w:val="00345C87"/>
    <w:rsid w:val="003527EC"/>
    <w:rsid w:val="00354389"/>
    <w:rsid w:val="003550FC"/>
    <w:rsid w:val="003551F9"/>
    <w:rsid w:val="00355266"/>
    <w:rsid w:val="00356653"/>
    <w:rsid w:val="0035743F"/>
    <w:rsid w:val="00357BE2"/>
    <w:rsid w:val="0036170C"/>
    <w:rsid w:val="00361C61"/>
    <w:rsid w:val="0036269E"/>
    <w:rsid w:val="00362E4D"/>
    <w:rsid w:val="00366E0F"/>
    <w:rsid w:val="00367C4E"/>
    <w:rsid w:val="0037171E"/>
    <w:rsid w:val="00371C3E"/>
    <w:rsid w:val="003739C8"/>
    <w:rsid w:val="00373FA5"/>
    <w:rsid w:val="00374F00"/>
    <w:rsid w:val="00374F83"/>
    <w:rsid w:val="003756B5"/>
    <w:rsid w:val="003773BD"/>
    <w:rsid w:val="003809E0"/>
    <w:rsid w:val="00381923"/>
    <w:rsid w:val="00381A72"/>
    <w:rsid w:val="00381EC6"/>
    <w:rsid w:val="00384676"/>
    <w:rsid w:val="00386EF3"/>
    <w:rsid w:val="00390857"/>
    <w:rsid w:val="00391DBE"/>
    <w:rsid w:val="00393B76"/>
    <w:rsid w:val="0039726D"/>
    <w:rsid w:val="00397BEF"/>
    <w:rsid w:val="00397CE3"/>
    <w:rsid w:val="003A2209"/>
    <w:rsid w:val="003A4BF3"/>
    <w:rsid w:val="003A5FEA"/>
    <w:rsid w:val="003B2543"/>
    <w:rsid w:val="003B371F"/>
    <w:rsid w:val="003B420D"/>
    <w:rsid w:val="003B786A"/>
    <w:rsid w:val="003C26C0"/>
    <w:rsid w:val="003C65BC"/>
    <w:rsid w:val="003C6C16"/>
    <w:rsid w:val="003C7782"/>
    <w:rsid w:val="003C7E72"/>
    <w:rsid w:val="003D0C8E"/>
    <w:rsid w:val="003D2AAD"/>
    <w:rsid w:val="003D4941"/>
    <w:rsid w:val="003D51FD"/>
    <w:rsid w:val="003D5C3F"/>
    <w:rsid w:val="003D5D55"/>
    <w:rsid w:val="003D6288"/>
    <w:rsid w:val="003D7913"/>
    <w:rsid w:val="003D794D"/>
    <w:rsid w:val="003E02D5"/>
    <w:rsid w:val="003E053E"/>
    <w:rsid w:val="003E2FA3"/>
    <w:rsid w:val="003E3058"/>
    <w:rsid w:val="003E3126"/>
    <w:rsid w:val="003E3739"/>
    <w:rsid w:val="003E3B10"/>
    <w:rsid w:val="003E3F95"/>
    <w:rsid w:val="003E76A9"/>
    <w:rsid w:val="003F01C1"/>
    <w:rsid w:val="003F0809"/>
    <w:rsid w:val="003F0DF8"/>
    <w:rsid w:val="003F28E3"/>
    <w:rsid w:val="003F59A5"/>
    <w:rsid w:val="003F5CC8"/>
    <w:rsid w:val="003F6A8C"/>
    <w:rsid w:val="003F6AA8"/>
    <w:rsid w:val="003F755C"/>
    <w:rsid w:val="00405C7B"/>
    <w:rsid w:val="00406F01"/>
    <w:rsid w:val="00410EE6"/>
    <w:rsid w:val="00411617"/>
    <w:rsid w:val="004142FA"/>
    <w:rsid w:val="00416D50"/>
    <w:rsid w:val="00416FD5"/>
    <w:rsid w:val="00417772"/>
    <w:rsid w:val="00420E6A"/>
    <w:rsid w:val="00422FD1"/>
    <w:rsid w:val="0042326E"/>
    <w:rsid w:val="0042476C"/>
    <w:rsid w:val="00425A9E"/>
    <w:rsid w:val="00426D6B"/>
    <w:rsid w:val="00430768"/>
    <w:rsid w:val="0043099C"/>
    <w:rsid w:val="00430A43"/>
    <w:rsid w:val="00431E6C"/>
    <w:rsid w:val="00433CE7"/>
    <w:rsid w:val="00433DE6"/>
    <w:rsid w:val="004369C2"/>
    <w:rsid w:val="004431A1"/>
    <w:rsid w:val="00443B87"/>
    <w:rsid w:val="004457DC"/>
    <w:rsid w:val="00446619"/>
    <w:rsid w:val="00450D67"/>
    <w:rsid w:val="00452375"/>
    <w:rsid w:val="00452738"/>
    <w:rsid w:val="00454158"/>
    <w:rsid w:val="00456091"/>
    <w:rsid w:val="004600E4"/>
    <w:rsid w:val="0046062C"/>
    <w:rsid w:val="00463296"/>
    <w:rsid w:val="00466321"/>
    <w:rsid w:val="004744F8"/>
    <w:rsid w:val="00475C0D"/>
    <w:rsid w:val="00481AE9"/>
    <w:rsid w:val="00482C74"/>
    <w:rsid w:val="0048389F"/>
    <w:rsid w:val="00484B9B"/>
    <w:rsid w:val="004855F6"/>
    <w:rsid w:val="00486370"/>
    <w:rsid w:val="0048645A"/>
    <w:rsid w:val="0048661E"/>
    <w:rsid w:val="00494670"/>
    <w:rsid w:val="00496332"/>
    <w:rsid w:val="004966E3"/>
    <w:rsid w:val="004967DD"/>
    <w:rsid w:val="004971F7"/>
    <w:rsid w:val="004A09B6"/>
    <w:rsid w:val="004A1D9B"/>
    <w:rsid w:val="004A3823"/>
    <w:rsid w:val="004A4CE1"/>
    <w:rsid w:val="004A55E0"/>
    <w:rsid w:val="004A7B4C"/>
    <w:rsid w:val="004B173E"/>
    <w:rsid w:val="004B3A33"/>
    <w:rsid w:val="004B4759"/>
    <w:rsid w:val="004B5608"/>
    <w:rsid w:val="004B6942"/>
    <w:rsid w:val="004C5EAD"/>
    <w:rsid w:val="004C6648"/>
    <w:rsid w:val="004D06D0"/>
    <w:rsid w:val="004D0F56"/>
    <w:rsid w:val="004D21B6"/>
    <w:rsid w:val="004D2984"/>
    <w:rsid w:val="004D441C"/>
    <w:rsid w:val="004D6048"/>
    <w:rsid w:val="004D67A4"/>
    <w:rsid w:val="004E1014"/>
    <w:rsid w:val="004E3B67"/>
    <w:rsid w:val="004E3FA2"/>
    <w:rsid w:val="004E4474"/>
    <w:rsid w:val="004E6946"/>
    <w:rsid w:val="004E7A48"/>
    <w:rsid w:val="004F1AD8"/>
    <w:rsid w:val="004F315D"/>
    <w:rsid w:val="004F73ED"/>
    <w:rsid w:val="00500999"/>
    <w:rsid w:val="005039CB"/>
    <w:rsid w:val="0050402C"/>
    <w:rsid w:val="00504E40"/>
    <w:rsid w:val="0050558F"/>
    <w:rsid w:val="005057B5"/>
    <w:rsid w:val="00506286"/>
    <w:rsid w:val="00507D59"/>
    <w:rsid w:val="00510434"/>
    <w:rsid w:val="005106D7"/>
    <w:rsid w:val="00510813"/>
    <w:rsid w:val="00510E90"/>
    <w:rsid w:val="00511990"/>
    <w:rsid w:val="00511DE0"/>
    <w:rsid w:val="00514870"/>
    <w:rsid w:val="00514B9B"/>
    <w:rsid w:val="0051731D"/>
    <w:rsid w:val="00517F02"/>
    <w:rsid w:val="00521A1E"/>
    <w:rsid w:val="00524303"/>
    <w:rsid w:val="005255D5"/>
    <w:rsid w:val="005258A2"/>
    <w:rsid w:val="00525B22"/>
    <w:rsid w:val="00526B8E"/>
    <w:rsid w:val="00532A35"/>
    <w:rsid w:val="00533878"/>
    <w:rsid w:val="00534EDC"/>
    <w:rsid w:val="00534FBE"/>
    <w:rsid w:val="00535A64"/>
    <w:rsid w:val="00536ABD"/>
    <w:rsid w:val="005401AE"/>
    <w:rsid w:val="005421C7"/>
    <w:rsid w:val="00542E07"/>
    <w:rsid w:val="00545424"/>
    <w:rsid w:val="00545FBF"/>
    <w:rsid w:val="005507CA"/>
    <w:rsid w:val="00550AB7"/>
    <w:rsid w:val="005518D6"/>
    <w:rsid w:val="00552943"/>
    <w:rsid w:val="00553A80"/>
    <w:rsid w:val="0055413D"/>
    <w:rsid w:val="00554A7B"/>
    <w:rsid w:val="005551F5"/>
    <w:rsid w:val="0055572C"/>
    <w:rsid w:val="00555A78"/>
    <w:rsid w:val="0055703E"/>
    <w:rsid w:val="0056106A"/>
    <w:rsid w:val="005651D2"/>
    <w:rsid w:val="00570A72"/>
    <w:rsid w:val="005720AE"/>
    <w:rsid w:val="00574290"/>
    <w:rsid w:val="00574C6C"/>
    <w:rsid w:val="00575F85"/>
    <w:rsid w:val="0057630F"/>
    <w:rsid w:val="005801AD"/>
    <w:rsid w:val="00580912"/>
    <w:rsid w:val="00583499"/>
    <w:rsid w:val="00583E74"/>
    <w:rsid w:val="00584602"/>
    <w:rsid w:val="00586969"/>
    <w:rsid w:val="0058767B"/>
    <w:rsid w:val="00590C8B"/>
    <w:rsid w:val="00593CC5"/>
    <w:rsid w:val="00594D77"/>
    <w:rsid w:val="005951D8"/>
    <w:rsid w:val="005969E4"/>
    <w:rsid w:val="005A06B7"/>
    <w:rsid w:val="005A1759"/>
    <w:rsid w:val="005A18C2"/>
    <w:rsid w:val="005A68A7"/>
    <w:rsid w:val="005B1D4E"/>
    <w:rsid w:val="005B1DB4"/>
    <w:rsid w:val="005B39C2"/>
    <w:rsid w:val="005C294C"/>
    <w:rsid w:val="005C511A"/>
    <w:rsid w:val="005C74B4"/>
    <w:rsid w:val="005C74CA"/>
    <w:rsid w:val="005D0A45"/>
    <w:rsid w:val="005D3463"/>
    <w:rsid w:val="005D3673"/>
    <w:rsid w:val="005D36AB"/>
    <w:rsid w:val="005D3A94"/>
    <w:rsid w:val="005D4FEE"/>
    <w:rsid w:val="005D5966"/>
    <w:rsid w:val="005D5EDB"/>
    <w:rsid w:val="005E3180"/>
    <w:rsid w:val="005E33FE"/>
    <w:rsid w:val="005F3B4C"/>
    <w:rsid w:val="005F3E0A"/>
    <w:rsid w:val="005F4785"/>
    <w:rsid w:val="005F5051"/>
    <w:rsid w:val="005F759B"/>
    <w:rsid w:val="005F7BEE"/>
    <w:rsid w:val="006026B3"/>
    <w:rsid w:val="006045BC"/>
    <w:rsid w:val="006063C5"/>
    <w:rsid w:val="00606522"/>
    <w:rsid w:val="00606CEA"/>
    <w:rsid w:val="006100F5"/>
    <w:rsid w:val="006130A7"/>
    <w:rsid w:val="00613971"/>
    <w:rsid w:val="00616632"/>
    <w:rsid w:val="00616E72"/>
    <w:rsid w:val="00617CC3"/>
    <w:rsid w:val="0062410F"/>
    <w:rsid w:val="00624EF7"/>
    <w:rsid w:val="00625EC8"/>
    <w:rsid w:val="00626242"/>
    <w:rsid w:val="00627F38"/>
    <w:rsid w:val="00636801"/>
    <w:rsid w:val="006377A6"/>
    <w:rsid w:val="00637A3D"/>
    <w:rsid w:val="00640324"/>
    <w:rsid w:val="006411EF"/>
    <w:rsid w:val="00641CAF"/>
    <w:rsid w:val="0064388C"/>
    <w:rsid w:val="006439C3"/>
    <w:rsid w:val="00643BA8"/>
    <w:rsid w:val="006443D7"/>
    <w:rsid w:val="006454A0"/>
    <w:rsid w:val="00645614"/>
    <w:rsid w:val="00650194"/>
    <w:rsid w:val="00651DA0"/>
    <w:rsid w:val="006522B3"/>
    <w:rsid w:val="0066028C"/>
    <w:rsid w:val="00660CCF"/>
    <w:rsid w:val="00662258"/>
    <w:rsid w:val="006638DB"/>
    <w:rsid w:val="00666320"/>
    <w:rsid w:val="006675C1"/>
    <w:rsid w:val="00667D3C"/>
    <w:rsid w:val="00667F8C"/>
    <w:rsid w:val="006700B7"/>
    <w:rsid w:val="00671C86"/>
    <w:rsid w:val="006721FA"/>
    <w:rsid w:val="006724AE"/>
    <w:rsid w:val="006748B8"/>
    <w:rsid w:val="0067505F"/>
    <w:rsid w:val="006758F1"/>
    <w:rsid w:val="00675F19"/>
    <w:rsid w:val="006775C3"/>
    <w:rsid w:val="00680176"/>
    <w:rsid w:val="006801B4"/>
    <w:rsid w:val="00683325"/>
    <w:rsid w:val="00683B23"/>
    <w:rsid w:val="006846EB"/>
    <w:rsid w:val="00687166"/>
    <w:rsid w:val="00690A60"/>
    <w:rsid w:val="00690EB6"/>
    <w:rsid w:val="0069290A"/>
    <w:rsid w:val="006944D5"/>
    <w:rsid w:val="00694523"/>
    <w:rsid w:val="00695D13"/>
    <w:rsid w:val="00695D38"/>
    <w:rsid w:val="00695ED4"/>
    <w:rsid w:val="0069775A"/>
    <w:rsid w:val="00697813"/>
    <w:rsid w:val="006A039E"/>
    <w:rsid w:val="006A05FA"/>
    <w:rsid w:val="006A28DA"/>
    <w:rsid w:val="006A2F05"/>
    <w:rsid w:val="006A3EE8"/>
    <w:rsid w:val="006A6CAF"/>
    <w:rsid w:val="006A72BF"/>
    <w:rsid w:val="006A78E3"/>
    <w:rsid w:val="006B0158"/>
    <w:rsid w:val="006B03F2"/>
    <w:rsid w:val="006B0B8F"/>
    <w:rsid w:val="006B0C9E"/>
    <w:rsid w:val="006B2740"/>
    <w:rsid w:val="006B37DC"/>
    <w:rsid w:val="006B4F68"/>
    <w:rsid w:val="006C0592"/>
    <w:rsid w:val="006C0EF8"/>
    <w:rsid w:val="006C272E"/>
    <w:rsid w:val="006C2D6F"/>
    <w:rsid w:val="006C5479"/>
    <w:rsid w:val="006C7910"/>
    <w:rsid w:val="006D13B5"/>
    <w:rsid w:val="006D43DC"/>
    <w:rsid w:val="006D63D1"/>
    <w:rsid w:val="006D6BB4"/>
    <w:rsid w:val="006E09A6"/>
    <w:rsid w:val="006E12FF"/>
    <w:rsid w:val="006E26F6"/>
    <w:rsid w:val="006E2B9C"/>
    <w:rsid w:val="006E43FC"/>
    <w:rsid w:val="006E5146"/>
    <w:rsid w:val="006E56A7"/>
    <w:rsid w:val="006E58EA"/>
    <w:rsid w:val="006E607E"/>
    <w:rsid w:val="006F06F9"/>
    <w:rsid w:val="006F297B"/>
    <w:rsid w:val="006F429B"/>
    <w:rsid w:val="006F4C25"/>
    <w:rsid w:val="006F4F2A"/>
    <w:rsid w:val="006F5F86"/>
    <w:rsid w:val="00701CEE"/>
    <w:rsid w:val="00704CA6"/>
    <w:rsid w:val="00705042"/>
    <w:rsid w:val="00706576"/>
    <w:rsid w:val="00706C5D"/>
    <w:rsid w:val="00713BD2"/>
    <w:rsid w:val="00715F4B"/>
    <w:rsid w:val="007229DE"/>
    <w:rsid w:val="007238BA"/>
    <w:rsid w:val="007239F8"/>
    <w:rsid w:val="00730706"/>
    <w:rsid w:val="00732922"/>
    <w:rsid w:val="00732B55"/>
    <w:rsid w:val="00736576"/>
    <w:rsid w:val="007378C4"/>
    <w:rsid w:val="0074547E"/>
    <w:rsid w:val="0075162E"/>
    <w:rsid w:val="00752B36"/>
    <w:rsid w:val="00752C56"/>
    <w:rsid w:val="00754034"/>
    <w:rsid w:val="00755F87"/>
    <w:rsid w:val="00756556"/>
    <w:rsid w:val="00761075"/>
    <w:rsid w:val="007618C4"/>
    <w:rsid w:val="00762B27"/>
    <w:rsid w:val="00766B24"/>
    <w:rsid w:val="007671A3"/>
    <w:rsid w:val="00767980"/>
    <w:rsid w:val="00770B19"/>
    <w:rsid w:val="0077463F"/>
    <w:rsid w:val="0077503E"/>
    <w:rsid w:val="00776115"/>
    <w:rsid w:val="00777ADD"/>
    <w:rsid w:val="00777D41"/>
    <w:rsid w:val="00777E25"/>
    <w:rsid w:val="007836EA"/>
    <w:rsid w:val="00783A9E"/>
    <w:rsid w:val="00783C98"/>
    <w:rsid w:val="00784AFB"/>
    <w:rsid w:val="00784CDA"/>
    <w:rsid w:val="00785BE7"/>
    <w:rsid w:val="007906C4"/>
    <w:rsid w:val="007930C4"/>
    <w:rsid w:val="00793541"/>
    <w:rsid w:val="00793CC8"/>
    <w:rsid w:val="007940EA"/>
    <w:rsid w:val="00795371"/>
    <w:rsid w:val="007963F8"/>
    <w:rsid w:val="007967E8"/>
    <w:rsid w:val="00797052"/>
    <w:rsid w:val="007A0E5C"/>
    <w:rsid w:val="007A1114"/>
    <w:rsid w:val="007A1B25"/>
    <w:rsid w:val="007A2170"/>
    <w:rsid w:val="007A22BF"/>
    <w:rsid w:val="007A3323"/>
    <w:rsid w:val="007A66DB"/>
    <w:rsid w:val="007B0F3E"/>
    <w:rsid w:val="007B232F"/>
    <w:rsid w:val="007B64D8"/>
    <w:rsid w:val="007B72B8"/>
    <w:rsid w:val="007B7547"/>
    <w:rsid w:val="007B769E"/>
    <w:rsid w:val="007B7A58"/>
    <w:rsid w:val="007C21B5"/>
    <w:rsid w:val="007C2C0F"/>
    <w:rsid w:val="007C4565"/>
    <w:rsid w:val="007D1D72"/>
    <w:rsid w:val="007D1F66"/>
    <w:rsid w:val="007D3332"/>
    <w:rsid w:val="007D384E"/>
    <w:rsid w:val="007E0411"/>
    <w:rsid w:val="007E1807"/>
    <w:rsid w:val="007E3D59"/>
    <w:rsid w:val="007E4BD2"/>
    <w:rsid w:val="007E62FF"/>
    <w:rsid w:val="007F3E41"/>
    <w:rsid w:val="008001C9"/>
    <w:rsid w:val="0080121E"/>
    <w:rsid w:val="00801393"/>
    <w:rsid w:val="00801E39"/>
    <w:rsid w:val="00802F88"/>
    <w:rsid w:val="00805208"/>
    <w:rsid w:val="00806EA3"/>
    <w:rsid w:val="00807766"/>
    <w:rsid w:val="0081293E"/>
    <w:rsid w:val="00814114"/>
    <w:rsid w:val="00815465"/>
    <w:rsid w:val="00816B53"/>
    <w:rsid w:val="00817E96"/>
    <w:rsid w:val="00817E9A"/>
    <w:rsid w:val="0082132A"/>
    <w:rsid w:val="00823850"/>
    <w:rsid w:val="00824B5A"/>
    <w:rsid w:val="00825A51"/>
    <w:rsid w:val="008306BD"/>
    <w:rsid w:val="00831A80"/>
    <w:rsid w:val="008320C8"/>
    <w:rsid w:val="00833743"/>
    <w:rsid w:val="008340A4"/>
    <w:rsid w:val="00834962"/>
    <w:rsid w:val="00835527"/>
    <w:rsid w:val="0083719E"/>
    <w:rsid w:val="008428AF"/>
    <w:rsid w:val="0084305C"/>
    <w:rsid w:val="00847993"/>
    <w:rsid w:val="008505FC"/>
    <w:rsid w:val="0085081B"/>
    <w:rsid w:val="008522BC"/>
    <w:rsid w:val="00853918"/>
    <w:rsid w:val="00857E5F"/>
    <w:rsid w:val="00862C4D"/>
    <w:rsid w:val="008638D3"/>
    <w:rsid w:val="0086522F"/>
    <w:rsid w:val="0087135F"/>
    <w:rsid w:val="008717F1"/>
    <w:rsid w:val="0087216C"/>
    <w:rsid w:val="00872D94"/>
    <w:rsid w:val="008742D0"/>
    <w:rsid w:val="00874329"/>
    <w:rsid w:val="008766D5"/>
    <w:rsid w:val="008777F1"/>
    <w:rsid w:val="00880364"/>
    <w:rsid w:val="0088053B"/>
    <w:rsid w:val="00881AA0"/>
    <w:rsid w:val="00883D13"/>
    <w:rsid w:val="008859B1"/>
    <w:rsid w:val="00885A0E"/>
    <w:rsid w:val="00885ABE"/>
    <w:rsid w:val="008900E3"/>
    <w:rsid w:val="00891592"/>
    <w:rsid w:val="00891E9E"/>
    <w:rsid w:val="008929D0"/>
    <w:rsid w:val="008976C9"/>
    <w:rsid w:val="00897CFE"/>
    <w:rsid w:val="008A0AB3"/>
    <w:rsid w:val="008A2F68"/>
    <w:rsid w:val="008A7DD0"/>
    <w:rsid w:val="008A7EEE"/>
    <w:rsid w:val="008B08F9"/>
    <w:rsid w:val="008B3803"/>
    <w:rsid w:val="008B4FA6"/>
    <w:rsid w:val="008B5282"/>
    <w:rsid w:val="008B5486"/>
    <w:rsid w:val="008B7C17"/>
    <w:rsid w:val="008C2D01"/>
    <w:rsid w:val="008C40E6"/>
    <w:rsid w:val="008C7481"/>
    <w:rsid w:val="008C7B13"/>
    <w:rsid w:val="008D0F7A"/>
    <w:rsid w:val="008D1B9A"/>
    <w:rsid w:val="008D68E4"/>
    <w:rsid w:val="008D6D5C"/>
    <w:rsid w:val="008E0506"/>
    <w:rsid w:val="008E0CFF"/>
    <w:rsid w:val="008E5D6B"/>
    <w:rsid w:val="008E63AC"/>
    <w:rsid w:val="008E6949"/>
    <w:rsid w:val="008E76F0"/>
    <w:rsid w:val="008F06C8"/>
    <w:rsid w:val="008F0800"/>
    <w:rsid w:val="008F15FE"/>
    <w:rsid w:val="008F2D29"/>
    <w:rsid w:val="008F4C34"/>
    <w:rsid w:val="008F5187"/>
    <w:rsid w:val="008F60D8"/>
    <w:rsid w:val="008F76A5"/>
    <w:rsid w:val="0090005A"/>
    <w:rsid w:val="009014C6"/>
    <w:rsid w:val="00902727"/>
    <w:rsid w:val="00902C87"/>
    <w:rsid w:val="0090312B"/>
    <w:rsid w:val="00905373"/>
    <w:rsid w:val="00906A10"/>
    <w:rsid w:val="00906AE4"/>
    <w:rsid w:val="00912A51"/>
    <w:rsid w:val="009145A5"/>
    <w:rsid w:val="00915642"/>
    <w:rsid w:val="00915663"/>
    <w:rsid w:val="0091609F"/>
    <w:rsid w:val="00916C43"/>
    <w:rsid w:val="009170BF"/>
    <w:rsid w:val="0091736D"/>
    <w:rsid w:val="009179F8"/>
    <w:rsid w:val="00920A08"/>
    <w:rsid w:val="00925005"/>
    <w:rsid w:val="00925919"/>
    <w:rsid w:val="00925A9D"/>
    <w:rsid w:val="00926AD9"/>
    <w:rsid w:val="009276CB"/>
    <w:rsid w:val="00927C01"/>
    <w:rsid w:val="0093037A"/>
    <w:rsid w:val="009307B6"/>
    <w:rsid w:val="009314B3"/>
    <w:rsid w:val="0093219B"/>
    <w:rsid w:val="0094154D"/>
    <w:rsid w:val="00942B8D"/>
    <w:rsid w:val="00944A9E"/>
    <w:rsid w:val="00945F6B"/>
    <w:rsid w:val="0094783D"/>
    <w:rsid w:val="0095155F"/>
    <w:rsid w:val="009515EF"/>
    <w:rsid w:val="00951BC7"/>
    <w:rsid w:val="0095430A"/>
    <w:rsid w:val="00954429"/>
    <w:rsid w:val="009563CE"/>
    <w:rsid w:val="00956C3F"/>
    <w:rsid w:val="00957AA3"/>
    <w:rsid w:val="00960C93"/>
    <w:rsid w:val="00963BCB"/>
    <w:rsid w:val="00963E4C"/>
    <w:rsid w:val="00966512"/>
    <w:rsid w:val="00967F4D"/>
    <w:rsid w:val="00970110"/>
    <w:rsid w:val="00970A2F"/>
    <w:rsid w:val="00972480"/>
    <w:rsid w:val="0097294A"/>
    <w:rsid w:val="00973D7B"/>
    <w:rsid w:val="00974585"/>
    <w:rsid w:val="00976328"/>
    <w:rsid w:val="00976457"/>
    <w:rsid w:val="0097680D"/>
    <w:rsid w:val="00976FDD"/>
    <w:rsid w:val="00981B21"/>
    <w:rsid w:val="00982438"/>
    <w:rsid w:val="0098404C"/>
    <w:rsid w:val="00985283"/>
    <w:rsid w:val="00987B47"/>
    <w:rsid w:val="00990217"/>
    <w:rsid w:val="009939BD"/>
    <w:rsid w:val="0099441F"/>
    <w:rsid w:val="00994D32"/>
    <w:rsid w:val="00995992"/>
    <w:rsid w:val="00995CE8"/>
    <w:rsid w:val="009964CE"/>
    <w:rsid w:val="009974DF"/>
    <w:rsid w:val="009A03E5"/>
    <w:rsid w:val="009A0F3B"/>
    <w:rsid w:val="009A0FD5"/>
    <w:rsid w:val="009A1BB4"/>
    <w:rsid w:val="009A2628"/>
    <w:rsid w:val="009A3200"/>
    <w:rsid w:val="009A6C6C"/>
    <w:rsid w:val="009A79B4"/>
    <w:rsid w:val="009B0897"/>
    <w:rsid w:val="009B5C4F"/>
    <w:rsid w:val="009B673E"/>
    <w:rsid w:val="009B68F9"/>
    <w:rsid w:val="009B7BD9"/>
    <w:rsid w:val="009C34D0"/>
    <w:rsid w:val="009C3ACE"/>
    <w:rsid w:val="009C68F6"/>
    <w:rsid w:val="009C6F16"/>
    <w:rsid w:val="009C7DD5"/>
    <w:rsid w:val="009D1998"/>
    <w:rsid w:val="009D4BB6"/>
    <w:rsid w:val="009D5356"/>
    <w:rsid w:val="009D781A"/>
    <w:rsid w:val="009D7BDE"/>
    <w:rsid w:val="009E0384"/>
    <w:rsid w:val="009E0AA7"/>
    <w:rsid w:val="009E13B1"/>
    <w:rsid w:val="009E16AE"/>
    <w:rsid w:val="009E1F72"/>
    <w:rsid w:val="009E227D"/>
    <w:rsid w:val="009E3D86"/>
    <w:rsid w:val="009E4E8A"/>
    <w:rsid w:val="009E5019"/>
    <w:rsid w:val="009E68B2"/>
    <w:rsid w:val="009E7EA9"/>
    <w:rsid w:val="00A01FA0"/>
    <w:rsid w:val="00A04F1B"/>
    <w:rsid w:val="00A0501B"/>
    <w:rsid w:val="00A06AC5"/>
    <w:rsid w:val="00A07666"/>
    <w:rsid w:val="00A118C4"/>
    <w:rsid w:val="00A119CB"/>
    <w:rsid w:val="00A12A17"/>
    <w:rsid w:val="00A13110"/>
    <w:rsid w:val="00A14947"/>
    <w:rsid w:val="00A14997"/>
    <w:rsid w:val="00A1531F"/>
    <w:rsid w:val="00A17EC4"/>
    <w:rsid w:val="00A17F89"/>
    <w:rsid w:val="00A21E33"/>
    <w:rsid w:val="00A259EC"/>
    <w:rsid w:val="00A31183"/>
    <w:rsid w:val="00A32A83"/>
    <w:rsid w:val="00A33CFD"/>
    <w:rsid w:val="00A35168"/>
    <w:rsid w:val="00A35F6A"/>
    <w:rsid w:val="00A36390"/>
    <w:rsid w:val="00A368DB"/>
    <w:rsid w:val="00A37A88"/>
    <w:rsid w:val="00A4184E"/>
    <w:rsid w:val="00A41E19"/>
    <w:rsid w:val="00A423AA"/>
    <w:rsid w:val="00A4298A"/>
    <w:rsid w:val="00A4326A"/>
    <w:rsid w:val="00A4691E"/>
    <w:rsid w:val="00A4717E"/>
    <w:rsid w:val="00A47241"/>
    <w:rsid w:val="00A51657"/>
    <w:rsid w:val="00A52E58"/>
    <w:rsid w:val="00A53EC6"/>
    <w:rsid w:val="00A54D6D"/>
    <w:rsid w:val="00A55C0F"/>
    <w:rsid w:val="00A56C83"/>
    <w:rsid w:val="00A57228"/>
    <w:rsid w:val="00A600D8"/>
    <w:rsid w:val="00A60241"/>
    <w:rsid w:val="00A63A20"/>
    <w:rsid w:val="00A63C64"/>
    <w:rsid w:val="00A6467F"/>
    <w:rsid w:val="00A66204"/>
    <w:rsid w:val="00A66AE9"/>
    <w:rsid w:val="00A67A49"/>
    <w:rsid w:val="00A76573"/>
    <w:rsid w:val="00A766BB"/>
    <w:rsid w:val="00A8713F"/>
    <w:rsid w:val="00A90261"/>
    <w:rsid w:val="00A9029E"/>
    <w:rsid w:val="00A90B36"/>
    <w:rsid w:val="00A90BA1"/>
    <w:rsid w:val="00A918D7"/>
    <w:rsid w:val="00A94587"/>
    <w:rsid w:val="00A94A04"/>
    <w:rsid w:val="00A96A1F"/>
    <w:rsid w:val="00A97A9A"/>
    <w:rsid w:val="00AA0671"/>
    <w:rsid w:val="00AA2416"/>
    <w:rsid w:val="00AA2531"/>
    <w:rsid w:val="00AA304D"/>
    <w:rsid w:val="00AA355B"/>
    <w:rsid w:val="00AA767B"/>
    <w:rsid w:val="00AA7A97"/>
    <w:rsid w:val="00AB1E09"/>
    <w:rsid w:val="00AB3354"/>
    <w:rsid w:val="00AB4A0A"/>
    <w:rsid w:val="00AB5330"/>
    <w:rsid w:val="00AB56C6"/>
    <w:rsid w:val="00AB68AB"/>
    <w:rsid w:val="00AB767B"/>
    <w:rsid w:val="00AB7747"/>
    <w:rsid w:val="00AB77AB"/>
    <w:rsid w:val="00AC14CE"/>
    <w:rsid w:val="00AC2A56"/>
    <w:rsid w:val="00AC3880"/>
    <w:rsid w:val="00AC3B66"/>
    <w:rsid w:val="00AD055E"/>
    <w:rsid w:val="00AD0990"/>
    <w:rsid w:val="00AD3B78"/>
    <w:rsid w:val="00AD47A7"/>
    <w:rsid w:val="00AD5DF1"/>
    <w:rsid w:val="00AD610C"/>
    <w:rsid w:val="00AD6ABA"/>
    <w:rsid w:val="00AD78B8"/>
    <w:rsid w:val="00AE5DE7"/>
    <w:rsid w:val="00AE712E"/>
    <w:rsid w:val="00AF0CBF"/>
    <w:rsid w:val="00AF257F"/>
    <w:rsid w:val="00AF2930"/>
    <w:rsid w:val="00AF33CF"/>
    <w:rsid w:val="00AF4D50"/>
    <w:rsid w:val="00AF549E"/>
    <w:rsid w:val="00AF6179"/>
    <w:rsid w:val="00AF6F22"/>
    <w:rsid w:val="00B0145C"/>
    <w:rsid w:val="00B0318E"/>
    <w:rsid w:val="00B05A23"/>
    <w:rsid w:val="00B1295A"/>
    <w:rsid w:val="00B12A16"/>
    <w:rsid w:val="00B13AFB"/>
    <w:rsid w:val="00B16B24"/>
    <w:rsid w:val="00B17954"/>
    <w:rsid w:val="00B205A7"/>
    <w:rsid w:val="00B20A45"/>
    <w:rsid w:val="00B21C74"/>
    <w:rsid w:val="00B22C5C"/>
    <w:rsid w:val="00B23326"/>
    <w:rsid w:val="00B24F30"/>
    <w:rsid w:val="00B2501A"/>
    <w:rsid w:val="00B26425"/>
    <w:rsid w:val="00B275EF"/>
    <w:rsid w:val="00B301DD"/>
    <w:rsid w:val="00B30BD1"/>
    <w:rsid w:val="00B31ABF"/>
    <w:rsid w:val="00B33508"/>
    <w:rsid w:val="00B33BE3"/>
    <w:rsid w:val="00B3486E"/>
    <w:rsid w:val="00B34FD4"/>
    <w:rsid w:val="00B35592"/>
    <w:rsid w:val="00B41461"/>
    <w:rsid w:val="00B44F4D"/>
    <w:rsid w:val="00B515A6"/>
    <w:rsid w:val="00B53B5D"/>
    <w:rsid w:val="00B6055E"/>
    <w:rsid w:val="00B6317D"/>
    <w:rsid w:val="00B67111"/>
    <w:rsid w:val="00B67533"/>
    <w:rsid w:val="00B70567"/>
    <w:rsid w:val="00B70C54"/>
    <w:rsid w:val="00B71D9E"/>
    <w:rsid w:val="00B76311"/>
    <w:rsid w:val="00B76CC4"/>
    <w:rsid w:val="00B7723F"/>
    <w:rsid w:val="00B77D27"/>
    <w:rsid w:val="00B80534"/>
    <w:rsid w:val="00B81E65"/>
    <w:rsid w:val="00B8433C"/>
    <w:rsid w:val="00B87491"/>
    <w:rsid w:val="00B91077"/>
    <w:rsid w:val="00B92484"/>
    <w:rsid w:val="00B939AC"/>
    <w:rsid w:val="00B94ACD"/>
    <w:rsid w:val="00BA29E9"/>
    <w:rsid w:val="00BA2B8C"/>
    <w:rsid w:val="00BA7142"/>
    <w:rsid w:val="00BA7800"/>
    <w:rsid w:val="00BA7FDB"/>
    <w:rsid w:val="00BB21EA"/>
    <w:rsid w:val="00BB237C"/>
    <w:rsid w:val="00BB41A3"/>
    <w:rsid w:val="00BB755B"/>
    <w:rsid w:val="00BC32DC"/>
    <w:rsid w:val="00BC35B6"/>
    <w:rsid w:val="00BC3B47"/>
    <w:rsid w:val="00BC5CF0"/>
    <w:rsid w:val="00BC5F11"/>
    <w:rsid w:val="00BD12DC"/>
    <w:rsid w:val="00BD1B51"/>
    <w:rsid w:val="00BD254B"/>
    <w:rsid w:val="00BD4596"/>
    <w:rsid w:val="00BD5795"/>
    <w:rsid w:val="00BE1405"/>
    <w:rsid w:val="00BE16FB"/>
    <w:rsid w:val="00BE312D"/>
    <w:rsid w:val="00BE57BA"/>
    <w:rsid w:val="00BE5F59"/>
    <w:rsid w:val="00BE70D3"/>
    <w:rsid w:val="00BF1C20"/>
    <w:rsid w:val="00BF1DC0"/>
    <w:rsid w:val="00BF3060"/>
    <w:rsid w:val="00BF5D94"/>
    <w:rsid w:val="00BF77C2"/>
    <w:rsid w:val="00C029DB"/>
    <w:rsid w:val="00C03066"/>
    <w:rsid w:val="00C075D8"/>
    <w:rsid w:val="00C10578"/>
    <w:rsid w:val="00C10E2D"/>
    <w:rsid w:val="00C11196"/>
    <w:rsid w:val="00C135BC"/>
    <w:rsid w:val="00C14FBB"/>
    <w:rsid w:val="00C15C95"/>
    <w:rsid w:val="00C16493"/>
    <w:rsid w:val="00C17A1D"/>
    <w:rsid w:val="00C17BCE"/>
    <w:rsid w:val="00C21B76"/>
    <w:rsid w:val="00C22856"/>
    <w:rsid w:val="00C22900"/>
    <w:rsid w:val="00C2469C"/>
    <w:rsid w:val="00C247E8"/>
    <w:rsid w:val="00C2596A"/>
    <w:rsid w:val="00C26CC5"/>
    <w:rsid w:val="00C27537"/>
    <w:rsid w:val="00C2757E"/>
    <w:rsid w:val="00C3013F"/>
    <w:rsid w:val="00C328FE"/>
    <w:rsid w:val="00C33507"/>
    <w:rsid w:val="00C4409D"/>
    <w:rsid w:val="00C44814"/>
    <w:rsid w:val="00C44E72"/>
    <w:rsid w:val="00C45A06"/>
    <w:rsid w:val="00C45D9D"/>
    <w:rsid w:val="00C45E95"/>
    <w:rsid w:val="00C4730D"/>
    <w:rsid w:val="00C47E5B"/>
    <w:rsid w:val="00C50C1D"/>
    <w:rsid w:val="00C515C0"/>
    <w:rsid w:val="00C53692"/>
    <w:rsid w:val="00C53EE0"/>
    <w:rsid w:val="00C55EC6"/>
    <w:rsid w:val="00C567BB"/>
    <w:rsid w:val="00C56F04"/>
    <w:rsid w:val="00C57AAB"/>
    <w:rsid w:val="00C57AD7"/>
    <w:rsid w:val="00C616A1"/>
    <w:rsid w:val="00C61E4B"/>
    <w:rsid w:val="00C64BFF"/>
    <w:rsid w:val="00C659E9"/>
    <w:rsid w:val="00C704E9"/>
    <w:rsid w:val="00C72340"/>
    <w:rsid w:val="00C7440D"/>
    <w:rsid w:val="00C759F5"/>
    <w:rsid w:val="00C75C8B"/>
    <w:rsid w:val="00C75FDA"/>
    <w:rsid w:val="00C76188"/>
    <w:rsid w:val="00C763C9"/>
    <w:rsid w:val="00C80057"/>
    <w:rsid w:val="00C802CB"/>
    <w:rsid w:val="00C81753"/>
    <w:rsid w:val="00C82232"/>
    <w:rsid w:val="00C82913"/>
    <w:rsid w:val="00C82C64"/>
    <w:rsid w:val="00C836A4"/>
    <w:rsid w:val="00C865BE"/>
    <w:rsid w:val="00C86CC6"/>
    <w:rsid w:val="00C87229"/>
    <w:rsid w:val="00C925F1"/>
    <w:rsid w:val="00C96372"/>
    <w:rsid w:val="00C96DDF"/>
    <w:rsid w:val="00C972B1"/>
    <w:rsid w:val="00C97758"/>
    <w:rsid w:val="00CA1429"/>
    <w:rsid w:val="00CA2CCE"/>
    <w:rsid w:val="00CA3689"/>
    <w:rsid w:val="00CA43FD"/>
    <w:rsid w:val="00CA794A"/>
    <w:rsid w:val="00CA7EF8"/>
    <w:rsid w:val="00CB05C5"/>
    <w:rsid w:val="00CB5435"/>
    <w:rsid w:val="00CC489B"/>
    <w:rsid w:val="00CC6909"/>
    <w:rsid w:val="00CC77BB"/>
    <w:rsid w:val="00CD14CC"/>
    <w:rsid w:val="00CD2BCD"/>
    <w:rsid w:val="00CD3A4C"/>
    <w:rsid w:val="00CD3DA9"/>
    <w:rsid w:val="00CE10E9"/>
    <w:rsid w:val="00CE2910"/>
    <w:rsid w:val="00CE2BDE"/>
    <w:rsid w:val="00CE5388"/>
    <w:rsid w:val="00CE5393"/>
    <w:rsid w:val="00CE5DDB"/>
    <w:rsid w:val="00CF36BE"/>
    <w:rsid w:val="00CF36E5"/>
    <w:rsid w:val="00CF54EA"/>
    <w:rsid w:val="00CF6000"/>
    <w:rsid w:val="00CF6E40"/>
    <w:rsid w:val="00D003F3"/>
    <w:rsid w:val="00D01395"/>
    <w:rsid w:val="00D0364F"/>
    <w:rsid w:val="00D05E54"/>
    <w:rsid w:val="00D06834"/>
    <w:rsid w:val="00D10606"/>
    <w:rsid w:val="00D1297C"/>
    <w:rsid w:val="00D16A32"/>
    <w:rsid w:val="00D16C43"/>
    <w:rsid w:val="00D21FFB"/>
    <w:rsid w:val="00D25A47"/>
    <w:rsid w:val="00D2717D"/>
    <w:rsid w:val="00D308ED"/>
    <w:rsid w:val="00D30FBB"/>
    <w:rsid w:val="00D31D89"/>
    <w:rsid w:val="00D31E45"/>
    <w:rsid w:val="00D324BC"/>
    <w:rsid w:val="00D358C0"/>
    <w:rsid w:val="00D36D86"/>
    <w:rsid w:val="00D4015D"/>
    <w:rsid w:val="00D41D3B"/>
    <w:rsid w:val="00D428AA"/>
    <w:rsid w:val="00D43A64"/>
    <w:rsid w:val="00D44252"/>
    <w:rsid w:val="00D44CE3"/>
    <w:rsid w:val="00D4691F"/>
    <w:rsid w:val="00D470AC"/>
    <w:rsid w:val="00D5075A"/>
    <w:rsid w:val="00D50A34"/>
    <w:rsid w:val="00D520B0"/>
    <w:rsid w:val="00D534A5"/>
    <w:rsid w:val="00D53EFA"/>
    <w:rsid w:val="00D60C49"/>
    <w:rsid w:val="00D62A5A"/>
    <w:rsid w:val="00D64AAC"/>
    <w:rsid w:val="00D652C0"/>
    <w:rsid w:val="00D65C06"/>
    <w:rsid w:val="00D70C88"/>
    <w:rsid w:val="00D71EDC"/>
    <w:rsid w:val="00D73180"/>
    <w:rsid w:val="00D75381"/>
    <w:rsid w:val="00D7638E"/>
    <w:rsid w:val="00D845D6"/>
    <w:rsid w:val="00D907CB"/>
    <w:rsid w:val="00D9170A"/>
    <w:rsid w:val="00D93C03"/>
    <w:rsid w:val="00D93CC7"/>
    <w:rsid w:val="00D9450A"/>
    <w:rsid w:val="00D94A7C"/>
    <w:rsid w:val="00D95896"/>
    <w:rsid w:val="00D96D13"/>
    <w:rsid w:val="00DA39A3"/>
    <w:rsid w:val="00DA39BB"/>
    <w:rsid w:val="00DA6CAA"/>
    <w:rsid w:val="00DA7669"/>
    <w:rsid w:val="00DB06FD"/>
    <w:rsid w:val="00DB2646"/>
    <w:rsid w:val="00DB2983"/>
    <w:rsid w:val="00DB2E2D"/>
    <w:rsid w:val="00DB46B1"/>
    <w:rsid w:val="00DB5ADC"/>
    <w:rsid w:val="00DC002A"/>
    <w:rsid w:val="00DC0FFE"/>
    <w:rsid w:val="00DC1257"/>
    <w:rsid w:val="00DC1F7A"/>
    <w:rsid w:val="00DC31D9"/>
    <w:rsid w:val="00DC3DC0"/>
    <w:rsid w:val="00DC5B2B"/>
    <w:rsid w:val="00DC629D"/>
    <w:rsid w:val="00DC6C8C"/>
    <w:rsid w:val="00DD224D"/>
    <w:rsid w:val="00DD318D"/>
    <w:rsid w:val="00DD4F14"/>
    <w:rsid w:val="00DD598D"/>
    <w:rsid w:val="00DD6B9F"/>
    <w:rsid w:val="00DD73C1"/>
    <w:rsid w:val="00DD7B8A"/>
    <w:rsid w:val="00DE0C67"/>
    <w:rsid w:val="00DE714D"/>
    <w:rsid w:val="00DF2E12"/>
    <w:rsid w:val="00DF4B30"/>
    <w:rsid w:val="00DF514A"/>
    <w:rsid w:val="00DF5218"/>
    <w:rsid w:val="00DF54F0"/>
    <w:rsid w:val="00DF6690"/>
    <w:rsid w:val="00DF6804"/>
    <w:rsid w:val="00E00600"/>
    <w:rsid w:val="00E01119"/>
    <w:rsid w:val="00E032A4"/>
    <w:rsid w:val="00E0358D"/>
    <w:rsid w:val="00E04170"/>
    <w:rsid w:val="00E04323"/>
    <w:rsid w:val="00E048D5"/>
    <w:rsid w:val="00E070A2"/>
    <w:rsid w:val="00E1357A"/>
    <w:rsid w:val="00E149F2"/>
    <w:rsid w:val="00E14A55"/>
    <w:rsid w:val="00E203FD"/>
    <w:rsid w:val="00E2306D"/>
    <w:rsid w:val="00E262D9"/>
    <w:rsid w:val="00E2656A"/>
    <w:rsid w:val="00E26E77"/>
    <w:rsid w:val="00E316D9"/>
    <w:rsid w:val="00E32BAC"/>
    <w:rsid w:val="00E33185"/>
    <w:rsid w:val="00E34918"/>
    <w:rsid w:val="00E34F38"/>
    <w:rsid w:val="00E36B23"/>
    <w:rsid w:val="00E412D0"/>
    <w:rsid w:val="00E42984"/>
    <w:rsid w:val="00E44E88"/>
    <w:rsid w:val="00E46607"/>
    <w:rsid w:val="00E51896"/>
    <w:rsid w:val="00E51BA1"/>
    <w:rsid w:val="00E534F5"/>
    <w:rsid w:val="00E56322"/>
    <w:rsid w:val="00E56397"/>
    <w:rsid w:val="00E56728"/>
    <w:rsid w:val="00E57981"/>
    <w:rsid w:val="00E60982"/>
    <w:rsid w:val="00E60DD2"/>
    <w:rsid w:val="00E61C47"/>
    <w:rsid w:val="00E62C62"/>
    <w:rsid w:val="00E6477A"/>
    <w:rsid w:val="00E65209"/>
    <w:rsid w:val="00E654C1"/>
    <w:rsid w:val="00E65D97"/>
    <w:rsid w:val="00E706F6"/>
    <w:rsid w:val="00E72A5A"/>
    <w:rsid w:val="00E73185"/>
    <w:rsid w:val="00E73354"/>
    <w:rsid w:val="00E802AA"/>
    <w:rsid w:val="00E80CBF"/>
    <w:rsid w:val="00E8188E"/>
    <w:rsid w:val="00E85D7B"/>
    <w:rsid w:val="00E903ED"/>
    <w:rsid w:val="00E920E9"/>
    <w:rsid w:val="00E922A4"/>
    <w:rsid w:val="00E9242D"/>
    <w:rsid w:val="00E92449"/>
    <w:rsid w:val="00E93B9A"/>
    <w:rsid w:val="00E94190"/>
    <w:rsid w:val="00EA040E"/>
    <w:rsid w:val="00EA0EAC"/>
    <w:rsid w:val="00EA3511"/>
    <w:rsid w:val="00EB2FE1"/>
    <w:rsid w:val="00EB41E0"/>
    <w:rsid w:val="00EB5255"/>
    <w:rsid w:val="00EB5C47"/>
    <w:rsid w:val="00EC049C"/>
    <w:rsid w:val="00EC4D13"/>
    <w:rsid w:val="00EC5669"/>
    <w:rsid w:val="00EC6626"/>
    <w:rsid w:val="00ED0639"/>
    <w:rsid w:val="00ED0898"/>
    <w:rsid w:val="00ED3E57"/>
    <w:rsid w:val="00ED7A30"/>
    <w:rsid w:val="00ED7F94"/>
    <w:rsid w:val="00EF0ABB"/>
    <w:rsid w:val="00EF1249"/>
    <w:rsid w:val="00EF2A42"/>
    <w:rsid w:val="00EF38C0"/>
    <w:rsid w:val="00EF38E8"/>
    <w:rsid w:val="00EF4559"/>
    <w:rsid w:val="00EF4614"/>
    <w:rsid w:val="00EF4755"/>
    <w:rsid w:val="00EF7135"/>
    <w:rsid w:val="00F01683"/>
    <w:rsid w:val="00F0271A"/>
    <w:rsid w:val="00F027DB"/>
    <w:rsid w:val="00F07460"/>
    <w:rsid w:val="00F13EAA"/>
    <w:rsid w:val="00F14A7A"/>
    <w:rsid w:val="00F15D4C"/>
    <w:rsid w:val="00F16B42"/>
    <w:rsid w:val="00F172AB"/>
    <w:rsid w:val="00F21773"/>
    <w:rsid w:val="00F22985"/>
    <w:rsid w:val="00F234BE"/>
    <w:rsid w:val="00F2732D"/>
    <w:rsid w:val="00F322F3"/>
    <w:rsid w:val="00F3383E"/>
    <w:rsid w:val="00F35156"/>
    <w:rsid w:val="00F3573D"/>
    <w:rsid w:val="00F43E3A"/>
    <w:rsid w:val="00F465A7"/>
    <w:rsid w:val="00F4661D"/>
    <w:rsid w:val="00F47EF8"/>
    <w:rsid w:val="00F5006A"/>
    <w:rsid w:val="00F50B7C"/>
    <w:rsid w:val="00F519CE"/>
    <w:rsid w:val="00F550E6"/>
    <w:rsid w:val="00F5602C"/>
    <w:rsid w:val="00F56163"/>
    <w:rsid w:val="00F56B15"/>
    <w:rsid w:val="00F57300"/>
    <w:rsid w:val="00F60DAE"/>
    <w:rsid w:val="00F63039"/>
    <w:rsid w:val="00F64063"/>
    <w:rsid w:val="00F712CE"/>
    <w:rsid w:val="00F716D5"/>
    <w:rsid w:val="00F71C3C"/>
    <w:rsid w:val="00F733AE"/>
    <w:rsid w:val="00F73784"/>
    <w:rsid w:val="00F73B84"/>
    <w:rsid w:val="00F74345"/>
    <w:rsid w:val="00F750C1"/>
    <w:rsid w:val="00F7672C"/>
    <w:rsid w:val="00F8098D"/>
    <w:rsid w:val="00F80A0A"/>
    <w:rsid w:val="00F82601"/>
    <w:rsid w:val="00F82B19"/>
    <w:rsid w:val="00F83A2E"/>
    <w:rsid w:val="00F871ED"/>
    <w:rsid w:val="00F91D42"/>
    <w:rsid w:val="00F9212D"/>
    <w:rsid w:val="00F94532"/>
    <w:rsid w:val="00F965DA"/>
    <w:rsid w:val="00FA406A"/>
    <w:rsid w:val="00FA4078"/>
    <w:rsid w:val="00FA5244"/>
    <w:rsid w:val="00FB0D6A"/>
    <w:rsid w:val="00FB278C"/>
    <w:rsid w:val="00FB503A"/>
    <w:rsid w:val="00FB516C"/>
    <w:rsid w:val="00FB7F9E"/>
    <w:rsid w:val="00FC1258"/>
    <w:rsid w:val="00FC31B6"/>
    <w:rsid w:val="00FC506D"/>
    <w:rsid w:val="00FC6646"/>
    <w:rsid w:val="00FC7137"/>
    <w:rsid w:val="00FD0236"/>
    <w:rsid w:val="00FD1414"/>
    <w:rsid w:val="00FD18F4"/>
    <w:rsid w:val="00FD258A"/>
    <w:rsid w:val="00FD2B5A"/>
    <w:rsid w:val="00FD36FC"/>
    <w:rsid w:val="00FD4644"/>
    <w:rsid w:val="00FD54DB"/>
    <w:rsid w:val="00FD619F"/>
    <w:rsid w:val="00FD62D5"/>
    <w:rsid w:val="00FD7523"/>
    <w:rsid w:val="00FE735E"/>
    <w:rsid w:val="00FF65A6"/>
    <w:rsid w:val="01290F7E"/>
    <w:rsid w:val="015D1E09"/>
    <w:rsid w:val="023F4F2A"/>
    <w:rsid w:val="026477B5"/>
    <w:rsid w:val="02697903"/>
    <w:rsid w:val="02F46F81"/>
    <w:rsid w:val="02F96569"/>
    <w:rsid w:val="03393718"/>
    <w:rsid w:val="03EA7B21"/>
    <w:rsid w:val="03F452A7"/>
    <w:rsid w:val="040C75CD"/>
    <w:rsid w:val="0452688C"/>
    <w:rsid w:val="0546791D"/>
    <w:rsid w:val="05F83EAE"/>
    <w:rsid w:val="063E7D85"/>
    <w:rsid w:val="06896151"/>
    <w:rsid w:val="06FD269B"/>
    <w:rsid w:val="07293586"/>
    <w:rsid w:val="07295285"/>
    <w:rsid w:val="07636392"/>
    <w:rsid w:val="07770C56"/>
    <w:rsid w:val="08FB150D"/>
    <w:rsid w:val="092217DD"/>
    <w:rsid w:val="09271661"/>
    <w:rsid w:val="093A7294"/>
    <w:rsid w:val="09687C62"/>
    <w:rsid w:val="09772BD9"/>
    <w:rsid w:val="0A252915"/>
    <w:rsid w:val="0A263993"/>
    <w:rsid w:val="0A2D3AC2"/>
    <w:rsid w:val="0A606E0F"/>
    <w:rsid w:val="0AA755DF"/>
    <w:rsid w:val="0AF72C33"/>
    <w:rsid w:val="0B120D44"/>
    <w:rsid w:val="0B4E1717"/>
    <w:rsid w:val="0BC44A6C"/>
    <w:rsid w:val="0BD27BF6"/>
    <w:rsid w:val="0C3B3C7D"/>
    <w:rsid w:val="0CAB2EAE"/>
    <w:rsid w:val="0D163535"/>
    <w:rsid w:val="0D621C7D"/>
    <w:rsid w:val="0D6864C0"/>
    <w:rsid w:val="0DD70FB8"/>
    <w:rsid w:val="0E73034D"/>
    <w:rsid w:val="0F13775A"/>
    <w:rsid w:val="0F5F45FE"/>
    <w:rsid w:val="0F6C1B67"/>
    <w:rsid w:val="0F9A112B"/>
    <w:rsid w:val="10073775"/>
    <w:rsid w:val="106D2F64"/>
    <w:rsid w:val="10B63710"/>
    <w:rsid w:val="10F10820"/>
    <w:rsid w:val="111C2F7A"/>
    <w:rsid w:val="11665CA1"/>
    <w:rsid w:val="13951726"/>
    <w:rsid w:val="14396509"/>
    <w:rsid w:val="148D5E53"/>
    <w:rsid w:val="14DD2C3C"/>
    <w:rsid w:val="155F36E9"/>
    <w:rsid w:val="16087E1D"/>
    <w:rsid w:val="172565EC"/>
    <w:rsid w:val="17701D14"/>
    <w:rsid w:val="17735226"/>
    <w:rsid w:val="18114AE8"/>
    <w:rsid w:val="189F624C"/>
    <w:rsid w:val="19120A76"/>
    <w:rsid w:val="1930409A"/>
    <w:rsid w:val="19764314"/>
    <w:rsid w:val="197734F8"/>
    <w:rsid w:val="19A15B8C"/>
    <w:rsid w:val="19E00033"/>
    <w:rsid w:val="19EA3C0B"/>
    <w:rsid w:val="1A102704"/>
    <w:rsid w:val="1A1C66C0"/>
    <w:rsid w:val="1A42393B"/>
    <w:rsid w:val="1AAD45DE"/>
    <w:rsid w:val="1B046F80"/>
    <w:rsid w:val="1B3267B5"/>
    <w:rsid w:val="1B40161D"/>
    <w:rsid w:val="1B441859"/>
    <w:rsid w:val="1B504765"/>
    <w:rsid w:val="1B6606B1"/>
    <w:rsid w:val="1C5B1EE6"/>
    <w:rsid w:val="1C5E7925"/>
    <w:rsid w:val="1C78676A"/>
    <w:rsid w:val="1CFD070F"/>
    <w:rsid w:val="1D5F6196"/>
    <w:rsid w:val="1D6132A5"/>
    <w:rsid w:val="1D864D41"/>
    <w:rsid w:val="1D8E56D5"/>
    <w:rsid w:val="1DA146C9"/>
    <w:rsid w:val="1E3F4C88"/>
    <w:rsid w:val="1E7A43DA"/>
    <w:rsid w:val="1FE7539E"/>
    <w:rsid w:val="20210DD0"/>
    <w:rsid w:val="20671BE0"/>
    <w:rsid w:val="20963CB8"/>
    <w:rsid w:val="20A81A1B"/>
    <w:rsid w:val="20B07FB6"/>
    <w:rsid w:val="20B3409F"/>
    <w:rsid w:val="20B646FB"/>
    <w:rsid w:val="213B74B1"/>
    <w:rsid w:val="215A2310"/>
    <w:rsid w:val="2163494A"/>
    <w:rsid w:val="21A90747"/>
    <w:rsid w:val="21DE318A"/>
    <w:rsid w:val="21E66351"/>
    <w:rsid w:val="21EF5B80"/>
    <w:rsid w:val="22576990"/>
    <w:rsid w:val="22631E9D"/>
    <w:rsid w:val="2285589C"/>
    <w:rsid w:val="22F47480"/>
    <w:rsid w:val="23652EF4"/>
    <w:rsid w:val="23DE1C48"/>
    <w:rsid w:val="240210CD"/>
    <w:rsid w:val="24AE49E2"/>
    <w:rsid w:val="24BF09F7"/>
    <w:rsid w:val="252D53FE"/>
    <w:rsid w:val="25361333"/>
    <w:rsid w:val="259326F1"/>
    <w:rsid w:val="25B61B9F"/>
    <w:rsid w:val="25EC2D81"/>
    <w:rsid w:val="26FE3D7D"/>
    <w:rsid w:val="27086F53"/>
    <w:rsid w:val="2719665F"/>
    <w:rsid w:val="277057A2"/>
    <w:rsid w:val="28AF7842"/>
    <w:rsid w:val="29206EB8"/>
    <w:rsid w:val="29595666"/>
    <w:rsid w:val="29874881"/>
    <w:rsid w:val="29E325E0"/>
    <w:rsid w:val="2A452503"/>
    <w:rsid w:val="2A60484F"/>
    <w:rsid w:val="2A6B613D"/>
    <w:rsid w:val="2B2F1D6E"/>
    <w:rsid w:val="2B5B2D39"/>
    <w:rsid w:val="2B8D0149"/>
    <w:rsid w:val="2B944ACD"/>
    <w:rsid w:val="2BA936A8"/>
    <w:rsid w:val="2C315A5A"/>
    <w:rsid w:val="2C4B1C25"/>
    <w:rsid w:val="2D9E56F5"/>
    <w:rsid w:val="2E667F96"/>
    <w:rsid w:val="2E8226AB"/>
    <w:rsid w:val="2E8F32BF"/>
    <w:rsid w:val="2F556561"/>
    <w:rsid w:val="2FD065E6"/>
    <w:rsid w:val="2FD96870"/>
    <w:rsid w:val="30580BC9"/>
    <w:rsid w:val="30961732"/>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9D3A66"/>
    <w:rsid w:val="37E00298"/>
    <w:rsid w:val="38B302F9"/>
    <w:rsid w:val="38F12CD3"/>
    <w:rsid w:val="38F94775"/>
    <w:rsid w:val="391050F3"/>
    <w:rsid w:val="392971ED"/>
    <w:rsid w:val="39325651"/>
    <w:rsid w:val="3A872856"/>
    <w:rsid w:val="3B3763D1"/>
    <w:rsid w:val="3BCB0097"/>
    <w:rsid w:val="3C2F6E1E"/>
    <w:rsid w:val="3C4F64BA"/>
    <w:rsid w:val="3C6D58F6"/>
    <w:rsid w:val="3CC73F22"/>
    <w:rsid w:val="3CDA245A"/>
    <w:rsid w:val="3CDE4BFD"/>
    <w:rsid w:val="3CE6551C"/>
    <w:rsid w:val="3D1E06B7"/>
    <w:rsid w:val="3EDA0523"/>
    <w:rsid w:val="40325B01"/>
    <w:rsid w:val="407A6407"/>
    <w:rsid w:val="408B5DFF"/>
    <w:rsid w:val="40A965D8"/>
    <w:rsid w:val="414D2D67"/>
    <w:rsid w:val="418B446A"/>
    <w:rsid w:val="41AC11DF"/>
    <w:rsid w:val="4200449D"/>
    <w:rsid w:val="423A3BCC"/>
    <w:rsid w:val="424E57D2"/>
    <w:rsid w:val="42B26C49"/>
    <w:rsid w:val="433A6FE6"/>
    <w:rsid w:val="43480868"/>
    <w:rsid w:val="4350713C"/>
    <w:rsid w:val="436653E0"/>
    <w:rsid w:val="43994F1E"/>
    <w:rsid w:val="43C4431A"/>
    <w:rsid w:val="440F1C53"/>
    <w:rsid w:val="44691568"/>
    <w:rsid w:val="44B951CC"/>
    <w:rsid w:val="44CD14E0"/>
    <w:rsid w:val="44F20B0B"/>
    <w:rsid w:val="452E5F4C"/>
    <w:rsid w:val="45612018"/>
    <w:rsid w:val="458946E9"/>
    <w:rsid w:val="45A47C0E"/>
    <w:rsid w:val="46523984"/>
    <w:rsid w:val="46577FD6"/>
    <w:rsid w:val="46D955A7"/>
    <w:rsid w:val="47133957"/>
    <w:rsid w:val="47A07E0C"/>
    <w:rsid w:val="47DA005D"/>
    <w:rsid w:val="4870272E"/>
    <w:rsid w:val="49103C0B"/>
    <w:rsid w:val="496407B2"/>
    <w:rsid w:val="49DC7715"/>
    <w:rsid w:val="4A023139"/>
    <w:rsid w:val="4A7B576F"/>
    <w:rsid w:val="4AF561A9"/>
    <w:rsid w:val="4BD72A88"/>
    <w:rsid w:val="4C4267E4"/>
    <w:rsid w:val="4C4A0649"/>
    <w:rsid w:val="4C7E5ECA"/>
    <w:rsid w:val="4C876AA5"/>
    <w:rsid w:val="4D0E00FB"/>
    <w:rsid w:val="4D176606"/>
    <w:rsid w:val="4DEC4FB0"/>
    <w:rsid w:val="4E075D8A"/>
    <w:rsid w:val="4EC00FAD"/>
    <w:rsid w:val="4F9843DC"/>
    <w:rsid w:val="4FC62A8C"/>
    <w:rsid w:val="4FE20F0D"/>
    <w:rsid w:val="4FE51552"/>
    <w:rsid w:val="50504C4B"/>
    <w:rsid w:val="505B01BA"/>
    <w:rsid w:val="509C6E7C"/>
    <w:rsid w:val="50A53D8C"/>
    <w:rsid w:val="5162104E"/>
    <w:rsid w:val="51BD159B"/>
    <w:rsid w:val="535E1F8C"/>
    <w:rsid w:val="53A039CC"/>
    <w:rsid w:val="53A1505A"/>
    <w:rsid w:val="54063E08"/>
    <w:rsid w:val="543437E8"/>
    <w:rsid w:val="54391142"/>
    <w:rsid w:val="54F73313"/>
    <w:rsid w:val="54F80955"/>
    <w:rsid w:val="555170A7"/>
    <w:rsid w:val="5587536D"/>
    <w:rsid w:val="559B174B"/>
    <w:rsid w:val="55CE0CF4"/>
    <w:rsid w:val="56B22A9C"/>
    <w:rsid w:val="57A41E19"/>
    <w:rsid w:val="57B72A76"/>
    <w:rsid w:val="57C06AC6"/>
    <w:rsid w:val="57C3426C"/>
    <w:rsid w:val="57CE1F93"/>
    <w:rsid w:val="57F2466C"/>
    <w:rsid w:val="587B4A7E"/>
    <w:rsid w:val="588743D1"/>
    <w:rsid w:val="5887701A"/>
    <w:rsid w:val="589527E3"/>
    <w:rsid w:val="59C0439F"/>
    <w:rsid w:val="59D94497"/>
    <w:rsid w:val="5ABE2233"/>
    <w:rsid w:val="5B390F56"/>
    <w:rsid w:val="5BDF5D95"/>
    <w:rsid w:val="5BFE7528"/>
    <w:rsid w:val="5E1951D9"/>
    <w:rsid w:val="5E2467F1"/>
    <w:rsid w:val="5EFF5730"/>
    <w:rsid w:val="5F1A2B43"/>
    <w:rsid w:val="5FB837BB"/>
    <w:rsid w:val="60183C3E"/>
    <w:rsid w:val="60CC405A"/>
    <w:rsid w:val="61E215D8"/>
    <w:rsid w:val="620E751D"/>
    <w:rsid w:val="621B3775"/>
    <w:rsid w:val="62364782"/>
    <w:rsid w:val="6394356A"/>
    <w:rsid w:val="63C61B2C"/>
    <w:rsid w:val="63D40BE9"/>
    <w:rsid w:val="63D478A7"/>
    <w:rsid w:val="63DC2A95"/>
    <w:rsid w:val="64102431"/>
    <w:rsid w:val="64A5243A"/>
    <w:rsid w:val="64F531DE"/>
    <w:rsid w:val="65373578"/>
    <w:rsid w:val="66481EF6"/>
    <w:rsid w:val="671F124A"/>
    <w:rsid w:val="677A33C6"/>
    <w:rsid w:val="681F6961"/>
    <w:rsid w:val="68610A2F"/>
    <w:rsid w:val="68805514"/>
    <w:rsid w:val="68997279"/>
    <w:rsid w:val="69316E2F"/>
    <w:rsid w:val="694E2071"/>
    <w:rsid w:val="69766163"/>
    <w:rsid w:val="697A3B33"/>
    <w:rsid w:val="69D44760"/>
    <w:rsid w:val="6A520EC7"/>
    <w:rsid w:val="6AE95E85"/>
    <w:rsid w:val="6AF87E20"/>
    <w:rsid w:val="6B322639"/>
    <w:rsid w:val="6B8F6EB7"/>
    <w:rsid w:val="6C636C38"/>
    <w:rsid w:val="6D875B5B"/>
    <w:rsid w:val="6D927244"/>
    <w:rsid w:val="6DB34098"/>
    <w:rsid w:val="6DB545B6"/>
    <w:rsid w:val="6DE02FB4"/>
    <w:rsid w:val="6E514CED"/>
    <w:rsid w:val="6EB563D5"/>
    <w:rsid w:val="6ED92677"/>
    <w:rsid w:val="6F225983"/>
    <w:rsid w:val="6FBC4FF3"/>
    <w:rsid w:val="6FFC5590"/>
    <w:rsid w:val="706D1DD0"/>
    <w:rsid w:val="70856B87"/>
    <w:rsid w:val="70D527EE"/>
    <w:rsid w:val="715B5300"/>
    <w:rsid w:val="71D27F8A"/>
    <w:rsid w:val="72553024"/>
    <w:rsid w:val="727A2494"/>
    <w:rsid w:val="72850351"/>
    <w:rsid w:val="73122968"/>
    <w:rsid w:val="731F5D5E"/>
    <w:rsid w:val="73C51AD5"/>
    <w:rsid w:val="741E793C"/>
    <w:rsid w:val="744234EA"/>
    <w:rsid w:val="745E3944"/>
    <w:rsid w:val="75022089"/>
    <w:rsid w:val="75F30A79"/>
    <w:rsid w:val="7635099D"/>
    <w:rsid w:val="77737A4C"/>
    <w:rsid w:val="77762421"/>
    <w:rsid w:val="779562C4"/>
    <w:rsid w:val="77B56B1F"/>
    <w:rsid w:val="780F09F4"/>
    <w:rsid w:val="78A90480"/>
    <w:rsid w:val="7A364017"/>
    <w:rsid w:val="7A3A1A3C"/>
    <w:rsid w:val="7A661346"/>
    <w:rsid w:val="7A8265E1"/>
    <w:rsid w:val="7B4E7DC1"/>
    <w:rsid w:val="7B686D42"/>
    <w:rsid w:val="7B841746"/>
    <w:rsid w:val="7BF72FDA"/>
    <w:rsid w:val="7C480CB4"/>
    <w:rsid w:val="7C6C5AC7"/>
    <w:rsid w:val="7C7378DE"/>
    <w:rsid w:val="7CC6544B"/>
    <w:rsid w:val="7CDC15F5"/>
    <w:rsid w:val="7CFB22B1"/>
    <w:rsid w:val="7D0239FF"/>
    <w:rsid w:val="7D51609B"/>
    <w:rsid w:val="7D5E40CD"/>
    <w:rsid w:val="7DC117F0"/>
    <w:rsid w:val="7DCD56F2"/>
    <w:rsid w:val="7DF77816"/>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left"/>
    </w:pPr>
    <w:rPr>
      <w:rFonts w:ascii="Times New Roman" w:hAnsi="Times New Roman" w:eastAsia="宋体" w:cs="Times New Roman"/>
      <w:kern w:val="2"/>
      <w:sz w:val="24"/>
      <w:szCs w:val="24"/>
      <w:lang w:val="en-US" w:eastAsia="zh-CN" w:bidi="ar-SA"/>
    </w:rPr>
  </w:style>
  <w:style w:type="paragraph" w:styleId="2">
    <w:name w:val="heading 1"/>
    <w:basedOn w:val="1"/>
    <w:next w:val="1"/>
    <w:uiPriority w:val="0"/>
    <w:pPr>
      <w:keepNext/>
      <w:overflowPunct w:val="0"/>
      <w:snapToGrid w:val="0"/>
      <w:spacing w:before="120" w:after="160" w:line="240" w:lineRule="auto"/>
      <w:ind w:left="0" w:hanging="432"/>
      <w:jc w:val="left"/>
      <w:outlineLvl w:val="0"/>
    </w:pPr>
    <w:rPr>
      <w:rFonts w:ascii="宋体" w:hAnsi="宋体"/>
      <w:b/>
      <w:color w:val="000000"/>
      <w:kern w:val="44"/>
      <w:sz w:val="24"/>
      <w:szCs w:val="30"/>
    </w:rPr>
  </w:style>
  <w:style w:type="paragraph" w:styleId="3">
    <w:name w:val="heading 2"/>
    <w:basedOn w:val="1"/>
    <w:next w:val="1"/>
    <w:link w:val="32"/>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4"/>
    <w:basedOn w:val="1"/>
    <w:next w:val="1"/>
    <w:link w:val="33"/>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5">
    <w:name w:val="Default Paragraph Font"/>
    <w:semiHidden/>
    <w:qFormat/>
    <w:uiPriority w:val="0"/>
  </w:style>
  <w:style w:type="table" w:default="1" w:styleId="2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next w:val="1"/>
    <w:qFormat/>
    <w:uiPriority w:val="0"/>
    <w:rPr>
      <w:rFonts w:eastAsia="宋体"/>
      <w:sz w:val="24"/>
      <w:szCs w:val="20"/>
    </w:rPr>
  </w:style>
  <w:style w:type="paragraph" w:styleId="6">
    <w:name w:val="annotation text"/>
    <w:basedOn w:val="1"/>
    <w:link w:val="34"/>
    <w:qFormat/>
    <w:uiPriority w:val="0"/>
    <w:pPr>
      <w:jc w:val="left"/>
    </w:pPr>
    <w:rPr>
      <w:kern w:val="0"/>
      <w:sz w:val="24"/>
      <w:szCs w:val="20"/>
    </w:rPr>
  </w:style>
  <w:style w:type="paragraph" w:styleId="7">
    <w:name w:val="Body Text"/>
    <w:basedOn w:val="1"/>
    <w:link w:val="35"/>
    <w:qFormat/>
    <w:uiPriority w:val="0"/>
    <w:pPr>
      <w:widowControl/>
      <w:snapToGrid w:val="0"/>
      <w:spacing w:before="60" w:after="160" w:line="259" w:lineRule="auto"/>
      <w:ind w:right="113"/>
    </w:pPr>
    <w:rPr>
      <w:kern w:val="0"/>
      <w:sz w:val="18"/>
      <w:szCs w:val="20"/>
    </w:rPr>
  </w:style>
  <w:style w:type="paragraph" w:styleId="8">
    <w:name w:val="Body Text Indent"/>
    <w:basedOn w:val="1"/>
    <w:next w:val="9"/>
    <w:link w:val="36"/>
    <w:qFormat/>
    <w:uiPriority w:val="0"/>
    <w:pPr>
      <w:spacing w:after="120"/>
      <w:ind w:left="420" w:leftChars="200"/>
    </w:pPr>
    <w:rPr>
      <w:kern w:val="0"/>
      <w:sz w:val="24"/>
      <w:szCs w:val="20"/>
    </w:rPr>
  </w:style>
  <w:style w:type="paragraph" w:customStyle="1" w:styleId="9">
    <w:name w:val="样式 正文文本缩进 + 行距: 1.5 倍行距"/>
    <w:basedOn w:val="1"/>
    <w:qFormat/>
    <w:uiPriority w:val="0"/>
    <w:pPr>
      <w:spacing w:after="120" w:line="360" w:lineRule="auto"/>
      <w:ind w:left="90" w:leftChars="32" w:firstLine="560" w:firstLineChars="200"/>
    </w:pPr>
    <w:rPr>
      <w:rFonts w:cs="宋体"/>
    </w:rPr>
  </w:style>
  <w:style w:type="paragraph" w:styleId="10">
    <w:name w:val="Block Text"/>
    <w:basedOn w:val="1"/>
    <w:next w:val="1"/>
    <w:qFormat/>
    <w:uiPriority w:val="0"/>
    <w:pPr>
      <w:snapToGrid w:val="0"/>
      <w:spacing w:line="408" w:lineRule="auto"/>
      <w:ind w:left="-113" w:right="-510" w:firstLine="510"/>
    </w:pPr>
    <w:rPr>
      <w:sz w:val="24"/>
      <w:szCs w:val="20"/>
    </w:rPr>
  </w:style>
  <w:style w:type="paragraph" w:styleId="11">
    <w:name w:val="Plain Text"/>
    <w:basedOn w:val="1"/>
    <w:link w:val="37"/>
    <w:qFormat/>
    <w:uiPriority w:val="0"/>
    <w:rPr>
      <w:rFonts w:ascii="宋体" w:hAnsi="Courier New" w:cs="Courier New"/>
      <w:szCs w:val="21"/>
    </w:rPr>
  </w:style>
  <w:style w:type="paragraph" w:styleId="12">
    <w:name w:val="Date"/>
    <w:basedOn w:val="1"/>
    <w:next w:val="1"/>
    <w:link w:val="38"/>
    <w:uiPriority w:val="0"/>
    <w:pPr>
      <w:ind w:left="100" w:leftChars="2500"/>
    </w:pPr>
    <w:rPr>
      <w:kern w:val="0"/>
      <w:sz w:val="24"/>
      <w:szCs w:val="20"/>
    </w:rPr>
  </w:style>
  <w:style w:type="paragraph" w:styleId="13">
    <w:name w:val="Body Text Indent 2"/>
    <w:basedOn w:val="14"/>
    <w:next w:val="1"/>
    <w:qFormat/>
    <w:uiPriority w:val="0"/>
    <w:pPr>
      <w:spacing w:after="120" w:afterLines="0" w:line="480" w:lineRule="auto"/>
      <w:ind w:left="420" w:leftChars="200"/>
    </w:pPr>
  </w:style>
  <w:style w:type="paragraph" w:customStyle="1" w:styleId="14">
    <w:name w:val="表头"/>
    <w:basedOn w:val="1"/>
    <w:qFormat/>
    <w:uiPriority w:val="0"/>
    <w:pPr>
      <w:spacing w:line="360" w:lineRule="auto"/>
      <w:jc w:val="center"/>
    </w:pPr>
    <w:rPr>
      <w:b/>
      <w:sz w:val="24"/>
    </w:rPr>
  </w:style>
  <w:style w:type="paragraph" w:styleId="15">
    <w:name w:val="Balloon Text"/>
    <w:basedOn w:val="1"/>
    <w:link w:val="39"/>
    <w:qFormat/>
    <w:uiPriority w:val="0"/>
    <w:rPr>
      <w:kern w:val="0"/>
      <w:sz w:val="18"/>
      <w:szCs w:val="20"/>
    </w:rPr>
  </w:style>
  <w:style w:type="paragraph" w:styleId="16">
    <w:name w:val="footer"/>
    <w:basedOn w:val="1"/>
    <w:link w:val="40"/>
    <w:qFormat/>
    <w:uiPriority w:val="0"/>
    <w:pPr>
      <w:tabs>
        <w:tab w:val="center" w:pos="4153"/>
        <w:tab w:val="right" w:pos="8306"/>
      </w:tabs>
      <w:snapToGrid w:val="0"/>
      <w:jc w:val="left"/>
    </w:pPr>
    <w:rPr>
      <w:kern w:val="0"/>
      <w:sz w:val="18"/>
      <w:szCs w:val="20"/>
    </w:rPr>
  </w:style>
  <w:style w:type="paragraph" w:styleId="17">
    <w:name w:val="header"/>
    <w:basedOn w:val="1"/>
    <w:link w:val="41"/>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19">
    <w:name w:val="Title"/>
    <w:basedOn w:val="1"/>
    <w:link w:val="43"/>
    <w:qFormat/>
    <w:uiPriority w:val="0"/>
    <w:pPr>
      <w:spacing w:before="28"/>
      <w:ind w:right="18"/>
      <w:jc w:val="center"/>
    </w:pPr>
    <w:rPr>
      <w:rFonts w:ascii="宋体" w:hAnsi="宋体" w:cs="宋体"/>
      <w:b/>
      <w:bCs/>
      <w:sz w:val="52"/>
      <w:szCs w:val="52"/>
    </w:rPr>
  </w:style>
  <w:style w:type="paragraph" w:styleId="20">
    <w:name w:val="annotation subject"/>
    <w:basedOn w:val="6"/>
    <w:next w:val="6"/>
    <w:link w:val="44"/>
    <w:qFormat/>
    <w:uiPriority w:val="0"/>
    <w:rPr>
      <w:b/>
      <w:kern w:val="2"/>
    </w:rPr>
  </w:style>
  <w:style w:type="paragraph" w:styleId="21">
    <w:name w:val="Body Text First Indent 2"/>
    <w:basedOn w:val="8"/>
    <w:next w:val="1"/>
    <w:qFormat/>
    <w:uiPriority w:val="0"/>
    <w:pPr>
      <w:ind w:firstLine="420"/>
    </w:pPr>
    <w:rPr>
      <w:sz w:val="21"/>
    </w:rPr>
  </w:style>
  <w:style w:type="table" w:styleId="23">
    <w:name w:val="Table Grid"/>
    <w:basedOn w:val="2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Theme"/>
    <w:basedOn w:val="2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qFormat/>
    <w:uiPriority w:val="0"/>
    <w:rPr>
      <w:color w:val="0000FF"/>
      <w:u w:val="single"/>
    </w:rPr>
  </w:style>
  <w:style w:type="character" w:styleId="28">
    <w:name w:val="annotation reference"/>
    <w:qFormat/>
    <w:uiPriority w:val="0"/>
    <w:rPr>
      <w:sz w:val="21"/>
    </w:rPr>
  </w:style>
  <w:style w:type="paragraph" w:customStyle="1" w:styleId="29">
    <w:name w:val="Default"/>
    <w:basedOn w:val="30"/>
    <w:next w:val="31"/>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30">
    <w:name w:val="标题2"/>
    <w:basedOn w:val="1"/>
    <w:qFormat/>
    <w:uiPriority w:val="0"/>
    <w:rPr>
      <w:rFonts w:ascii="宋体" w:hAnsi="宋体"/>
      <w:b/>
      <w:kern w:val="0"/>
      <w:sz w:val="24"/>
      <w:szCs w:val="24"/>
    </w:rPr>
  </w:style>
  <w:style w:type="paragraph" w:customStyle="1" w:styleId="31">
    <w:name w:val="样式35"/>
    <w:basedOn w:val="1"/>
    <w:next w:val="1"/>
    <w:qFormat/>
    <w:uiPriority w:val="0"/>
    <w:pPr>
      <w:spacing w:line="312" w:lineRule="auto"/>
      <w:ind w:firstLine="567"/>
    </w:pPr>
    <w:rPr>
      <w:rFonts w:ascii="宋体"/>
      <w:sz w:val="28"/>
    </w:rPr>
  </w:style>
  <w:style w:type="character" w:customStyle="1" w:styleId="32">
    <w:name w:val="标题 2 Char"/>
    <w:link w:val="3"/>
    <w:semiHidden/>
    <w:qFormat/>
    <w:uiPriority w:val="0"/>
    <w:rPr>
      <w:rFonts w:ascii="Cambria" w:hAnsi="Cambria" w:eastAsia="宋体" w:cs="Times New Roman"/>
      <w:b/>
      <w:bCs/>
      <w:kern w:val="2"/>
      <w:sz w:val="32"/>
      <w:szCs w:val="32"/>
    </w:rPr>
  </w:style>
  <w:style w:type="character" w:customStyle="1" w:styleId="33">
    <w:name w:val="标题 4 Char"/>
    <w:link w:val="4"/>
    <w:semiHidden/>
    <w:qFormat/>
    <w:uiPriority w:val="0"/>
    <w:rPr>
      <w:rFonts w:ascii="Cambria" w:hAnsi="Cambria" w:eastAsia="宋体" w:cs="Times New Roman"/>
      <w:b/>
      <w:bCs/>
      <w:kern w:val="2"/>
      <w:sz w:val="28"/>
      <w:szCs w:val="28"/>
    </w:rPr>
  </w:style>
  <w:style w:type="character" w:customStyle="1" w:styleId="34">
    <w:name w:val="批注文字 Char"/>
    <w:link w:val="6"/>
    <w:qFormat/>
    <w:locked/>
    <w:uiPriority w:val="0"/>
    <w:rPr>
      <w:rFonts w:ascii="Times New Roman" w:hAnsi="Times New Roman" w:eastAsia="宋体"/>
      <w:sz w:val="24"/>
    </w:rPr>
  </w:style>
  <w:style w:type="character" w:customStyle="1" w:styleId="35">
    <w:name w:val="正文文本 Char"/>
    <w:link w:val="7"/>
    <w:qFormat/>
    <w:locked/>
    <w:uiPriority w:val="0"/>
    <w:rPr>
      <w:sz w:val="18"/>
    </w:rPr>
  </w:style>
  <w:style w:type="character" w:customStyle="1" w:styleId="36">
    <w:name w:val="正文文本缩进 Char"/>
    <w:link w:val="8"/>
    <w:semiHidden/>
    <w:qFormat/>
    <w:locked/>
    <w:uiPriority w:val="0"/>
    <w:rPr>
      <w:rFonts w:ascii="Times New Roman" w:hAnsi="Times New Roman" w:eastAsia="宋体"/>
      <w:sz w:val="24"/>
    </w:rPr>
  </w:style>
  <w:style w:type="character" w:customStyle="1" w:styleId="37">
    <w:name w:val="纯文本 Char"/>
    <w:link w:val="11"/>
    <w:qFormat/>
    <w:uiPriority w:val="0"/>
    <w:rPr>
      <w:rFonts w:ascii="宋体" w:hAnsi="Courier New" w:cs="Courier New"/>
      <w:kern w:val="2"/>
      <w:sz w:val="21"/>
      <w:szCs w:val="21"/>
    </w:rPr>
  </w:style>
  <w:style w:type="character" w:customStyle="1" w:styleId="38">
    <w:name w:val="日期 Char"/>
    <w:link w:val="12"/>
    <w:qFormat/>
    <w:locked/>
    <w:uiPriority w:val="0"/>
    <w:rPr>
      <w:rFonts w:ascii="Times New Roman" w:hAnsi="Times New Roman" w:eastAsia="宋体"/>
      <w:sz w:val="24"/>
    </w:rPr>
  </w:style>
  <w:style w:type="character" w:customStyle="1" w:styleId="39">
    <w:name w:val="批注框文本 Char"/>
    <w:link w:val="15"/>
    <w:semiHidden/>
    <w:qFormat/>
    <w:locked/>
    <w:uiPriority w:val="0"/>
    <w:rPr>
      <w:rFonts w:ascii="Times New Roman" w:hAnsi="Times New Roman" w:eastAsia="宋体"/>
      <w:sz w:val="18"/>
    </w:rPr>
  </w:style>
  <w:style w:type="character" w:customStyle="1" w:styleId="40">
    <w:name w:val="页脚 Char"/>
    <w:link w:val="16"/>
    <w:qFormat/>
    <w:locked/>
    <w:uiPriority w:val="99"/>
    <w:rPr>
      <w:sz w:val="18"/>
    </w:rPr>
  </w:style>
  <w:style w:type="character" w:customStyle="1" w:styleId="41">
    <w:name w:val="页眉 Char"/>
    <w:link w:val="17"/>
    <w:qFormat/>
    <w:locked/>
    <w:uiPriority w:val="0"/>
    <w:rPr>
      <w:sz w:val="18"/>
    </w:rPr>
  </w:style>
  <w:style w:type="character" w:customStyle="1" w:styleId="42">
    <w:name w:val="普通(网站) Char"/>
    <w:link w:val="18"/>
    <w:qFormat/>
    <w:locked/>
    <w:uiPriority w:val="0"/>
    <w:rPr>
      <w:rFonts w:ascii="宋体" w:hAnsi="宋体" w:eastAsia="宋体"/>
      <w:sz w:val="24"/>
    </w:rPr>
  </w:style>
  <w:style w:type="character" w:customStyle="1" w:styleId="43">
    <w:name w:val="标题 Char"/>
    <w:link w:val="19"/>
    <w:qFormat/>
    <w:uiPriority w:val="1"/>
    <w:rPr>
      <w:rFonts w:ascii="宋体" w:hAnsi="宋体" w:cs="宋体"/>
      <w:b/>
      <w:bCs/>
      <w:kern w:val="2"/>
      <w:sz w:val="52"/>
      <w:szCs w:val="52"/>
    </w:rPr>
  </w:style>
  <w:style w:type="character" w:customStyle="1" w:styleId="44">
    <w:name w:val="批注主题 Char"/>
    <w:link w:val="20"/>
    <w:semiHidden/>
    <w:qFormat/>
    <w:locked/>
    <w:uiPriority w:val="0"/>
    <w:rPr>
      <w:rFonts w:ascii="Times New Roman" w:hAnsi="Times New Roman" w:eastAsia="宋体"/>
      <w:b/>
      <w:kern w:val="2"/>
      <w:sz w:val="24"/>
    </w:rPr>
  </w:style>
  <w:style w:type="character" w:customStyle="1" w:styleId="45">
    <w:name w:val="页脚 字符"/>
    <w:basedOn w:val="25"/>
    <w:qFormat/>
    <w:uiPriority w:val="99"/>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段落"/>
    <w:basedOn w:val="11"/>
    <w:qFormat/>
    <w:uiPriority w:val="0"/>
    <w:pPr>
      <w:spacing w:line="480" w:lineRule="exact"/>
      <w:ind w:firstLine="578"/>
    </w:pPr>
    <w:rPr>
      <w:sz w:val="28"/>
      <w:szCs w:val="28"/>
    </w:rPr>
  </w:style>
  <w:style w:type="paragraph" w:customStyle="1" w:styleId="54">
    <w:name w:val="段落 Char"/>
    <w:basedOn w:val="11"/>
    <w:qFormat/>
    <w:uiPriority w:val="0"/>
    <w:pPr>
      <w:spacing w:line="500" w:lineRule="exact"/>
      <w:ind w:firstLine="578"/>
    </w:pPr>
    <w:rPr>
      <w:rFonts w:ascii="Times New Roman" w:hAnsi="Times New Roman" w:cs="Times New Roman"/>
      <w:sz w:val="28"/>
      <w:szCs w:val="28"/>
    </w:rPr>
  </w:style>
  <w:style w:type="paragraph" w:customStyle="1" w:styleId="55">
    <w:name w:val="文字"/>
    <w:basedOn w:val="1"/>
    <w:qFormat/>
    <w:uiPriority w:val="0"/>
    <w:pPr>
      <w:widowControl/>
      <w:spacing w:afterLines="50" w:line="360" w:lineRule="auto"/>
      <w:ind w:firstLine="420"/>
    </w:pPr>
    <w:rPr>
      <w:kern w:val="0"/>
      <w:sz w:val="24"/>
    </w:rPr>
  </w:style>
  <w:style w:type="character" w:customStyle="1" w:styleId="56">
    <w:name w:val="NormalCharacter"/>
    <w:qFormat/>
    <w:uiPriority w:val="0"/>
  </w:style>
  <w:style w:type="character" w:customStyle="1" w:styleId="57">
    <w:name w:val="UserStyle_1"/>
    <w:link w:val="58"/>
    <w:qFormat/>
    <w:locked/>
    <w:uiPriority w:val="0"/>
    <w:rPr>
      <w:rFonts w:ascii="宋体" w:hAnsi="宋体"/>
      <w:sz w:val="28"/>
    </w:rPr>
  </w:style>
  <w:style w:type="paragraph" w:customStyle="1" w:styleId="58">
    <w:name w:val="NormalIndent"/>
    <w:basedOn w:val="1"/>
    <w:link w:val="57"/>
    <w:qFormat/>
    <w:uiPriority w:val="0"/>
    <w:pPr>
      <w:widowControl/>
      <w:textAlignment w:val="baseline"/>
    </w:pPr>
    <w:rPr>
      <w:rFonts w:ascii="宋体" w:hAnsi="宋体"/>
      <w:kern w:val="0"/>
      <w:sz w:val="28"/>
      <w:szCs w:val="20"/>
    </w:rPr>
  </w:style>
  <w:style w:type="paragraph" w:customStyle="1" w:styleId="59">
    <w:name w:val="Table Paragraph"/>
    <w:basedOn w:val="1"/>
    <w:qFormat/>
    <w:uiPriority w:val="1"/>
    <w:pPr>
      <w:widowControl/>
      <w:jc w:val="left"/>
    </w:pPr>
    <w:rPr>
      <w:rFonts w:ascii="Calibri" w:hAnsi="Calibri" w:cs="宋体"/>
      <w:kern w:val="0"/>
      <w:sz w:val="22"/>
      <w:szCs w:val="22"/>
    </w:rPr>
  </w:style>
  <w:style w:type="paragraph" w:customStyle="1" w:styleId="60">
    <w:name w:val="TT正文"/>
    <w:basedOn w:val="1"/>
    <w:qFormat/>
    <w:uiPriority w:val="0"/>
    <w:pPr>
      <w:ind w:firstLine="200" w:firstLineChars="200"/>
    </w:pPr>
    <w:rPr>
      <w:rFonts w:cs="宋体"/>
      <w:color w:val="000000"/>
      <w:sz w:val="24"/>
      <w:szCs w:val="20"/>
    </w:rPr>
  </w:style>
  <w:style w:type="paragraph" w:customStyle="1" w:styleId="61">
    <w:name w:val="表内"/>
    <w:basedOn w:val="1"/>
    <w:qFormat/>
    <w:uiPriority w:val="99"/>
    <w:pPr>
      <w:framePr w:hSpace="180" w:wrap="around" w:vAnchor="page" w:hAnchor="margin" w:y="1411"/>
      <w:widowControl/>
    </w:pPr>
    <w:rPr>
      <w:rFonts w:ascii="宋体" w:hAnsi="宋体" w:eastAsia="仿宋"/>
      <w:kern w:val="0"/>
      <w:sz w:val="20"/>
      <w:szCs w:val="20"/>
    </w:rPr>
  </w:style>
  <w:style w:type="paragraph" w:customStyle="1" w:styleId="62">
    <w:name w:val="样式1"/>
    <w:basedOn w:val="1"/>
    <w:link w:val="63"/>
    <w:qFormat/>
    <w:uiPriority w:val="0"/>
    <w:pPr>
      <w:jc w:val="left"/>
    </w:pPr>
    <w:rPr>
      <w:rFonts w:eastAsia="仿宋" w:cs="Times New Roman"/>
      <w:snapToGrid w:val="0"/>
      <w:kern w:val="0"/>
      <w:sz w:val="20"/>
      <w:szCs w:val="20"/>
      <w:shd w:val="clear" w:color="auto" w:fill="FFFFFF"/>
    </w:rPr>
  </w:style>
  <w:style w:type="character" w:customStyle="1" w:styleId="63">
    <w:name w:val="样式1 Char"/>
    <w:link w:val="62"/>
    <w:qFormat/>
    <w:uiPriority w:val="0"/>
    <w:rPr>
      <w:rFonts w:eastAsia="仿宋" w:cs="Times New Roman"/>
      <w:snapToGrid w:val="0"/>
    </w:rPr>
  </w:style>
  <w:style w:type="paragraph" w:customStyle="1" w:styleId="64">
    <w:name w:val="22磅行间距"/>
    <w:qFormat/>
    <w:uiPriority w:val="0"/>
    <w:pPr>
      <w:widowControl w:val="0"/>
      <w:adjustRightInd w:val="0"/>
      <w:snapToGrid w:val="0"/>
      <w:spacing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5">
    <w:name w:val="鸿达表头"/>
    <w:basedOn w:val="1"/>
    <w:qFormat/>
    <w:uiPriority w:val="0"/>
    <w:pPr>
      <w:adjustRightInd/>
      <w:snapToGrid/>
      <w:textAlignment w:val="auto"/>
    </w:pPr>
    <w:rPr>
      <w:b/>
      <w:kern w:val="2"/>
      <w:szCs w:val="24"/>
    </w:rPr>
  </w:style>
  <w:style w:type="paragraph" w:customStyle="1" w:styleId="66">
    <w:name w:val="样式36"/>
    <w:qFormat/>
    <w:uiPriority w:val="0"/>
    <w:pPr>
      <w:autoSpaceDE w:val="0"/>
      <w:autoSpaceDN w:val="0"/>
      <w:adjustRightInd w:val="0"/>
      <w:snapToGrid w:val="0"/>
      <w:spacing w:after="157" w:afterLines="50"/>
      <w:jc w:val="left"/>
    </w:pPr>
    <w:rPr>
      <w:rFonts w:hint="eastAsia" w:ascii="Times New Roman" w:hAnsi="Times New Roman" w:eastAsia="宋体" w:cs="Times New Roman"/>
    </w:rPr>
  </w:style>
  <w:style w:type="paragraph" w:customStyle="1" w:styleId="67">
    <w:name w:val="样式37"/>
    <w:qFormat/>
    <w:uiPriority w:val="0"/>
    <w:pPr>
      <w:autoSpaceDE w:val="0"/>
      <w:autoSpaceDN w:val="0"/>
      <w:adjustRightInd w:val="0"/>
      <w:snapToGrid w:val="0"/>
      <w:jc w:val="left"/>
    </w:pPr>
    <w:rPr>
      <w:rFonts w:ascii="Times New Roman" w:hAnsi="Times New Roman" w:eastAsia="宋体" w:cs="Times New Roman"/>
      <w:sz w:val="24"/>
    </w:rPr>
  </w:style>
  <w:style w:type="paragraph" w:styleId="68">
    <w:name w:val="List Paragraph"/>
    <w:basedOn w:val="1"/>
    <w:qFormat/>
    <w:uiPriority w:val="34"/>
    <w:pPr>
      <w:ind w:firstLine="420" w:firstLineChars="200"/>
    </w:pPr>
  </w:style>
  <w:style w:type="paragraph" w:customStyle="1" w:styleId="69">
    <w:name w:val="鸿达表格文字"/>
    <w:basedOn w:val="1"/>
    <w:qFormat/>
    <w:uiPriority w:val="0"/>
    <w:pPr>
      <w:contextualSpacing/>
      <w:jc w:val="center"/>
    </w:pPr>
    <w:rPr>
      <w:rFonts w:ascii="Times New Roman" w:hAnsi="Times New Roman" w:eastAsia="宋体"/>
      <w:szCs w:val="21"/>
    </w:rPr>
  </w:style>
  <w:style w:type="paragraph" w:customStyle="1" w:styleId="70">
    <w:name w:val="_Style 1"/>
    <w:basedOn w:val="1"/>
    <w:qFormat/>
    <w:uiPriority w:val="34"/>
    <w:pPr>
      <w:ind w:firstLine="420" w:firstLineChars="200"/>
    </w:pPr>
    <w:rPr>
      <w:rFonts w:ascii="Times New Roman" w:hAnsi="Times New Roman" w:eastAsia="宋体"/>
    </w:rPr>
  </w:style>
  <w:style w:type="paragraph" w:customStyle="1" w:styleId="71">
    <w:name w:val="中文报告书样式"/>
    <w:basedOn w:val="1"/>
    <w:qFormat/>
    <w:uiPriority w:val="0"/>
    <w:pPr>
      <w:adjustRightInd w:val="0"/>
      <w:spacing w:line="480" w:lineRule="atLeast"/>
      <w:ind w:firstLine="482"/>
      <w:textAlignment w:val="baseline"/>
    </w:pPr>
    <w:rPr>
      <w:rFonts w:cs="宋体"/>
      <w:color w:val="000000"/>
      <w:kern w:val="24"/>
      <w:sz w:val="24"/>
    </w:rPr>
  </w:style>
  <w:style w:type="paragraph" w:customStyle="1" w:styleId="72">
    <w:name w:val="赵正文"/>
    <w:basedOn w:val="1"/>
    <w:qFormat/>
    <w:uiPriority w:val="0"/>
    <w:pPr>
      <w:spacing w:line="520" w:lineRule="exact"/>
      <w:ind w:firstLine="64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CHINA</Company>
  <Pages>62</Pages>
  <Words>33682</Words>
  <Characters>37821</Characters>
  <Lines>1</Lines>
  <Paragraphs>1</Paragraphs>
  <TotalTime>2</TotalTime>
  <ScaleCrop>false</ScaleCrop>
  <LinksUpToDate>false</LinksUpToDate>
  <CharactersWithSpaces>38046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2013-12-02T03:29:00Z</dcterms:created>
  <dc:creator>USER</dc:creator>
  <cp:lastModifiedBy>砂糖</cp:lastModifiedBy>
  <cp:lastPrinted>2023-02-10T03:17:00Z</cp:lastPrinted>
  <dcterms:modified xsi:type="dcterms:W3CDTF">2023-03-01T00:58:07Z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4E6C31C7996C441EA235257AB5D2A7A5</vt:lpwstr>
  </property>
</Properties>
</file>