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jc w:val="center"/>
        <w:outlineLvl w:val="0"/>
        <w:rPr>
          <w:rFonts w:hint="eastAsia" w:ascii="Times New Roman" w:hAnsi="Times New Roman" w:eastAsia="黑体" w:cs="Times New Roman"/>
          <w:snapToGrid w:val="0"/>
          <w:color w:val="auto"/>
          <w:sz w:val="30"/>
          <w:szCs w:val="30"/>
          <w:highlight w:val="none"/>
          <w:lang w:eastAsia="zh-CN"/>
        </w:rPr>
        <w:sectPr>
          <w:headerReference r:id="rId3" w:type="default"/>
          <w:footerReference r:id="rId4" w:type="default"/>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78720" behindDoc="0" locked="0" layoutInCell="1" allowOverlap="1">
            <wp:simplePos x="0" y="0"/>
            <wp:positionH relativeFrom="column">
              <wp:posOffset>-1111250</wp:posOffset>
            </wp:positionH>
            <wp:positionV relativeFrom="paragraph">
              <wp:posOffset>-872490</wp:posOffset>
            </wp:positionV>
            <wp:extent cx="7487285" cy="10296525"/>
            <wp:effectExtent l="0" t="0" r="18415" b="9525"/>
            <wp:wrapSquare wrapText="bothSides"/>
            <wp:docPr id="25" name="图片 25" descr="微信图片_2023020911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30209111320"/>
                    <pic:cNvPicPr>
                      <a:picLocks noChangeAspect="1"/>
                    </pic:cNvPicPr>
                  </pic:nvPicPr>
                  <pic:blipFill>
                    <a:blip r:embed="rId9"/>
                    <a:stretch>
                      <a:fillRect/>
                    </a:stretch>
                  </pic:blipFill>
                  <pic:spPr>
                    <a:xfrm>
                      <a:off x="0" y="0"/>
                      <a:ext cx="7487285" cy="10296525"/>
                    </a:xfrm>
                    <a:prstGeom prst="rect">
                      <a:avLst/>
                    </a:prstGeom>
                  </pic:spPr>
                </pic:pic>
              </a:graphicData>
            </a:graphic>
          </wp:anchor>
        </w:drawing>
      </w:r>
    </w:p>
    <w:p>
      <w:pPr>
        <w:pStyle w:val="18"/>
        <w:jc w:val="center"/>
        <w:outlineLvl w:val="0"/>
        <w:rPr>
          <w:rFonts w:hint="eastAsia" w:ascii="Times New Roman" w:hAnsi="Times New Roman" w:eastAsia="黑体" w:cs="Times New Roman"/>
          <w:snapToGrid w:val="0"/>
          <w:color w:val="auto"/>
          <w:sz w:val="30"/>
          <w:szCs w:val="30"/>
          <w:highlight w:val="none"/>
          <w:lang w:eastAsia="zh-CN"/>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79744" behindDoc="0" locked="0" layoutInCell="1" allowOverlap="1">
            <wp:simplePos x="0" y="0"/>
            <wp:positionH relativeFrom="column">
              <wp:posOffset>-1143000</wp:posOffset>
            </wp:positionH>
            <wp:positionV relativeFrom="paragraph">
              <wp:posOffset>-914400</wp:posOffset>
            </wp:positionV>
            <wp:extent cx="7488555" cy="10298430"/>
            <wp:effectExtent l="0" t="0" r="17145" b="7620"/>
            <wp:wrapSquare wrapText="bothSides"/>
            <wp:docPr id="26" name="图片 26" descr="微信图片_2023020911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30209111402"/>
                    <pic:cNvPicPr>
                      <a:picLocks noChangeAspect="1"/>
                    </pic:cNvPicPr>
                  </pic:nvPicPr>
                  <pic:blipFill>
                    <a:blip r:embed="rId10"/>
                    <a:stretch>
                      <a:fillRect/>
                    </a:stretch>
                  </pic:blipFill>
                  <pic:spPr>
                    <a:xfrm>
                      <a:off x="0" y="0"/>
                      <a:ext cx="7488555" cy="10298430"/>
                    </a:xfrm>
                    <a:prstGeom prst="rect">
                      <a:avLst/>
                    </a:prstGeom>
                  </pic:spPr>
                </pic:pic>
              </a:graphicData>
            </a:graphic>
          </wp:anchor>
        </w:drawing>
      </w:r>
    </w:p>
    <w:p>
      <w:pPr>
        <w:pStyle w:val="18"/>
        <w:jc w:val="center"/>
        <w:outlineLvl w:val="0"/>
        <w:rPr>
          <w:rFonts w:hint="eastAsia" w:ascii="Times New Roman" w:hAnsi="Times New Roman" w:eastAsia="黑体" w:cs="Times New Roman"/>
          <w:snapToGrid w:val="0"/>
          <w:color w:val="auto"/>
          <w:sz w:val="30"/>
          <w:szCs w:val="30"/>
          <w:highlight w:val="none"/>
          <w:lang w:eastAsia="zh-CN"/>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80768" behindDoc="0" locked="0" layoutInCell="1" allowOverlap="1">
            <wp:simplePos x="0" y="0"/>
            <wp:positionH relativeFrom="column">
              <wp:posOffset>-1143000</wp:posOffset>
            </wp:positionH>
            <wp:positionV relativeFrom="paragraph">
              <wp:posOffset>-914400</wp:posOffset>
            </wp:positionV>
            <wp:extent cx="7539990" cy="10369550"/>
            <wp:effectExtent l="0" t="0" r="3810" b="12700"/>
            <wp:wrapSquare wrapText="bothSides"/>
            <wp:docPr id="27" name="图片 27" descr="微信图片_2023020911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30209111357"/>
                    <pic:cNvPicPr>
                      <a:picLocks noChangeAspect="1"/>
                    </pic:cNvPicPr>
                  </pic:nvPicPr>
                  <pic:blipFill>
                    <a:blip r:embed="rId11"/>
                    <a:stretch>
                      <a:fillRect/>
                    </a:stretch>
                  </pic:blipFill>
                  <pic:spPr>
                    <a:xfrm>
                      <a:off x="0" y="0"/>
                      <a:ext cx="7539990" cy="10369550"/>
                    </a:xfrm>
                    <a:prstGeom prst="rect">
                      <a:avLst/>
                    </a:prstGeom>
                  </pic:spPr>
                </pic:pic>
              </a:graphicData>
            </a:graphic>
          </wp:anchor>
        </w:drawing>
      </w:r>
    </w:p>
    <w:p>
      <w:pPr>
        <w:pStyle w:val="18"/>
        <w:jc w:val="center"/>
        <w:outlineLvl w:val="0"/>
        <w:rPr>
          <w:rFonts w:hint="eastAsia" w:ascii="Times New Roman" w:hAnsi="Times New Roman" w:eastAsia="黑体" w:cs="Times New Roman"/>
          <w:snapToGrid w:val="0"/>
          <w:color w:val="auto"/>
          <w:sz w:val="30"/>
          <w:szCs w:val="30"/>
          <w:highlight w:val="none"/>
          <w:lang w:eastAsia="zh-CN"/>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-914400</wp:posOffset>
            </wp:positionV>
            <wp:extent cx="7538085" cy="10357485"/>
            <wp:effectExtent l="0" t="0" r="5715" b="5715"/>
            <wp:wrapSquare wrapText="bothSides"/>
            <wp:docPr id="8" name="图片 8" descr="资质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资质0003"/>
                    <pic:cNvPicPr>
                      <a:picLocks noChangeAspect="1"/>
                    </pic:cNvPicPr>
                  </pic:nvPicPr>
                  <pic:blipFill>
                    <a:blip r:embed="rId12"/>
                    <a:stretch>
                      <a:fillRect/>
                    </a:stretch>
                  </pic:blipFill>
                  <pic:spPr>
                    <a:xfrm>
                      <a:off x="0" y="0"/>
                      <a:ext cx="7538085" cy="10357485"/>
                    </a:xfrm>
                    <a:prstGeom prst="rect">
                      <a:avLst/>
                    </a:prstGeom>
                  </pic:spPr>
                </pic:pic>
              </a:graphicData>
            </a:graphic>
          </wp:anchor>
        </w:drawing>
      </w:r>
    </w:p>
    <w:p>
      <w:pPr>
        <w:pStyle w:val="18"/>
        <w:jc w:val="center"/>
        <w:outlineLvl w:val="0"/>
        <w:rPr>
          <w:rFonts w:hint="eastAsia" w:ascii="Times New Roman" w:hAnsi="Times New Roman" w:eastAsia="黑体" w:cs="Times New Roman"/>
          <w:snapToGrid w:val="0"/>
          <w:color w:val="auto"/>
          <w:sz w:val="30"/>
          <w:szCs w:val="30"/>
          <w:highlight w:val="none"/>
          <w:lang w:eastAsia="zh-CN"/>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-914400</wp:posOffset>
            </wp:positionV>
            <wp:extent cx="7547610" cy="10371455"/>
            <wp:effectExtent l="0" t="0" r="15240" b="10795"/>
            <wp:wrapSquare wrapText="bothSides"/>
            <wp:docPr id="9" name="图片 9" descr="资质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资质0004"/>
                    <pic:cNvPicPr>
                      <a:picLocks noChangeAspect="1"/>
                    </pic:cNvPicPr>
                  </pic:nvPicPr>
                  <pic:blipFill>
                    <a:blip r:embed="rId13"/>
                    <a:stretch>
                      <a:fillRect/>
                    </a:stretch>
                  </pic:blipFill>
                  <pic:spPr>
                    <a:xfrm>
                      <a:off x="0" y="0"/>
                      <a:ext cx="7547610" cy="10371455"/>
                    </a:xfrm>
                    <a:prstGeom prst="rect">
                      <a:avLst/>
                    </a:prstGeom>
                  </pic:spPr>
                </pic:pic>
              </a:graphicData>
            </a:graphic>
          </wp:anchor>
        </w:drawing>
      </w:r>
    </w:p>
    <w:p>
      <w:pPr>
        <w:pStyle w:val="18"/>
        <w:jc w:val="center"/>
        <w:outlineLvl w:val="0"/>
        <w:rPr>
          <w:rFonts w:hint="eastAsia" w:ascii="Times New Roman" w:hAnsi="Times New Roman" w:eastAsia="黑体" w:cs="Times New Roman"/>
          <w:snapToGrid w:val="0"/>
          <w:color w:val="auto"/>
          <w:sz w:val="30"/>
          <w:szCs w:val="30"/>
          <w:highlight w:val="none"/>
          <w:lang w:eastAsia="zh-CN"/>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黑体" w:cs="Times New Roman"/>
          <w:snapToGrid w:val="0"/>
          <w:color w:val="auto"/>
          <w:sz w:val="30"/>
          <w:szCs w:val="30"/>
          <w:highlight w:val="none"/>
          <w:lang w:eastAsia="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-914400</wp:posOffset>
            </wp:positionV>
            <wp:extent cx="7503795" cy="10310495"/>
            <wp:effectExtent l="0" t="0" r="1905" b="14605"/>
            <wp:wrapSquare wrapText="bothSides"/>
            <wp:docPr id="10" name="图片 10" descr="资质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资质0005"/>
                    <pic:cNvPicPr>
                      <a:picLocks noChangeAspect="1"/>
                    </pic:cNvPicPr>
                  </pic:nvPicPr>
                  <pic:blipFill>
                    <a:blip r:embed="rId14"/>
                    <a:stretch>
                      <a:fillRect/>
                    </a:stretch>
                  </pic:blipFill>
                  <pic:spPr>
                    <a:xfrm>
                      <a:off x="0" y="0"/>
                      <a:ext cx="7503795" cy="10310495"/>
                    </a:xfrm>
                    <a:prstGeom prst="rect">
                      <a:avLst/>
                    </a:prstGeom>
                  </pic:spPr>
                </pic:pic>
              </a:graphicData>
            </a:graphic>
          </wp:anchor>
        </w:drawing>
      </w:r>
    </w:p>
    <w:p>
      <w:pPr>
        <w:pStyle w:val="18"/>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p>
    <w:tbl>
      <w:tblPr>
        <w:tblStyle w:val="22"/>
        <w:tblW w:w="495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54"/>
        <w:gridCol w:w="1830"/>
        <w:gridCol w:w="1972"/>
        <w:gridCol w:w="25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86"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建设项目名称</w:t>
            </w:r>
          </w:p>
        </w:tc>
        <w:tc>
          <w:tcPr>
            <w:tcW w:w="3813" w:type="pct"/>
            <w:gridSpan w:val="3"/>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新乡市百合光电有限公司生产线技术改造项目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86"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项目代码</w:t>
            </w:r>
          </w:p>
        </w:tc>
        <w:tc>
          <w:tcPr>
            <w:tcW w:w="3813" w:type="pct"/>
            <w:gridSpan w:val="3"/>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2201-410721-04-02-924890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86"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建设单位联系人</w:t>
            </w:r>
          </w:p>
        </w:tc>
        <w:tc>
          <w:tcPr>
            <w:tcW w:w="1112"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马伟生</w:t>
            </w:r>
          </w:p>
        </w:tc>
        <w:tc>
          <w:tcPr>
            <w:tcW w:w="119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联系方式</w:t>
            </w:r>
          </w:p>
        </w:tc>
        <w:tc>
          <w:tcPr>
            <w:tcW w:w="1503"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156373238</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86"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建设地点</w:t>
            </w:r>
          </w:p>
        </w:tc>
        <w:tc>
          <w:tcPr>
            <w:tcW w:w="3813" w:type="pct"/>
            <w:gridSpan w:val="3"/>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新乡市新乡县新乡经济开发区玉龙路西段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86"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地理坐标</w:t>
            </w:r>
          </w:p>
        </w:tc>
        <w:tc>
          <w:tcPr>
            <w:tcW w:w="3813" w:type="pct"/>
            <w:gridSpan w:val="3"/>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u w:val="single"/>
              </w:rPr>
              <w:t>113</w:t>
            </w:r>
            <w:r>
              <w:rPr>
                <w:rFonts w:hint="default" w:ascii="Times New Roman" w:hAnsi="Times New Roman" w:cs="Times New Roman"/>
                <w:color w:val="auto"/>
                <w:sz w:val="21"/>
                <w:szCs w:val="21"/>
                <w:highlight w:val="none"/>
                <w:lang w:eastAsia="zh-CN"/>
              </w:rPr>
              <w:t>度</w:t>
            </w:r>
            <w:r>
              <w:rPr>
                <w:rFonts w:hint="default" w:ascii="Times New Roman" w:hAnsi="Times New Roman" w:cs="Times New Roman"/>
                <w:color w:val="auto"/>
                <w:sz w:val="21"/>
                <w:szCs w:val="21"/>
                <w:highlight w:val="none"/>
                <w:u w:val="single"/>
                <w:lang w:val="en-US" w:eastAsia="zh-CN"/>
              </w:rPr>
              <w:t>47</w:t>
            </w:r>
            <w:r>
              <w:rPr>
                <w:rFonts w:hint="default" w:ascii="Times New Roman" w:hAnsi="Times New Roman" w:cs="Times New Roman"/>
                <w:color w:val="auto"/>
                <w:sz w:val="21"/>
                <w:szCs w:val="21"/>
                <w:highlight w:val="none"/>
                <w:lang w:eastAsia="zh-CN"/>
              </w:rPr>
              <w:t>分</w:t>
            </w:r>
            <w:r>
              <w:rPr>
                <w:rFonts w:hint="default" w:ascii="Times New Roman" w:hAnsi="Times New Roman" w:cs="Times New Roman"/>
                <w:color w:val="auto"/>
                <w:sz w:val="21"/>
                <w:szCs w:val="21"/>
                <w:highlight w:val="none"/>
                <w:u w:val="single"/>
                <w:lang w:val="en-US" w:eastAsia="zh-CN"/>
              </w:rPr>
              <w:t>22.514</w:t>
            </w:r>
            <w:r>
              <w:rPr>
                <w:rFonts w:hint="default" w:ascii="Times New Roman" w:hAnsi="Times New Roman" w:cs="Times New Roman"/>
                <w:color w:val="auto"/>
                <w:sz w:val="21"/>
                <w:szCs w:val="21"/>
                <w:highlight w:val="none"/>
                <w:lang w:eastAsia="zh-CN"/>
              </w:rPr>
              <w:t>秒，</w:t>
            </w:r>
            <w:r>
              <w:rPr>
                <w:rFonts w:hint="default" w:ascii="Times New Roman" w:hAnsi="Times New Roman" w:cs="Times New Roman"/>
                <w:color w:val="auto"/>
                <w:sz w:val="21"/>
                <w:szCs w:val="21"/>
                <w:highlight w:val="none"/>
                <w:u w:val="single"/>
              </w:rPr>
              <w:t>35</w:t>
            </w:r>
            <w:r>
              <w:rPr>
                <w:rFonts w:hint="default" w:ascii="Times New Roman" w:hAnsi="Times New Roman" w:cs="Times New Roman"/>
                <w:color w:val="auto"/>
                <w:sz w:val="21"/>
                <w:szCs w:val="21"/>
                <w:highlight w:val="none"/>
                <w:lang w:eastAsia="zh-CN"/>
              </w:rPr>
              <w:t>度</w:t>
            </w:r>
            <w:r>
              <w:rPr>
                <w:rFonts w:hint="default" w:ascii="Times New Roman" w:hAnsi="Times New Roman" w:cs="Times New Roman"/>
                <w:color w:val="auto"/>
                <w:sz w:val="21"/>
                <w:szCs w:val="21"/>
                <w:highlight w:val="none"/>
                <w:u w:val="single"/>
                <w:lang w:val="en-US" w:eastAsia="zh-CN"/>
              </w:rPr>
              <w:t>12</w:t>
            </w:r>
            <w:r>
              <w:rPr>
                <w:rFonts w:hint="default" w:ascii="Times New Roman" w:hAnsi="Times New Roman" w:cs="Times New Roman"/>
                <w:color w:val="auto"/>
                <w:sz w:val="21"/>
                <w:szCs w:val="21"/>
                <w:highlight w:val="none"/>
                <w:lang w:eastAsia="zh-CN"/>
              </w:rPr>
              <w:t>分</w:t>
            </w:r>
            <w:r>
              <w:rPr>
                <w:rFonts w:hint="default" w:ascii="Times New Roman" w:hAnsi="Times New Roman" w:cs="Times New Roman"/>
                <w:color w:val="auto"/>
                <w:sz w:val="21"/>
                <w:szCs w:val="21"/>
                <w:highlight w:val="none"/>
                <w:u w:val="single"/>
                <w:lang w:val="en-US" w:eastAsia="zh-CN"/>
              </w:rPr>
              <w:t>5.753</w:t>
            </w:r>
            <w:r>
              <w:rPr>
                <w:rFonts w:hint="default" w:ascii="Times New Roman" w:hAnsi="Times New Roman" w:cs="Times New Roman"/>
                <w:color w:val="auto"/>
                <w:sz w:val="21"/>
                <w:szCs w:val="21"/>
                <w:highlight w:val="none"/>
                <w:lang w:eastAsia="zh-CN"/>
              </w:rPr>
              <w:t>秒</w:t>
            </w:r>
            <w:r>
              <w:rPr>
                <w:rFonts w:hint="default" w:ascii="Times New Roman" w:hAnsi="Times New Roman"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186"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国民经济</w:t>
            </w:r>
          </w:p>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行业类别</w:t>
            </w:r>
          </w:p>
        </w:tc>
        <w:tc>
          <w:tcPr>
            <w:tcW w:w="1112"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21"/>
                <w:szCs w:val="21"/>
                <w:highlight w:val="cyan"/>
                <w:lang w:val="en-US" w:eastAsia="zh-CN"/>
              </w:rPr>
            </w:pPr>
            <w:r>
              <w:rPr>
                <w:rFonts w:hint="eastAsia" w:cs="Times New Roman"/>
                <w:color w:val="auto"/>
                <w:sz w:val="21"/>
                <w:szCs w:val="21"/>
                <w:highlight w:val="none"/>
                <w:lang w:val="en-US" w:eastAsia="zh-CN"/>
              </w:rPr>
              <w:t>C3052光学玻璃制造</w:t>
            </w:r>
          </w:p>
        </w:tc>
        <w:tc>
          <w:tcPr>
            <w:tcW w:w="119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bookmarkStart w:id="0" w:name="_Hlk49843745"/>
            <w:r>
              <w:rPr>
                <w:rFonts w:hint="default" w:ascii="Times New Roman" w:hAnsi="Times New Roman" w:cs="Times New Roman"/>
                <w:color w:val="auto"/>
                <w:sz w:val="21"/>
                <w:szCs w:val="21"/>
                <w:highlight w:val="none"/>
              </w:rPr>
              <w:t>建设项目</w:t>
            </w:r>
          </w:p>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行业类别</w:t>
            </w:r>
            <w:bookmarkEnd w:id="0"/>
          </w:p>
        </w:tc>
        <w:tc>
          <w:tcPr>
            <w:tcW w:w="1503"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二十七、非金属矿物制品业</w:t>
            </w:r>
            <w:r>
              <w:rPr>
                <w:rFonts w:hint="eastAsia" w:cs="Times New Roman"/>
                <w:color w:val="auto"/>
                <w:sz w:val="21"/>
                <w:szCs w:val="21"/>
                <w:highlight w:val="none"/>
                <w:lang w:val="en-US" w:eastAsia="zh-CN"/>
              </w:rPr>
              <w:t>57</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玻璃制品制造</w:t>
            </w:r>
            <w:r>
              <w:rPr>
                <w:rFonts w:hint="default" w:ascii="Times New Roman" w:hAnsi="Times New Roman" w:cs="Times New Roman"/>
                <w:color w:val="auto"/>
                <w:sz w:val="21"/>
                <w:szCs w:val="21"/>
                <w:highlight w:val="none"/>
                <w:lang w:val="en-US" w:eastAsia="zh-CN"/>
              </w:rPr>
              <w:t>305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1186"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建设性质</w:t>
            </w:r>
          </w:p>
        </w:tc>
        <w:tc>
          <w:tcPr>
            <w:tcW w:w="1112" w:type="pct"/>
            <w:noWrap w:val="0"/>
            <w:vAlign w:val="center"/>
          </w:tcPr>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新建（迁建）</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改建</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zh-CN"/>
              </w:rPr>
              <w:sym w:font="Wingdings 2" w:char="00A3"/>
            </w:r>
            <w:r>
              <w:rPr>
                <w:rFonts w:hint="default" w:ascii="Times New Roman" w:hAnsi="Times New Roman" w:cs="Times New Roman"/>
                <w:color w:val="auto"/>
                <w:sz w:val="21"/>
                <w:szCs w:val="21"/>
                <w:highlight w:val="none"/>
              </w:rPr>
              <w:t>扩建</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技术改造</w:t>
            </w:r>
          </w:p>
        </w:tc>
        <w:tc>
          <w:tcPr>
            <w:tcW w:w="119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w:t>
            </w:r>
          </w:p>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申报情形</w:t>
            </w:r>
          </w:p>
        </w:tc>
        <w:tc>
          <w:tcPr>
            <w:tcW w:w="1503" w:type="pct"/>
            <w:noWrap w:val="0"/>
            <w:vAlign w:val="center"/>
          </w:tcPr>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lang w:val="zh-CN"/>
              </w:rPr>
              <w:sym w:font="Wingdings 2" w:char="0052"/>
            </w:r>
            <w:r>
              <w:rPr>
                <w:rFonts w:hint="default" w:ascii="Times New Roman" w:hAnsi="Times New Roman" w:cs="Times New Roman"/>
                <w:color w:val="auto"/>
                <w:kern w:val="21"/>
                <w:sz w:val="21"/>
                <w:szCs w:val="21"/>
                <w:highlight w:val="none"/>
              </w:rPr>
              <w:t>首次申报项目</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sym w:font="Wingdings 2" w:char="00A3"/>
            </w:r>
            <w:r>
              <w:rPr>
                <w:rFonts w:hint="default" w:ascii="Times New Roman" w:hAnsi="Times New Roman" w:cs="Times New Roman"/>
                <w:color w:val="auto"/>
                <w:kern w:val="21"/>
                <w:sz w:val="21"/>
                <w:szCs w:val="21"/>
                <w:highlight w:val="none"/>
              </w:rPr>
              <w:t>不予批准后再次申报项目</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sym w:font="Wingdings 2" w:char="00A3"/>
            </w:r>
            <w:r>
              <w:rPr>
                <w:rFonts w:hint="default" w:ascii="Times New Roman" w:hAnsi="Times New Roman" w:cs="Times New Roman"/>
                <w:color w:val="auto"/>
                <w:kern w:val="21"/>
                <w:sz w:val="21"/>
                <w:szCs w:val="21"/>
                <w:highlight w:val="none"/>
              </w:rPr>
              <w:t>超五年重新审核项目</w:t>
            </w:r>
          </w:p>
          <w:p>
            <w:pPr>
              <w:keepNext w:val="0"/>
              <w:keepLines w:val="0"/>
              <w:pageBreakBefore w:val="0"/>
              <w:widowControl w:val="0"/>
              <w:kinsoku/>
              <w:wordWrap/>
              <w:overflowPunct/>
              <w:topLinePunct w:val="0"/>
              <w:bidi w:val="0"/>
              <w:adjustRightInd/>
              <w:snapToGrid/>
              <w:spacing w:line="320" w:lineRule="exact"/>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21"/>
                <w:sz w:val="21"/>
                <w:szCs w:val="21"/>
                <w:highlight w:val="none"/>
              </w:rPr>
              <w:sym w:font="Wingdings 2" w:char="00A3"/>
            </w:r>
            <w:r>
              <w:rPr>
                <w:rFonts w:hint="default" w:ascii="Times New Roman" w:hAnsi="Times New Roman" w:cs="Times New Roman"/>
                <w:color w:val="auto"/>
                <w:kern w:val="21"/>
                <w:sz w:val="21"/>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186"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项目审批</w:t>
            </w:r>
          </w:p>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备案部门</w:t>
            </w:r>
          </w:p>
        </w:tc>
        <w:tc>
          <w:tcPr>
            <w:tcW w:w="1112"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河南新乡经济技术集聚区管理委员会</w:t>
            </w:r>
          </w:p>
        </w:tc>
        <w:tc>
          <w:tcPr>
            <w:tcW w:w="119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项目审批</w:t>
            </w:r>
          </w:p>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备案文号</w:t>
            </w:r>
          </w:p>
        </w:tc>
        <w:tc>
          <w:tcPr>
            <w:tcW w:w="1503"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2201-410721-04-02-924890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86"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总投资（万元）</w:t>
            </w:r>
          </w:p>
        </w:tc>
        <w:tc>
          <w:tcPr>
            <w:tcW w:w="1112"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1197"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环保投资（万元）</w:t>
            </w:r>
          </w:p>
        </w:tc>
        <w:tc>
          <w:tcPr>
            <w:tcW w:w="1503"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86"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环保投资占比（%）</w:t>
            </w:r>
          </w:p>
        </w:tc>
        <w:tc>
          <w:tcPr>
            <w:tcW w:w="1112"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1197"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施工工期</w:t>
            </w:r>
          </w:p>
        </w:tc>
        <w:tc>
          <w:tcPr>
            <w:tcW w:w="1503"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年</w:t>
            </w:r>
            <w:r>
              <w:rPr>
                <w:rFonts w:hint="eastAsia" w:cs="Times New Roman"/>
                <w:color w:val="auto"/>
                <w:sz w:val="21"/>
                <w:szCs w:val="21"/>
                <w:highlight w:val="none"/>
                <w:lang w:val="en-US" w:eastAsia="zh-CN"/>
              </w:rPr>
              <w:t>11</w:t>
            </w:r>
            <w:r>
              <w:rPr>
                <w:rFonts w:hint="default" w:ascii="Times New Roman" w:hAnsi="Times New Roman" w:cs="Times New Roman"/>
                <w:color w:val="auto"/>
                <w:sz w:val="21"/>
                <w:szCs w:val="21"/>
                <w:highlight w:val="none"/>
              </w:rPr>
              <w:t>月~202</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年</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86"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是否开工建设</w:t>
            </w:r>
          </w:p>
        </w:tc>
        <w:tc>
          <w:tcPr>
            <w:tcW w:w="1112" w:type="pct"/>
            <w:noWrap w:val="0"/>
            <w:vAlign w:val="center"/>
          </w:tcPr>
          <w:p>
            <w:pPr>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否</w:t>
            </w:r>
          </w:p>
          <w:p>
            <w:pPr>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是：</w:t>
            </w:r>
          </w:p>
        </w:tc>
        <w:tc>
          <w:tcPr>
            <w:tcW w:w="1197"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用地（用海）面积（m</w:t>
            </w:r>
            <w:r>
              <w:rPr>
                <w:rFonts w:hint="default" w:ascii="Times New Roman" w:hAnsi="Times New Roman" w:cs="Times New Roman"/>
                <w:color w:val="auto"/>
                <w:spacing w:val="-6"/>
                <w:sz w:val="21"/>
                <w:szCs w:val="21"/>
                <w:highlight w:val="none"/>
                <w:vertAlign w:val="superscript"/>
              </w:rPr>
              <w:t>2</w:t>
            </w:r>
            <w:r>
              <w:rPr>
                <w:rFonts w:hint="default" w:ascii="Times New Roman" w:hAnsi="Times New Roman" w:cs="Times New Roman"/>
                <w:color w:val="auto"/>
                <w:spacing w:val="-6"/>
                <w:sz w:val="21"/>
                <w:szCs w:val="21"/>
                <w:highlight w:val="none"/>
              </w:rPr>
              <w:t>）</w:t>
            </w:r>
          </w:p>
        </w:tc>
        <w:tc>
          <w:tcPr>
            <w:tcW w:w="1503"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86" w:type="pct"/>
            <w:noWrap w:val="0"/>
            <w:vAlign w:val="center"/>
          </w:tcPr>
          <w:p>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专项评价设置情况</w:t>
            </w:r>
          </w:p>
        </w:tc>
        <w:tc>
          <w:tcPr>
            <w:tcW w:w="3813" w:type="pct"/>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186" w:type="pct"/>
            <w:noWrap w:val="0"/>
            <w:vAlign w:val="center"/>
          </w:tcPr>
          <w:p>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规划情况</w:t>
            </w:r>
          </w:p>
        </w:tc>
        <w:tc>
          <w:tcPr>
            <w:tcW w:w="3813" w:type="pct"/>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186"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规划环境影响</w:t>
            </w:r>
          </w:p>
          <w:p>
            <w:pPr>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评价情况</w:t>
            </w:r>
          </w:p>
        </w:tc>
        <w:tc>
          <w:tcPr>
            <w:tcW w:w="3813" w:type="pct"/>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6" w:type="pct"/>
            <w:noWrap w:val="0"/>
            <w:vAlign w:val="center"/>
          </w:tcPr>
          <w:p>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规划及规划环境影响评价符合性分析</w:t>
            </w:r>
          </w:p>
        </w:tc>
        <w:tc>
          <w:tcPr>
            <w:tcW w:w="3813" w:type="pct"/>
            <w:gridSpan w:val="3"/>
            <w:noWrap w:val="0"/>
            <w:vAlign w:val="center"/>
          </w:tcPr>
          <w:p>
            <w:pPr>
              <w:spacing w:line="360" w:lineRule="auto"/>
              <w:ind w:firstLine="420" w:firstLineChars="200"/>
              <w:rPr>
                <w:color w:val="auto"/>
              </w:rPr>
            </w:pPr>
            <w:r>
              <w:rPr>
                <w:rFonts w:hint="default" w:ascii="Times New Roman" w:hAnsi="Times New Roman" w:cs="Times New Roman"/>
                <w:color w:val="auto"/>
                <w:kern w:val="0"/>
                <w:szCs w:val="21"/>
                <w:highlight w:val="none"/>
                <w:lang w:eastAsia="zh-CN"/>
              </w:rPr>
              <w:t>项目选址位于</w:t>
            </w:r>
            <w:r>
              <w:rPr>
                <w:rFonts w:hint="default" w:ascii="Times New Roman" w:hAnsi="Times New Roman" w:cs="Times New Roman"/>
                <w:color w:val="auto"/>
                <w:sz w:val="21"/>
                <w:szCs w:val="21"/>
                <w:highlight w:val="none"/>
                <w:lang w:val="en-US" w:eastAsia="zh-CN"/>
              </w:rPr>
              <w:t>新乡市新乡县新乡经济开发区玉龙路西段</w:t>
            </w:r>
            <w:r>
              <w:rPr>
                <w:rFonts w:hint="eastAsia" w:cs="Times New Roman"/>
                <w:color w:val="auto"/>
                <w:kern w:val="0"/>
                <w:szCs w:val="21"/>
                <w:highlight w:val="none"/>
                <w:lang w:eastAsia="zh-CN"/>
              </w:rPr>
              <w:t>，经查阅</w:t>
            </w:r>
            <w:r>
              <w:rPr>
                <w:rFonts w:hint="eastAsia"/>
                <w:color w:val="auto"/>
              </w:rPr>
              <w:t>《新乡经济技术产业集聚区总体发展规划（2017-2025）》相关内容，集聚区规划范围分为北、中、南三个区，北区位于新乡县中心城区的东北部，青龙路和新菏铁路之间位置；中区位于七里营镇区南环路南部和二支排的北部位置；南区位于七里营镇府庄村南、胡韦线两侧位置。总规划总面积为19.9 km</w:t>
            </w:r>
            <w:r>
              <w:rPr>
                <w:rFonts w:hint="eastAsia"/>
                <w:color w:val="auto"/>
                <w:vertAlign w:val="superscript"/>
              </w:rPr>
              <w:t>2</w:t>
            </w:r>
            <w:r>
              <w:rPr>
                <w:rFonts w:hint="eastAsia"/>
                <w:color w:val="auto"/>
              </w:rPr>
              <w:t>，具体规划范围如下：</w:t>
            </w:r>
          </w:p>
          <w:p>
            <w:pPr>
              <w:spacing w:line="360" w:lineRule="auto"/>
              <w:ind w:firstLine="420" w:firstLineChars="200"/>
              <w:rPr>
                <w:color w:val="auto"/>
              </w:rPr>
            </w:pPr>
            <w:r>
              <w:rPr>
                <w:rFonts w:hint="eastAsia"/>
                <w:color w:val="auto"/>
              </w:rPr>
              <w:t>北区规划范围——东至文化路，南以青龙路为界，西至消防大队西侧规划路（环城东路），北至新荷铁路南240m处规划路（化工一路），规划总面积3.71km</w:t>
            </w:r>
            <w:r>
              <w:rPr>
                <w:rFonts w:hint="eastAsia"/>
                <w:color w:val="auto"/>
                <w:vertAlign w:val="superscript"/>
              </w:rPr>
              <w:t>2</w:t>
            </w:r>
            <w:r>
              <w:rPr>
                <w:rFonts w:hint="eastAsia"/>
                <w:color w:val="auto"/>
              </w:rPr>
              <w:t>。</w:t>
            </w:r>
          </w:p>
          <w:p>
            <w:pPr>
              <w:spacing w:line="360" w:lineRule="auto"/>
              <w:ind w:firstLine="420" w:firstLineChars="200"/>
              <w:rPr>
                <w:color w:val="auto"/>
              </w:rPr>
            </w:pPr>
            <w:r>
              <w:rPr>
                <w:rFonts w:hint="eastAsia"/>
                <w:color w:val="auto"/>
              </w:rPr>
              <w:t>中区规划范围——东至阳光西路、中央大道、青年路，南至二支排，西至胡韦线、青年路，北至七里营南环路、金融大道，规划总面积13.03km</w:t>
            </w:r>
            <w:r>
              <w:rPr>
                <w:rFonts w:hint="eastAsia"/>
                <w:color w:val="auto"/>
                <w:vertAlign w:val="superscript"/>
              </w:rPr>
              <w:t>2</w:t>
            </w:r>
            <w:r>
              <w:rPr>
                <w:rFonts w:hint="eastAsia"/>
                <w:color w:val="auto"/>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color w:val="auto"/>
                <w:kern w:val="0"/>
                <w:szCs w:val="21"/>
              </w:rPr>
            </w:pPr>
            <w:r>
              <w:rPr>
                <w:rFonts w:hint="eastAsia"/>
                <w:color w:val="auto"/>
              </w:rPr>
              <w:t>南区规划范围——东至规划经五路，南至胡韦线南段，西至印海西路（规划经一路），北至府庄南路（规划纬二路），规划面积3.16km</w:t>
            </w:r>
            <w:r>
              <w:rPr>
                <w:rFonts w:hint="eastAsia"/>
                <w:color w:val="auto"/>
                <w:vertAlign w:val="superscript"/>
              </w:rPr>
              <w:t>2</w:t>
            </w:r>
            <w:r>
              <w:rPr>
                <w:rFonts w:hint="eastAsia"/>
                <w:color w:val="auto"/>
              </w:rPr>
              <w:t>。经对照，本项目不在新乡经济技术产业集聚区内</w:t>
            </w:r>
            <w:r>
              <w:rPr>
                <w:rFonts w:hint="eastAsia"/>
                <w:color w:val="auto"/>
                <w:lang w:eastAsia="zh-CN"/>
              </w:rPr>
              <w:t>，</w:t>
            </w:r>
            <w:r>
              <w:rPr>
                <w:rFonts w:hint="eastAsia" w:cs="Times New Roman"/>
                <w:color w:val="auto"/>
                <w:kern w:val="0"/>
                <w:szCs w:val="21"/>
                <w:highlight w:val="none"/>
                <w:lang w:eastAsia="zh-CN"/>
              </w:rPr>
              <w:t>经咨询相关部门，目前项目所在地由</w:t>
            </w:r>
            <w:r>
              <w:rPr>
                <w:rFonts w:hint="default" w:ascii="Times New Roman" w:hAnsi="Times New Roman" w:cs="Times New Roman"/>
                <w:color w:val="auto"/>
                <w:sz w:val="21"/>
                <w:szCs w:val="21"/>
                <w:highlight w:val="none"/>
                <w:lang w:val="en-US" w:eastAsia="zh-CN"/>
              </w:rPr>
              <w:t>河南新乡经济技术集聚区管理委员会</w:t>
            </w:r>
            <w:r>
              <w:rPr>
                <w:rFonts w:hint="eastAsia" w:cs="Times New Roman"/>
                <w:color w:val="auto"/>
                <w:sz w:val="21"/>
                <w:szCs w:val="21"/>
                <w:highlight w:val="none"/>
                <w:lang w:val="en-US" w:eastAsia="zh-CN"/>
              </w:rPr>
              <w:t>代为管理，因此本项目由</w:t>
            </w:r>
            <w:r>
              <w:rPr>
                <w:rFonts w:hint="default" w:ascii="Times New Roman" w:hAnsi="Times New Roman" w:cs="Times New Roman"/>
                <w:color w:val="auto"/>
                <w:sz w:val="21"/>
                <w:szCs w:val="21"/>
                <w:highlight w:val="none"/>
                <w:lang w:val="en-US" w:eastAsia="zh-CN"/>
              </w:rPr>
              <w:t>新乡经济技术集聚区管理委员会</w:t>
            </w:r>
            <w:r>
              <w:rPr>
                <w:rFonts w:hint="eastAsia" w:cs="Times New Roman"/>
                <w:color w:val="auto"/>
                <w:sz w:val="21"/>
                <w:szCs w:val="21"/>
                <w:highlight w:val="none"/>
                <w:lang w:val="en-US" w:eastAsia="zh-CN"/>
              </w:rPr>
              <w:t>进行立项备案。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lang w:eastAsia="zh-CN"/>
              </w:rPr>
            </w:pPr>
            <w:r>
              <w:rPr>
                <w:color w:val="auto"/>
                <w:kern w:val="0"/>
                <w:szCs w:val="21"/>
              </w:rPr>
              <w:t>对照《河南省新乡县城乡总体规划（2012-2030）</w:t>
            </w:r>
            <w:r>
              <w:rPr>
                <w:rFonts w:hint="eastAsia"/>
                <w:color w:val="auto"/>
                <w:kern w:val="0"/>
                <w:szCs w:val="21"/>
              </w:rPr>
              <w:t>—</w:t>
            </w:r>
            <w:r>
              <w:rPr>
                <w:color w:val="auto"/>
                <w:kern w:val="0"/>
                <w:szCs w:val="21"/>
              </w:rPr>
              <w:t>中心城区土地利用规划图》（详见附图</w:t>
            </w:r>
            <w:r>
              <w:rPr>
                <w:rFonts w:hint="eastAsia"/>
                <w:color w:val="auto"/>
                <w:kern w:val="0"/>
                <w:szCs w:val="21"/>
              </w:rPr>
              <w:t>五</w:t>
            </w:r>
            <w:r>
              <w:rPr>
                <w:color w:val="auto"/>
                <w:kern w:val="0"/>
                <w:szCs w:val="21"/>
              </w:rPr>
              <w:t>），项目用地属于工业用地，符新乡县土地利用规划要求。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86" w:type="pct"/>
            <w:noWrap w:val="0"/>
            <w:vAlign w:val="center"/>
          </w:tcPr>
          <w:p>
            <w:pPr>
              <w:autoSpaceDE w:val="0"/>
              <w:autoSpaceDN w:val="0"/>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其他符合性分析</w:t>
            </w:r>
          </w:p>
        </w:tc>
        <w:tc>
          <w:tcPr>
            <w:tcW w:w="381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项目与备案的相符性分析</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eastAsia" w:cs="Times New Roman"/>
                <w:color w:val="auto"/>
                <w:highlight w:val="none"/>
                <w:lang w:eastAsia="zh-CN"/>
              </w:rPr>
              <w:t>位于新乡市新乡县新乡经济开发区玉龙路西段，经查阅《新乡经济技术产业集聚区总体发展规划（2015-2025）环境影响评价补充分析报告》，项目不在新乡经济技术产业集聚区内，但项目所在地目前仍由</w:t>
            </w:r>
            <w:r>
              <w:rPr>
                <w:rFonts w:hint="default" w:ascii="Times New Roman" w:hAnsi="Times New Roman" w:cs="Times New Roman"/>
                <w:color w:val="auto"/>
                <w:highlight w:val="none"/>
                <w:lang w:eastAsia="zh-CN"/>
              </w:rPr>
              <w:t>河南新乡经济技术集聚区</w:t>
            </w:r>
            <w:r>
              <w:rPr>
                <w:rFonts w:hint="eastAsia" w:cs="Times New Roman"/>
                <w:color w:val="auto"/>
                <w:highlight w:val="none"/>
                <w:lang w:eastAsia="zh-CN"/>
              </w:rPr>
              <w:t>管理委员会管理，因此本项目</w:t>
            </w:r>
            <w:r>
              <w:rPr>
                <w:rFonts w:hint="default" w:ascii="Times New Roman" w:hAnsi="Times New Roman" w:cs="Times New Roman"/>
                <w:color w:val="auto"/>
                <w:highlight w:val="none"/>
              </w:rPr>
              <w:t>由</w:t>
            </w:r>
            <w:r>
              <w:rPr>
                <w:rFonts w:hint="default" w:ascii="Times New Roman" w:hAnsi="Times New Roman" w:cs="Times New Roman"/>
                <w:color w:val="auto"/>
                <w:highlight w:val="none"/>
                <w:lang w:eastAsia="zh-CN"/>
              </w:rPr>
              <w:t>河南新乡经济技术集聚区管理委员会</w:t>
            </w:r>
            <w:r>
              <w:rPr>
                <w:rFonts w:hint="eastAsia" w:cs="Times New Roman"/>
                <w:color w:val="auto"/>
                <w:highlight w:val="none"/>
                <w:lang w:eastAsia="zh-CN"/>
              </w:rPr>
              <w:t>进行</w:t>
            </w:r>
            <w:r>
              <w:rPr>
                <w:rFonts w:hint="default" w:ascii="Times New Roman" w:hAnsi="Times New Roman" w:cs="Times New Roman"/>
                <w:color w:val="auto"/>
                <w:highlight w:val="none"/>
              </w:rPr>
              <w:t>备案，项目代码为</w:t>
            </w:r>
            <w:r>
              <w:rPr>
                <w:rFonts w:hint="default" w:ascii="Times New Roman" w:hAnsi="Times New Roman" w:cs="Times New Roman"/>
                <w:color w:val="auto"/>
                <w:highlight w:val="none"/>
                <w:lang w:eastAsia="zh-CN"/>
              </w:rPr>
              <w:t>2201-410721-04-02-924890</w:t>
            </w:r>
            <w:r>
              <w:rPr>
                <w:rFonts w:hint="default" w:ascii="Times New Roman" w:hAnsi="Times New Roman" w:cs="Times New Roman"/>
                <w:color w:val="auto"/>
                <w:highlight w:val="none"/>
              </w:rPr>
              <w:t>，项目与备案的详细对比如下：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项目备案相符性分析一览表</w:t>
            </w:r>
          </w:p>
          <w:tbl>
            <w:tblPr>
              <w:tblStyle w:val="22"/>
              <w:tblW w:w="4999" w:type="pct"/>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53"/>
              <w:gridCol w:w="2337"/>
              <w:gridCol w:w="2337"/>
              <w:gridCol w:w="754"/>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9" w:type="pct"/>
                  <w:noWrap w:val="0"/>
                  <w:vAlign w:val="center"/>
                </w:tcPr>
                <w:p>
                  <w:pPr>
                    <w:pStyle w:val="33"/>
                    <w:bidi w:val="0"/>
                    <w:rPr>
                      <w:rFonts w:hint="default"/>
                      <w:color w:val="auto"/>
                    </w:rPr>
                  </w:pPr>
                  <w:r>
                    <w:rPr>
                      <w:rFonts w:hint="default"/>
                      <w:color w:val="auto"/>
                    </w:rPr>
                    <w:t>名称</w:t>
                  </w:r>
                </w:p>
              </w:tc>
              <w:tc>
                <w:tcPr>
                  <w:tcW w:w="1890" w:type="pct"/>
                  <w:noWrap w:val="0"/>
                  <w:vAlign w:val="center"/>
                </w:tcPr>
                <w:p>
                  <w:pPr>
                    <w:pStyle w:val="33"/>
                    <w:bidi w:val="0"/>
                    <w:rPr>
                      <w:rFonts w:hint="default"/>
                      <w:color w:val="auto"/>
                    </w:rPr>
                  </w:pPr>
                  <w:r>
                    <w:rPr>
                      <w:rFonts w:hint="default"/>
                      <w:color w:val="auto"/>
                    </w:rPr>
                    <w:t>项目备案</w:t>
                  </w:r>
                </w:p>
              </w:tc>
              <w:tc>
                <w:tcPr>
                  <w:tcW w:w="1890" w:type="pct"/>
                  <w:noWrap w:val="0"/>
                  <w:vAlign w:val="center"/>
                </w:tcPr>
                <w:p>
                  <w:pPr>
                    <w:pStyle w:val="33"/>
                    <w:bidi w:val="0"/>
                    <w:rPr>
                      <w:rFonts w:hint="default"/>
                      <w:color w:val="auto"/>
                    </w:rPr>
                  </w:pPr>
                  <w:r>
                    <w:rPr>
                      <w:rFonts w:hint="default"/>
                      <w:color w:val="auto"/>
                      <w:lang w:eastAsia="zh-CN"/>
                    </w:rPr>
                    <w:t>本</w:t>
                  </w:r>
                  <w:r>
                    <w:rPr>
                      <w:rFonts w:hint="default"/>
                      <w:color w:val="auto"/>
                    </w:rPr>
                    <w:t>项目基本情况</w:t>
                  </w:r>
                </w:p>
              </w:tc>
              <w:tc>
                <w:tcPr>
                  <w:tcW w:w="609" w:type="pct"/>
                  <w:noWrap w:val="0"/>
                  <w:vAlign w:val="center"/>
                </w:tcPr>
                <w:p>
                  <w:pPr>
                    <w:pStyle w:val="33"/>
                    <w:bidi w:val="0"/>
                    <w:rPr>
                      <w:rFonts w:hint="default"/>
                      <w:color w:val="auto"/>
                    </w:rPr>
                  </w:pPr>
                  <w:r>
                    <w:rPr>
                      <w:rFonts w:hint="default"/>
                      <w:color w:val="auto"/>
                    </w:rPr>
                    <w:t>相符性</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9" w:type="pct"/>
                  <w:noWrap w:val="0"/>
                  <w:vAlign w:val="center"/>
                </w:tcPr>
                <w:p>
                  <w:pPr>
                    <w:pStyle w:val="33"/>
                    <w:bidi w:val="0"/>
                    <w:rPr>
                      <w:rFonts w:hint="default"/>
                      <w:color w:val="auto"/>
                    </w:rPr>
                  </w:pPr>
                  <w:r>
                    <w:rPr>
                      <w:rFonts w:hint="default"/>
                      <w:color w:val="auto"/>
                    </w:rPr>
                    <w:t>建设</w:t>
                  </w:r>
                </w:p>
                <w:p>
                  <w:pPr>
                    <w:pStyle w:val="33"/>
                    <w:bidi w:val="0"/>
                    <w:rPr>
                      <w:rFonts w:hint="default"/>
                      <w:color w:val="auto"/>
                    </w:rPr>
                  </w:pPr>
                  <w:r>
                    <w:rPr>
                      <w:rFonts w:hint="default"/>
                      <w:color w:val="auto"/>
                    </w:rPr>
                    <w:t>单位</w:t>
                  </w:r>
                </w:p>
              </w:tc>
              <w:tc>
                <w:tcPr>
                  <w:tcW w:w="1890" w:type="pct"/>
                  <w:noWrap w:val="0"/>
                  <w:vAlign w:val="center"/>
                </w:tcPr>
                <w:p>
                  <w:pPr>
                    <w:pStyle w:val="33"/>
                    <w:bidi w:val="0"/>
                    <w:rPr>
                      <w:rFonts w:hint="default"/>
                      <w:color w:val="auto"/>
                      <w:lang w:eastAsia="zh-CN"/>
                    </w:rPr>
                  </w:pPr>
                  <w:r>
                    <w:rPr>
                      <w:rFonts w:hint="default"/>
                      <w:color w:val="auto"/>
                      <w:lang w:eastAsia="zh-CN"/>
                    </w:rPr>
                    <w:t>新乡市百合光电有限公司</w:t>
                  </w:r>
                </w:p>
              </w:tc>
              <w:tc>
                <w:tcPr>
                  <w:tcW w:w="1890" w:type="pct"/>
                  <w:noWrap w:val="0"/>
                  <w:vAlign w:val="center"/>
                </w:tcPr>
                <w:p>
                  <w:pPr>
                    <w:pStyle w:val="33"/>
                    <w:bidi w:val="0"/>
                    <w:rPr>
                      <w:rFonts w:hint="default"/>
                      <w:color w:val="auto"/>
                    </w:rPr>
                  </w:pPr>
                  <w:r>
                    <w:rPr>
                      <w:rFonts w:hint="default"/>
                      <w:color w:val="auto"/>
                      <w:lang w:eastAsia="zh-CN"/>
                    </w:rPr>
                    <w:t>新乡市百合光电有限公司</w:t>
                  </w:r>
                </w:p>
              </w:tc>
              <w:tc>
                <w:tcPr>
                  <w:tcW w:w="609" w:type="pct"/>
                  <w:noWrap w:val="0"/>
                  <w:vAlign w:val="center"/>
                </w:tcPr>
                <w:p>
                  <w:pPr>
                    <w:pStyle w:val="33"/>
                    <w:bidi w:val="0"/>
                    <w:rPr>
                      <w:rFonts w:hint="default"/>
                      <w:color w:val="auto"/>
                    </w:rPr>
                  </w:pPr>
                  <w:r>
                    <w:rPr>
                      <w:rFonts w:hint="default"/>
                      <w:color w:val="auto"/>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9" w:type="pct"/>
                  <w:noWrap w:val="0"/>
                  <w:vAlign w:val="center"/>
                </w:tcPr>
                <w:p>
                  <w:pPr>
                    <w:pStyle w:val="33"/>
                    <w:bidi w:val="0"/>
                    <w:rPr>
                      <w:rFonts w:hint="default"/>
                      <w:color w:val="auto"/>
                      <w:lang w:eastAsia="zh-CN"/>
                    </w:rPr>
                  </w:pPr>
                  <w:r>
                    <w:rPr>
                      <w:rFonts w:hint="default"/>
                      <w:color w:val="auto"/>
                      <w:lang w:eastAsia="zh-CN"/>
                    </w:rPr>
                    <w:t>建设</w:t>
                  </w:r>
                </w:p>
                <w:p>
                  <w:pPr>
                    <w:pStyle w:val="33"/>
                    <w:bidi w:val="0"/>
                    <w:rPr>
                      <w:rFonts w:hint="default"/>
                      <w:color w:val="auto"/>
                      <w:lang w:eastAsia="zh-CN"/>
                    </w:rPr>
                  </w:pPr>
                  <w:r>
                    <w:rPr>
                      <w:rFonts w:hint="default"/>
                      <w:color w:val="auto"/>
                      <w:lang w:eastAsia="zh-CN"/>
                    </w:rPr>
                    <w:t>项目</w:t>
                  </w:r>
                </w:p>
              </w:tc>
              <w:tc>
                <w:tcPr>
                  <w:tcW w:w="1890" w:type="pct"/>
                  <w:noWrap w:val="0"/>
                  <w:vAlign w:val="center"/>
                </w:tcPr>
                <w:p>
                  <w:pPr>
                    <w:pStyle w:val="33"/>
                    <w:bidi w:val="0"/>
                    <w:rPr>
                      <w:rFonts w:hint="default"/>
                      <w:color w:val="auto"/>
                      <w:lang w:val="en-US" w:eastAsia="zh-CN"/>
                    </w:rPr>
                  </w:pPr>
                  <w:r>
                    <w:rPr>
                      <w:rFonts w:hint="default"/>
                      <w:color w:val="auto"/>
                      <w:lang w:val="en-US" w:eastAsia="zh-CN"/>
                    </w:rPr>
                    <w:t>新乡市百合光电有限公司生产线技术改造项目</w:t>
                  </w:r>
                </w:p>
              </w:tc>
              <w:tc>
                <w:tcPr>
                  <w:tcW w:w="1890" w:type="pct"/>
                  <w:noWrap w:val="0"/>
                  <w:vAlign w:val="center"/>
                </w:tcPr>
                <w:p>
                  <w:pPr>
                    <w:pStyle w:val="33"/>
                    <w:bidi w:val="0"/>
                    <w:rPr>
                      <w:rFonts w:hint="default"/>
                      <w:color w:val="auto"/>
                    </w:rPr>
                  </w:pPr>
                  <w:r>
                    <w:rPr>
                      <w:rFonts w:hint="default"/>
                      <w:color w:val="auto"/>
                      <w:lang w:val="en-US" w:eastAsia="zh-CN"/>
                    </w:rPr>
                    <w:t>新乡市百合光电有限公司生产线技术改造项目</w:t>
                  </w:r>
                </w:p>
              </w:tc>
              <w:tc>
                <w:tcPr>
                  <w:tcW w:w="609" w:type="pct"/>
                  <w:noWrap w:val="0"/>
                  <w:vAlign w:val="center"/>
                </w:tcPr>
                <w:p>
                  <w:pPr>
                    <w:pStyle w:val="33"/>
                    <w:bidi w:val="0"/>
                    <w:rPr>
                      <w:rFonts w:hint="default"/>
                      <w:color w:val="auto"/>
                    </w:rPr>
                  </w:pPr>
                  <w:r>
                    <w:rPr>
                      <w:rFonts w:hint="default"/>
                      <w:color w:val="auto"/>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9" w:type="pct"/>
                  <w:noWrap w:val="0"/>
                  <w:vAlign w:val="center"/>
                </w:tcPr>
                <w:p>
                  <w:pPr>
                    <w:pStyle w:val="33"/>
                    <w:bidi w:val="0"/>
                    <w:rPr>
                      <w:rFonts w:hint="default"/>
                      <w:color w:val="auto"/>
                    </w:rPr>
                  </w:pPr>
                  <w:r>
                    <w:rPr>
                      <w:rFonts w:hint="default"/>
                      <w:color w:val="auto"/>
                    </w:rPr>
                    <w:t>建设</w:t>
                  </w:r>
                </w:p>
                <w:p>
                  <w:pPr>
                    <w:pStyle w:val="33"/>
                    <w:bidi w:val="0"/>
                    <w:rPr>
                      <w:rFonts w:hint="default"/>
                      <w:color w:val="auto"/>
                    </w:rPr>
                  </w:pPr>
                  <w:r>
                    <w:rPr>
                      <w:rFonts w:hint="default"/>
                      <w:color w:val="auto"/>
                    </w:rPr>
                    <w:t>地点</w:t>
                  </w:r>
                </w:p>
              </w:tc>
              <w:tc>
                <w:tcPr>
                  <w:tcW w:w="1890" w:type="pct"/>
                  <w:noWrap w:val="0"/>
                  <w:vAlign w:val="center"/>
                </w:tcPr>
                <w:p>
                  <w:pPr>
                    <w:pStyle w:val="33"/>
                    <w:bidi w:val="0"/>
                    <w:rPr>
                      <w:rFonts w:hint="default"/>
                      <w:color w:val="auto"/>
                    </w:rPr>
                  </w:pPr>
                  <w:r>
                    <w:rPr>
                      <w:rFonts w:hint="default"/>
                      <w:color w:val="auto"/>
                    </w:rPr>
                    <w:t>新乡市新乡县新乡经济开发区玉龙路西段</w:t>
                  </w:r>
                </w:p>
              </w:tc>
              <w:tc>
                <w:tcPr>
                  <w:tcW w:w="1890" w:type="pct"/>
                  <w:noWrap w:val="0"/>
                  <w:vAlign w:val="center"/>
                </w:tcPr>
                <w:p>
                  <w:pPr>
                    <w:pStyle w:val="33"/>
                    <w:bidi w:val="0"/>
                    <w:rPr>
                      <w:rFonts w:hint="default"/>
                      <w:color w:val="auto"/>
                    </w:rPr>
                  </w:pPr>
                  <w:r>
                    <w:rPr>
                      <w:rFonts w:hint="default"/>
                      <w:color w:val="auto"/>
                    </w:rPr>
                    <w:t>新乡市新乡县新乡经济开发区玉龙路西段</w:t>
                  </w:r>
                </w:p>
              </w:tc>
              <w:tc>
                <w:tcPr>
                  <w:tcW w:w="609" w:type="pct"/>
                  <w:noWrap w:val="0"/>
                  <w:vAlign w:val="center"/>
                </w:tcPr>
                <w:p>
                  <w:pPr>
                    <w:pStyle w:val="33"/>
                    <w:bidi w:val="0"/>
                    <w:rPr>
                      <w:rFonts w:hint="default"/>
                      <w:color w:val="auto"/>
                    </w:rPr>
                  </w:pPr>
                  <w:r>
                    <w:rPr>
                      <w:rFonts w:hint="default"/>
                      <w:color w:val="auto"/>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9" w:type="pct"/>
                  <w:noWrap w:val="0"/>
                  <w:vAlign w:val="center"/>
                </w:tcPr>
                <w:p>
                  <w:pPr>
                    <w:pStyle w:val="33"/>
                    <w:bidi w:val="0"/>
                    <w:rPr>
                      <w:rFonts w:hint="default"/>
                      <w:color w:val="auto"/>
                      <w:lang w:eastAsia="zh-CN"/>
                    </w:rPr>
                  </w:pPr>
                  <w:r>
                    <w:rPr>
                      <w:rFonts w:hint="default"/>
                      <w:color w:val="auto"/>
                      <w:lang w:eastAsia="zh-CN"/>
                    </w:rPr>
                    <w:t>建设</w:t>
                  </w:r>
                </w:p>
                <w:p>
                  <w:pPr>
                    <w:pStyle w:val="33"/>
                    <w:bidi w:val="0"/>
                    <w:rPr>
                      <w:rFonts w:hint="default"/>
                      <w:color w:val="auto"/>
                      <w:lang w:eastAsia="zh-CN"/>
                    </w:rPr>
                  </w:pPr>
                  <w:r>
                    <w:rPr>
                      <w:rFonts w:hint="default"/>
                      <w:color w:val="auto"/>
                      <w:lang w:eastAsia="zh-CN"/>
                    </w:rPr>
                    <w:t>内容</w:t>
                  </w:r>
                </w:p>
              </w:tc>
              <w:tc>
                <w:tcPr>
                  <w:tcW w:w="1890" w:type="pct"/>
                  <w:noWrap w:val="0"/>
                  <w:vAlign w:val="center"/>
                </w:tcPr>
                <w:p>
                  <w:pPr>
                    <w:pStyle w:val="33"/>
                    <w:bidi w:val="0"/>
                    <w:rPr>
                      <w:rFonts w:hint="default"/>
                      <w:color w:val="auto"/>
                      <w:lang w:eastAsia="zh-CN"/>
                    </w:rPr>
                  </w:pPr>
                  <w:r>
                    <w:rPr>
                      <w:rFonts w:hint="default"/>
                      <w:color w:val="auto"/>
                      <w:lang w:eastAsia="zh-CN"/>
                    </w:rPr>
                    <w:t>对现有生产线进行技术升级改造，主要升级改造内容包括增加和替换部分自动化程度高、加工精度更准的先进性设备，同时对应调整部分生产环节制作工序</w:t>
                  </w:r>
                </w:p>
              </w:tc>
              <w:tc>
                <w:tcPr>
                  <w:tcW w:w="1890" w:type="pct"/>
                  <w:noWrap w:val="0"/>
                  <w:vAlign w:val="center"/>
                </w:tcPr>
                <w:p>
                  <w:pPr>
                    <w:pStyle w:val="33"/>
                    <w:bidi w:val="0"/>
                    <w:rPr>
                      <w:rFonts w:hint="default"/>
                      <w:color w:val="auto"/>
                      <w:lang w:eastAsia="zh-CN"/>
                    </w:rPr>
                  </w:pPr>
                  <w:r>
                    <w:rPr>
                      <w:rFonts w:hint="default"/>
                      <w:color w:val="auto"/>
                      <w:lang w:eastAsia="zh-CN"/>
                    </w:rPr>
                    <w:t>对现有生产线进行技术升级改造，主要升级改造内容包括增加和替换部分自动化程度高、加工精度更准的先进性设备，同时对应调整部分生产环节制作工序</w:t>
                  </w:r>
                </w:p>
              </w:tc>
              <w:tc>
                <w:tcPr>
                  <w:tcW w:w="609" w:type="pct"/>
                  <w:noWrap w:val="0"/>
                  <w:vAlign w:val="center"/>
                </w:tcPr>
                <w:p>
                  <w:pPr>
                    <w:pStyle w:val="33"/>
                    <w:bidi w:val="0"/>
                    <w:rPr>
                      <w:rFonts w:hint="default"/>
                      <w:color w:val="auto"/>
                      <w:lang w:eastAsia="zh-CN"/>
                    </w:rPr>
                  </w:pPr>
                  <w:r>
                    <w:rPr>
                      <w:rFonts w:hint="default"/>
                      <w:color w:val="auto"/>
                      <w:lang w:eastAsia="zh-CN"/>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9" w:type="pct"/>
                  <w:noWrap w:val="0"/>
                  <w:vAlign w:val="center"/>
                </w:tcPr>
                <w:p>
                  <w:pPr>
                    <w:pStyle w:val="33"/>
                    <w:bidi w:val="0"/>
                    <w:rPr>
                      <w:rFonts w:hint="default"/>
                      <w:color w:val="auto"/>
                      <w:lang w:eastAsia="zh-CN"/>
                    </w:rPr>
                  </w:pPr>
                  <w:r>
                    <w:rPr>
                      <w:rFonts w:hint="default"/>
                      <w:color w:val="auto"/>
                      <w:lang w:eastAsia="zh-CN"/>
                    </w:rPr>
                    <w:t>生产</w:t>
                  </w:r>
                </w:p>
                <w:p>
                  <w:pPr>
                    <w:pStyle w:val="33"/>
                    <w:bidi w:val="0"/>
                    <w:rPr>
                      <w:rFonts w:hint="default"/>
                      <w:color w:val="auto"/>
                      <w:lang w:eastAsia="zh-CN"/>
                    </w:rPr>
                  </w:pPr>
                  <w:r>
                    <w:rPr>
                      <w:rFonts w:hint="default"/>
                      <w:color w:val="auto"/>
                      <w:lang w:eastAsia="zh-CN"/>
                    </w:rPr>
                    <w:t>工艺</w:t>
                  </w:r>
                </w:p>
              </w:tc>
              <w:tc>
                <w:tcPr>
                  <w:tcW w:w="1890" w:type="pct"/>
                  <w:noWrap w:val="0"/>
                  <w:vAlign w:val="center"/>
                </w:tcPr>
                <w:p>
                  <w:pPr>
                    <w:pStyle w:val="33"/>
                    <w:bidi w:val="0"/>
                    <w:rPr>
                      <w:rFonts w:hint="default"/>
                      <w:color w:val="auto"/>
                      <w:lang w:val="en-US" w:eastAsia="zh-CN"/>
                    </w:rPr>
                  </w:pPr>
                  <w:r>
                    <w:rPr>
                      <w:rFonts w:hint="default"/>
                      <w:color w:val="auto"/>
                      <w:lang w:val="en-US" w:eastAsia="zh-CN"/>
                    </w:rPr>
                    <w:t>下料-磨边（根据产品要求）-热弯（仅曲面镜需要）-粗磨-精磨-抛光-清洗-镀膜-成品-包装</w:t>
                  </w:r>
                </w:p>
              </w:tc>
              <w:tc>
                <w:tcPr>
                  <w:tcW w:w="1890" w:type="pct"/>
                  <w:noWrap w:val="0"/>
                  <w:vAlign w:val="center"/>
                </w:tcPr>
                <w:p>
                  <w:pPr>
                    <w:pStyle w:val="33"/>
                    <w:bidi w:val="0"/>
                    <w:rPr>
                      <w:rFonts w:hint="default"/>
                      <w:color w:val="auto"/>
                      <w:lang w:val="en-US" w:eastAsia="zh-CN"/>
                    </w:rPr>
                  </w:pPr>
                  <w:r>
                    <w:rPr>
                      <w:rFonts w:hint="default"/>
                      <w:color w:val="auto"/>
                      <w:lang w:val="en-US" w:eastAsia="zh-CN"/>
                    </w:rPr>
                    <w:t>下料-磨边（根据产品要求）-热弯（仅曲面镜需要）-粗磨-精磨-抛光-清洗-镀膜-成品-包装</w:t>
                  </w:r>
                </w:p>
              </w:tc>
              <w:tc>
                <w:tcPr>
                  <w:tcW w:w="609" w:type="pct"/>
                  <w:noWrap w:val="0"/>
                  <w:vAlign w:val="center"/>
                </w:tcPr>
                <w:p>
                  <w:pPr>
                    <w:pStyle w:val="33"/>
                    <w:bidi w:val="0"/>
                    <w:rPr>
                      <w:rFonts w:hint="default"/>
                      <w:color w:val="auto"/>
                      <w:lang w:eastAsia="zh-CN"/>
                    </w:rPr>
                  </w:pPr>
                  <w:r>
                    <w:rPr>
                      <w:rFonts w:hint="default"/>
                      <w:color w:val="auto"/>
                      <w:lang w:eastAsia="zh-CN"/>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9" w:type="pct"/>
                  <w:noWrap w:val="0"/>
                  <w:vAlign w:val="center"/>
                </w:tcPr>
                <w:p>
                  <w:pPr>
                    <w:pStyle w:val="33"/>
                    <w:bidi w:val="0"/>
                    <w:rPr>
                      <w:rFonts w:hint="default"/>
                      <w:color w:val="auto"/>
                      <w:lang w:eastAsia="zh-CN"/>
                    </w:rPr>
                  </w:pPr>
                  <w:r>
                    <w:rPr>
                      <w:rFonts w:hint="default"/>
                      <w:color w:val="auto"/>
                      <w:lang w:eastAsia="zh-CN"/>
                    </w:rPr>
                    <w:t>主要</w:t>
                  </w:r>
                </w:p>
                <w:p>
                  <w:pPr>
                    <w:pStyle w:val="33"/>
                    <w:bidi w:val="0"/>
                    <w:rPr>
                      <w:rFonts w:hint="default"/>
                      <w:color w:val="auto"/>
                      <w:lang w:eastAsia="zh-CN"/>
                    </w:rPr>
                  </w:pPr>
                  <w:r>
                    <w:rPr>
                      <w:rFonts w:hint="default"/>
                      <w:color w:val="auto"/>
                      <w:lang w:eastAsia="zh-CN"/>
                    </w:rPr>
                    <w:t>设备</w:t>
                  </w:r>
                </w:p>
              </w:tc>
              <w:tc>
                <w:tcPr>
                  <w:tcW w:w="1890" w:type="pct"/>
                  <w:noWrap w:val="0"/>
                  <w:vAlign w:val="center"/>
                </w:tcPr>
                <w:p>
                  <w:pPr>
                    <w:pStyle w:val="33"/>
                    <w:bidi w:val="0"/>
                    <w:rPr>
                      <w:rFonts w:hint="default"/>
                      <w:color w:val="auto"/>
                      <w:lang w:val="en-US" w:eastAsia="zh-CN"/>
                    </w:rPr>
                  </w:pPr>
                  <w:r>
                    <w:rPr>
                      <w:rFonts w:hint="default"/>
                      <w:color w:val="auto"/>
                      <w:lang w:val="en-US" w:eastAsia="zh-CN"/>
                    </w:rPr>
                    <w:t>切割机、数控加工中心、热弯机、抛光机、镀膜机、超声波清洗机</w:t>
                  </w:r>
                </w:p>
              </w:tc>
              <w:tc>
                <w:tcPr>
                  <w:tcW w:w="1890" w:type="pct"/>
                  <w:noWrap w:val="0"/>
                  <w:vAlign w:val="center"/>
                </w:tcPr>
                <w:p>
                  <w:pPr>
                    <w:pStyle w:val="33"/>
                    <w:bidi w:val="0"/>
                    <w:rPr>
                      <w:rFonts w:hint="default"/>
                      <w:color w:val="auto"/>
                      <w:lang w:val="en-US" w:eastAsia="zh-CN"/>
                    </w:rPr>
                  </w:pPr>
                  <w:r>
                    <w:rPr>
                      <w:rFonts w:hint="default"/>
                      <w:color w:val="auto"/>
                      <w:lang w:val="en-US" w:eastAsia="zh-CN"/>
                    </w:rPr>
                    <w:t>内圆切割机、灯杯数控机、热弯机、抛光机、灯杯抛光机、超声波</w:t>
                  </w:r>
                  <w:r>
                    <w:rPr>
                      <w:rFonts w:hint="eastAsia"/>
                      <w:color w:val="auto"/>
                      <w:lang w:val="en-US" w:eastAsia="zh-CN"/>
                    </w:rPr>
                    <w:t>清洗机</w:t>
                  </w:r>
                  <w:r>
                    <w:rPr>
                      <w:rFonts w:hint="default"/>
                      <w:color w:val="auto"/>
                      <w:lang w:val="en-US" w:eastAsia="zh-CN"/>
                    </w:rPr>
                    <w:t>、镀膜机等</w:t>
                  </w:r>
                </w:p>
              </w:tc>
              <w:tc>
                <w:tcPr>
                  <w:tcW w:w="609" w:type="pct"/>
                  <w:noWrap w:val="0"/>
                  <w:vAlign w:val="center"/>
                </w:tcPr>
                <w:p>
                  <w:pPr>
                    <w:pStyle w:val="33"/>
                    <w:bidi w:val="0"/>
                    <w:rPr>
                      <w:rFonts w:hint="default"/>
                      <w:color w:val="auto"/>
                      <w:lang w:eastAsia="zh-CN"/>
                    </w:rPr>
                  </w:pPr>
                  <w:r>
                    <w:rPr>
                      <w:rFonts w:hint="default"/>
                      <w:color w:val="auto"/>
                      <w:lang w:eastAsia="zh-CN"/>
                    </w:rPr>
                    <w:t>相符</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9" w:type="pct"/>
                  <w:noWrap w:val="0"/>
                  <w:vAlign w:val="center"/>
                </w:tcPr>
                <w:p>
                  <w:pPr>
                    <w:pStyle w:val="33"/>
                    <w:bidi w:val="0"/>
                    <w:rPr>
                      <w:rFonts w:hint="default"/>
                      <w:color w:val="auto"/>
                    </w:rPr>
                  </w:pPr>
                  <w:r>
                    <w:rPr>
                      <w:rFonts w:hint="default"/>
                      <w:color w:val="auto"/>
                    </w:rPr>
                    <w:t>投资</w:t>
                  </w:r>
                </w:p>
              </w:tc>
              <w:tc>
                <w:tcPr>
                  <w:tcW w:w="1890" w:type="pct"/>
                  <w:noWrap w:val="0"/>
                  <w:vAlign w:val="center"/>
                </w:tcPr>
                <w:p>
                  <w:pPr>
                    <w:pStyle w:val="33"/>
                    <w:bidi w:val="0"/>
                    <w:rPr>
                      <w:rFonts w:hint="default"/>
                      <w:color w:val="auto"/>
                      <w:lang w:val="en-US" w:eastAsia="zh-CN"/>
                    </w:rPr>
                  </w:pPr>
                  <w:r>
                    <w:rPr>
                      <w:rFonts w:hint="default"/>
                      <w:color w:val="auto"/>
                      <w:lang w:val="en-US" w:eastAsia="zh-CN"/>
                    </w:rPr>
                    <w:t>100万元</w:t>
                  </w:r>
                </w:p>
              </w:tc>
              <w:tc>
                <w:tcPr>
                  <w:tcW w:w="1890" w:type="pct"/>
                  <w:noWrap w:val="0"/>
                  <w:vAlign w:val="center"/>
                </w:tcPr>
                <w:p>
                  <w:pPr>
                    <w:pStyle w:val="33"/>
                    <w:bidi w:val="0"/>
                    <w:rPr>
                      <w:rFonts w:hint="default"/>
                      <w:color w:val="auto"/>
                    </w:rPr>
                  </w:pPr>
                  <w:r>
                    <w:rPr>
                      <w:rFonts w:hint="default"/>
                      <w:color w:val="auto"/>
                      <w:lang w:val="en-US" w:eastAsia="zh-CN"/>
                    </w:rPr>
                    <w:t>100万元</w:t>
                  </w:r>
                </w:p>
              </w:tc>
              <w:tc>
                <w:tcPr>
                  <w:tcW w:w="609" w:type="pct"/>
                  <w:noWrap w:val="0"/>
                  <w:vAlign w:val="center"/>
                </w:tcPr>
                <w:p>
                  <w:pPr>
                    <w:pStyle w:val="33"/>
                    <w:bidi w:val="0"/>
                    <w:rPr>
                      <w:rFonts w:hint="default"/>
                      <w:color w:val="auto"/>
                    </w:rPr>
                  </w:pPr>
                  <w:r>
                    <w:rPr>
                      <w:rFonts w:hint="default"/>
                      <w:color w:val="auto"/>
                      <w:lang w:eastAsia="zh-CN"/>
                    </w:rPr>
                    <w:t>相符</w:t>
                  </w:r>
                </w:p>
              </w:tc>
            </w:tr>
          </w:tbl>
          <w:p>
            <w:pPr>
              <w:keepNext w:val="0"/>
              <w:keepLines w:val="0"/>
              <w:pageBreakBefore w:val="0"/>
              <w:widowControl w:val="0"/>
              <w:kinsoku/>
              <w:wordWrap/>
              <w:overflowPunct/>
              <w:topLinePunct w:val="0"/>
              <w:bidi w:val="0"/>
              <w:adjustRightInd/>
              <w:snapToGrid/>
              <w:spacing w:line="360" w:lineRule="auto"/>
              <w:ind w:right="0" w:firstLine="420" w:firstLineChars="20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综上，本项目建设地点、建设规模及主要设备等均与发改委备案基本一致</w:t>
            </w:r>
            <w:r>
              <w:rPr>
                <w:rFonts w:hint="eastAsia" w:cs="Times New Roman"/>
                <w:color w:val="auto"/>
                <w:highlight w:val="none"/>
                <w:lang w:eastAsia="zh-CN"/>
              </w:rPr>
              <w:t>，其中主要设备方面，实际建设中抛光机包括普通抛光机、灯杯抛光机，未在备案中进行详细说明</w:t>
            </w:r>
            <w:r>
              <w:rPr>
                <w:rFonts w:hint="default" w:ascii="Times New Roman" w:hAnsi="Times New Roman" w:cs="Times New Roman"/>
                <w:color w:val="auto"/>
                <w:highlight w:val="none"/>
                <w:lang w:eastAsia="zh-CN"/>
              </w:rPr>
              <w:t>。</w:t>
            </w:r>
          </w:p>
          <w:p>
            <w:pPr>
              <w:keepNext w:val="0"/>
              <w:keepLines w:val="0"/>
              <w:pageBreakBefore w:val="0"/>
              <w:widowControl w:val="0"/>
              <w:kinsoku/>
              <w:wordWrap w:val="0"/>
              <w:overflowPunct/>
              <w:topLinePunct w:val="0"/>
              <w:autoSpaceDE w:val="0"/>
              <w:autoSpaceDN w:val="0"/>
              <w:bidi w:val="0"/>
              <w:adjustRightInd/>
              <w:snapToGrid/>
              <w:spacing w:line="360" w:lineRule="auto"/>
              <w:ind w:right="0" w:firstLine="422" w:firstLineChars="200"/>
              <w:jc w:val="both"/>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与《产业结构调整指导目录（201</w:t>
            </w:r>
            <w:r>
              <w:rPr>
                <w:rFonts w:hint="default" w:ascii="Times New Roman" w:hAnsi="Times New Roman"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rPr>
              <w:t>年本）》相符性分析</w:t>
            </w:r>
          </w:p>
          <w:p>
            <w:pPr>
              <w:keepNext w:val="0"/>
              <w:keepLines w:val="0"/>
              <w:pageBreakBefore w:val="0"/>
              <w:widowControl w:val="0"/>
              <w:kinsoku/>
              <w:wordWrap w:val="0"/>
              <w:overflowPunct/>
              <w:topLinePunct w:val="0"/>
              <w:autoSpaceDE w:val="0"/>
              <w:autoSpaceDN w:val="0"/>
              <w:bidi w:val="0"/>
              <w:adjustRightInd/>
              <w:snapToGrid/>
              <w:spacing w:line="360" w:lineRule="auto"/>
              <w:ind w:right="0" w:firstLine="420" w:firstLineChars="200"/>
              <w:jc w:val="both"/>
              <w:textAlignment w:val="auto"/>
              <w:rPr>
                <w:rFonts w:hint="default" w:ascii="Times New Roman" w:hAnsi="Times New Roman" w:cs="Times New Roman"/>
                <w:b w:val="0"/>
                <w:bCs w:val="0"/>
                <w:color w:val="auto"/>
                <w:sz w:val="21"/>
                <w:szCs w:val="21"/>
                <w:highlight w:val="none"/>
                <w:u w:val="none"/>
              </w:rPr>
            </w:pPr>
            <w:r>
              <w:rPr>
                <w:rFonts w:hint="default" w:ascii="Times New Roman" w:hAnsi="Times New Roman" w:cs="Times New Roman"/>
                <w:b w:val="0"/>
                <w:bCs w:val="0"/>
                <w:color w:val="auto"/>
                <w:sz w:val="21"/>
                <w:szCs w:val="21"/>
                <w:highlight w:val="none"/>
                <w:u w:val="none"/>
              </w:rPr>
              <w:t>对照《产业结构调整指导目录（20</w:t>
            </w:r>
            <w:r>
              <w:rPr>
                <w:rFonts w:hint="default" w:ascii="Times New Roman" w:hAnsi="Times New Roman" w:cs="Times New Roman"/>
                <w:b w:val="0"/>
                <w:bCs w:val="0"/>
                <w:color w:val="auto"/>
                <w:sz w:val="21"/>
                <w:szCs w:val="21"/>
                <w:highlight w:val="none"/>
                <w:u w:val="none"/>
                <w:lang w:val="en-US" w:eastAsia="zh-CN"/>
              </w:rPr>
              <w:t>19</w:t>
            </w:r>
            <w:r>
              <w:rPr>
                <w:rFonts w:hint="default" w:ascii="Times New Roman" w:hAnsi="Times New Roman" w:cs="Times New Roman"/>
                <w:b w:val="0"/>
                <w:bCs w:val="0"/>
                <w:color w:val="auto"/>
                <w:sz w:val="21"/>
                <w:szCs w:val="21"/>
                <w:highlight w:val="none"/>
                <w:u w:val="none"/>
              </w:rPr>
              <w:t>年本）》，</w:t>
            </w:r>
            <w:r>
              <w:rPr>
                <w:rFonts w:hint="default" w:ascii="Times New Roman" w:hAnsi="Times New Roman" w:cs="Times New Roman" w:eastAsiaTheme="minorEastAsia"/>
                <w:b w:val="0"/>
                <w:bCs w:val="0"/>
                <w:color w:val="auto"/>
                <w:sz w:val="21"/>
                <w:szCs w:val="21"/>
                <w:highlight w:val="none"/>
                <w:u w:val="none"/>
              </w:rPr>
              <w:t>本项目</w:t>
            </w:r>
            <w:r>
              <w:rPr>
                <w:rFonts w:hint="default" w:ascii="Times New Roman" w:hAnsi="Times New Roman" w:cs="Times New Roman" w:eastAsiaTheme="minorEastAsia"/>
                <w:b w:val="0"/>
                <w:bCs w:val="0"/>
                <w:color w:val="auto"/>
                <w:sz w:val="21"/>
                <w:szCs w:val="21"/>
                <w:highlight w:val="none"/>
                <w:u w:val="none"/>
                <w:lang w:eastAsia="zh-CN"/>
              </w:rPr>
              <w:t>不属于限制类和淘汰类项目</w:t>
            </w:r>
            <w:r>
              <w:rPr>
                <w:rFonts w:hint="default" w:ascii="Times New Roman" w:hAnsi="Times New Roman" w:cs="Times New Roman"/>
                <w:b w:val="0"/>
                <w:bCs w:val="0"/>
                <w:color w:val="auto"/>
                <w:sz w:val="21"/>
                <w:szCs w:val="21"/>
                <w:highlight w:val="none"/>
                <w:u w:val="none"/>
              </w:rPr>
              <w:t>，</w:t>
            </w:r>
            <w:r>
              <w:rPr>
                <w:rFonts w:hint="default" w:ascii="Times New Roman" w:hAnsi="Times New Roman" w:cs="Times New Roman"/>
                <w:b w:val="0"/>
                <w:bCs w:val="0"/>
                <w:color w:val="auto"/>
                <w:sz w:val="21"/>
                <w:szCs w:val="21"/>
                <w:highlight w:val="none"/>
                <w:u w:val="none"/>
                <w:lang w:eastAsia="zh-CN"/>
              </w:rPr>
              <w:t>为允许类项目，且</w:t>
            </w:r>
            <w:r>
              <w:rPr>
                <w:rFonts w:hint="default" w:ascii="Times New Roman" w:hAnsi="Times New Roman" w:cs="Times New Roman" w:eastAsiaTheme="minorEastAsia"/>
                <w:b w:val="0"/>
                <w:bCs w:val="0"/>
                <w:color w:val="auto"/>
                <w:sz w:val="21"/>
                <w:szCs w:val="21"/>
                <w:highlight w:val="none"/>
                <w:u w:val="none"/>
                <w:lang w:eastAsia="zh-CN"/>
              </w:rPr>
              <w:t>目前</w:t>
            </w:r>
            <w:r>
              <w:rPr>
                <w:rFonts w:hint="default" w:ascii="Times New Roman" w:hAnsi="Times New Roman" w:cs="Times New Roman" w:eastAsiaTheme="minorEastAsia"/>
                <w:b w:val="0"/>
                <w:bCs w:val="0"/>
                <w:color w:val="auto"/>
                <w:sz w:val="21"/>
                <w:szCs w:val="21"/>
                <w:highlight w:val="none"/>
                <w:u w:val="none"/>
              </w:rPr>
              <w:t>已</w:t>
            </w:r>
            <w:r>
              <w:rPr>
                <w:rFonts w:hint="default" w:ascii="Times New Roman" w:hAnsi="Times New Roman" w:cs="Times New Roman" w:eastAsiaTheme="minorEastAsia"/>
                <w:b w:val="0"/>
                <w:bCs w:val="0"/>
                <w:color w:val="auto"/>
                <w:sz w:val="21"/>
                <w:szCs w:val="21"/>
                <w:highlight w:val="none"/>
                <w:u w:val="none"/>
                <w:lang w:eastAsia="zh-CN"/>
              </w:rPr>
              <w:t>通过</w:t>
            </w:r>
            <w:r>
              <w:rPr>
                <w:rFonts w:hint="default" w:ascii="Times New Roman" w:hAnsi="Times New Roman" w:cs="Times New Roman"/>
                <w:color w:val="auto"/>
                <w:sz w:val="21"/>
                <w:szCs w:val="21"/>
                <w:highlight w:val="none"/>
                <w:lang w:eastAsia="zh-CN"/>
              </w:rPr>
              <w:t>河南新乡经济技术集聚区管理委员会</w:t>
            </w:r>
            <w:r>
              <w:rPr>
                <w:rFonts w:hint="default" w:ascii="Times New Roman" w:hAnsi="Times New Roman" w:cs="Times New Roman" w:eastAsiaTheme="minorEastAsia"/>
                <w:b w:val="0"/>
                <w:bCs w:val="0"/>
                <w:color w:val="auto"/>
                <w:sz w:val="21"/>
                <w:szCs w:val="21"/>
                <w:highlight w:val="none"/>
                <w:u w:val="none"/>
                <w:lang w:eastAsia="zh-CN"/>
              </w:rPr>
              <w:t>备案，备案项目代码为</w:t>
            </w:r>
            <w:r>
              <w:rPr>
                <w:rFonts w:hint="default" w:ascii="Times New Roman" w:hAnsi="Times New Roman" w:cs="Times New Roman"/>
                <w:color w:val="auto"/>
                <w:sz w:val="21"/>
                <w:szCs w:val="21"/>
                <w:highlight w:val="none"/>
                <w:lang w:eastAsia="zh-CN"/>
              </w:rPr>
              <w:t>2201-410721-04-02-924890</w:t>
            </w:r>
            <w:r>
              <w:rPr>
                <w:rFonts w:hint="default" w:ascii="Times New Roman" w:hAnsi="Times New Roman" w:cs="Times New Roman" w:eastAsiaTheme="minorEastAsia"/>
                <w:b w:val="0"/>
                <w:bCs w:val="0"/>
                <w:color w:val="auto"/>
                <w:sz w:val="21"/>
                <w:szCs w:val="21"/>
                <w:highlight w:val="none"/>
                <w:u w:val="none"/>
                <w:lang w:eastAsia="zh-CN"/>
              </w:rPr>
              <w:t>，项目</w:t>
            </w:r>
            <w:r>
              <w:rPr>
                <w:rFonts w:hint="default" w:ascii="Times New Roman" w:hAnsi="Times New Roman" w:cs="Times New Roman"/>
                <w:b w:val="0"/>
                <w:bCs w:val="0"/>
                <w:color w:val="auto"/>
                <w:sz w:val="21"/>
                <w:szCs w:val="21"/>
                <w:highlight w:val="none"/>
                <w:u w:val="none"/>
              </w:rPr>
              <w:t>符合国家有关产业政策。</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lang w:val="en-US" w:eastAsia="zh-CN"/>
              </w:rPr>
              <w:t>3、与</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eastAsia="zh-CN"/>
              </w:rPr>
              <w:t>河南省生态环境保护委员会</w:t>
            </w:r>
            <w:r>
              <w:rPr>
                <w:rFonts w:hint="default" w:ascii="Times New Roman" w:hAnsi="Times New Roman" w:cs="Times New Roman"/>
                <w:b/>
                <w:bCs/>
                <w:color w:val="auto"/>
                <w:sz w:val="21"/>
                <w:szCs w:val="21"/>
                <w:highlight w:val="none"/>
              </w:rPr>
              <w:t>办公室关于印发</w:t>
            </w:r>
            <w:r>
              <w:rPr>
                <w:rFonts w:hint="default" w:ascii="Times New Roman" w:hAnsi="Times New Roman" w:cs="Times New Roman"/>
                <w:b/>
                <w:bCs/>
                <w:color w:val="auto"/>
                <w:sz w:val="21"/>
                <w:szCs w:val="21"/>
                <w:highlight w:val="none"/>
                <w:lang w:eastAsia="zh-CN"/>
              </w:rPr>
              <w:t>河南省</w:t>
            </w:r>
            <w:r>
              <w:rPr>
                <w:rFonts w:hint="default" w:ascii="Times New Roman" w:hAnsi="Times New Roman" w:cs="Times New Roman"/>
                <w:b/>
                <w:bCs/>
                <w:color w:val="auto"/>
                <w:sz w:val="21"/>
                <w:szCs w:val="21"/>
                <w:highlight w:val="none"/>
              </w:rPr>
              <w:t>202</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年大气、水、土壤污染防治攻坚战及农业农村污染治理攻坚战实施方案的通知》（</w:t>
            </w:r>
            <w:r>
              <w:rPr>
                <w:rFonts w:hint="default" w:ascii="Times New Roman" w:hAnsi="Times New Roman" w:cs="Times New Roman"/>
                <w:b/>
                <w:bCs/>
                <w:color w:val="auto"/>
                <w:sz w:val="21"/>
                <w:szCs w:val="21"/>
                <w:highlight w:val="none"/>
                <w:lang w:eastAsia="zh-CN"/>
              </w:rPr>
              <w:t>豫</w:t>
            </w:r>
            <w:r>
              <w:rPr>
                <w:rFonts w:hint="default" w:ascii="Times New Roman" w:hAnsi="Times New Roman" w:cs="Times New Roman"/>
                <w:b/>
                <w:bCs/>
                <w:color w:val="auto"/>
                <w:sz w:val="21"/>
                <w:szCs w:val="21"/>
                <w:highlight w:val="none"/>
              </w:rPr>
              <w:t>环</w:t>
            </w:r>
            <w:r>
              <w:rPr>
                <w:rFonts w:hint="default" w:ascii="Times New Roman" w:hAnsi="Times New Roman" w:cs="Times New Roman"/>
                <w:b/>
                <w:bCs/>
                <w:color w:val="auto"/>
                <w:sz w:val="21"/>
                <w:szCs w:val="21"/>
                <w:highlight w:val="none"/>
                <w:lang w:eastAsia="zh-CN"/>
              </w:rPr>
              <w:t>委</w:t>
            </w:r>
            <w:r>
              <w:rPr>
                <w:rFonts w:hint="default" w:ascii="Times New Roman" w:hAnsi="Times New Roman" w:cs="Times New Roman"/>
                <w:b/>
                <w:bCs/>
                <w:color w:val="auto"/>
                <w:sz w:val="21"/>
                <w:szCs w:val="21"/>
                <w:highlight w:val="none"/>
              </w:rPr>
              <w:t>办〔202</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〕9号）</w:t>
            </w:r>
            <w:r>
              <w:rPr>
                <w:rFonts w:hint="default" w:ascii="Times New Roman" w:hAnsi="Times New Roman" w:cs="Times New Roman"/>
                <w:b/>
                <w:bCs/>
                <w:color w:val="auto"/>
                <w:szCs w:val="24"/>
                <w:highlight w:val="none"/>
              </w:rPr>
              <w:t>的对比分析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baseline"/>
              <w:rPr>
                <w:rFonts w:hint="default"/>
                <w:color w:val="auto"/>
              </w:rPr>
            </w:pPr>
            <w:r>
              <w:rPr>
                <w:rFonts w:hint="default" w:ascii="Times New Roman" w:hAnsi="Times New Roman" w:cs="Times New Roman"/>
                <w:color w:val="auto"/>
                <w:szCs w:val="24"/>
                <w:highlight w:val="none"/>
              </w:rPr>
              <w:t>本项目与</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关于印发河南省2022年大气、水、土壤污染防治攻坚战及农业农村污染治理攻坚战实施方案的通知》（豫环委办〔2022〕9号）</w:t>
            </w:r>
            <w:r>
              <w:rPr>
                <w:rFonts w:hint="default" w:ascii="Times New Roman" w:hAnsi="Times New Roman" w:cs="Times New Roman"/>
                <w:color w:val="auto"/>
                <w:szCs w:val="24"/>
                <w:highlight w:val="none"/>
              </w:rPr>
              <w:t>对照分析如下。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与《豫环委办〔2022〕9号》对比分析一览表</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3001"/>
              <w:gridCol w:w="1814"/>
              <w:gridCol w:w="7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09" w:type="pct"/>
                  <w:gridSpan w:val="2"/>
                  <w:noWrap w:val="0"/>
                  <w:vAlign w:val="center"/>
                </w:tcPr>
                <w:p>
                  <w:pPr>
                    <w:pStyle w:val="33"/>
                    <w:bidi w:val="0"/>
                    <w:rPr>
                      <w:rFonts w:hint="default"/>
                      <w:color w:val="auto"/>
                    </w:rPr>
                  </w:pPr>
                  <w:r>
                    <w:rPr>
                      <w:rFonts w:hint="default"/>
                      <w:color w:val="auto"/>
                    </w:rPr>
                    <w:t>与本项目有关的内容</w:t>
                  </w:r>
                </w:p>
              </w:tc>
              <w:tc>
                <w:tcPr>
                  <w:tcW w:w="1467" w:type="pct"/>
                  <w:noWrap w:val="0"/>
                  <w:vAlign w:val="center"/>
                </w:tcPr>
                <w:p>
                  <w:pPr>
                    <w:pStyle w:val="33"/>
                    <w:bidi w:val="0"/>
                    <w:rPr>
                      <w:rFonts w:hint="default"/>
                      <w:color w:val="auto"/>
                    </w:rPr>
                  </w:pPr>
                  <w:r>
                    <w:rPr>
                      <w:rFonts w:hint="default"/>
                      <w:color w:val="auto"/>
                    </w:rPr>
                    <w:t>本项目情况</w:t>
                  </w:r>
                </w:p>
              </w:tc>
              <w:tc>
                <w:tcPr>
                  <w:tcW w:w="623" w:type="pct"/>
                  <w:noWrap w:val="0"/>
                  <w:vAlign w:val="center"/>
                </w:tcPr>
                <w:p>
                  <w:pPr>
                    <w:pStyle w:val="33"/>
                    <w:bidi w:val="0"/>
                    <w:rPr>
                      <w:rFonts w:hint="default"/>
                      <w:color w:val="auto"/>
                    </w:rPr>
                  </w:pPr>
                  <w:r>
                    <w:rPr>
                      <w:rFonts w:hint="default"/>
                      <w:color w:val="auto"/>
                    </w:rPr>
                    <w:t>对照情况说明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2" w:type="pct"/>
                  <w:noWrap w:val="0"/>
                  <w:vAlign w:val="center"/>
                </w:tcPr>
                <w:p>
                  <w:pPr>
                    <w:pStyle w:val="33"/>
                    <w:bidi w:val="0"/>
                    <w:rPr>
                      <w:rFonts w:hint="default"/>
                      <w:color w:val="auto"/>
                    </w:rPr>
                  </w:pPr>
                  <w:r>
                    <w:rPr>
                      <w:rFonts w:hint="default"/>
                      <w:color w:val="auto"/>
                      <w:lang w:eastAsia="zh-CN"/>
                    </w:rPr>
                    <w:t>河南省</w:t>
                  </w:r>
                  <w:r>
                    <w:rPr>
                      <w:rFonts w:hint="default"/>
                      <w:color w:val="auto"/>
                      <w:lang w:val="en-US" w:eastAsia="zh-CN"/>
                    </w:rPr>
                    <w:t>2022年大气污染防治攻坚战实施方案</w:t>
                  </w:r>
                </w:p>
              </w:tc>
              <w:tc>
                <w:tcPr>
                  <w:tcW w:w="2427" w:type="pct"/>
                  <w:noWrap w:val="0"/>
                  <w:vAlign w:val="center"/>
                </w:tcPr>
                <w:p>
                  <w:pPr>
                    <w:pStyle w:val="33"/>
                    <w:bidi w:val="0"/>
                    <w:rPr>
                      <w:rFonts w:hint="default"/>
                      <w:color w:val="auto"/>
                    </w:rPr>
                  </w:pPr>
                  <w:r>
                    <w:rPr>
                      <w:rFonts w:hint="default"/>
                      <w:color w:val="auto"/>
                    </w:rPr>
                    <w:t>3.推进绿色低碳产业发展。落实国家产业规划、产业政策、“三线一单”、规划环评，以及产能置换、煤炭消费减量替代、区域污染物削减等相关要求，积极支持节能环保、新能源等战略性新兴产业发展，坚决遏制高耗能、高排放项目盲目建设。落实“两高”项目会商联审机制，强化项目环评及“三同时”管理，重点行业企业新建、扩建项目达到A级绩效水平，改建项目达到B级以上绩效水平。严禁新增钢铁、电解铝、水泥熟料、平板玻璃、煤化工（甲醇、合成氨）、氧化铝、焦化、铸造、铝用碳素、烧结砖瓦、铁合金等行业产能。禁止耐火材料、铅锌冶炼（含再生铅）行业单纯新增产能。水泥行业产能置换项目应实现矿石皮带廊密闭运输，大宗物料产品清洁运输。</w:t>
                  </w:r>
                </w:p>
              </w:tc>
              <w:tc>
                <w:tcPr>
                  <w:tcW w:w="1467" w:type="pct"/>
                  <w:noWrap w:val="0"/>
                  <w:vAlign w:val="center"/>
                </w:tcPr>
                <w:p>
                  <w:pPr>
                    <w:pStyle w:val="33"/>
                    <w:bidi w:val="0"/>
                    <w:jc w:val="both"/>
                    <w:rPr>
                      <w:rFonts w:hint="default"/>
                      <w:color w:val="auto"/>
                    </w:rPr>
                  </w:pPr>
                  <w:r>
                    <w:rPr>
                      <w:rFonts w:hint="default"/>
                      <w:color w:val="auto"/>
                      <w:lang w:eastAsia="zh-CN"/>
                    </w:rPr>
                    <w:t>项目属于</w:t>
                  </w:r>
                  <w:r>
                    <w:rPr>
                      <w:rFonts w:hint="eastAsia"/>
                      <w:color w:val="auto"/>
                      <w:lang w:eastAsia="zh-CN"/>
                    </w:rPr>
                    <w:t>C3052光学玻璃制造和C3057制镜及类似品加工</w:t>
                  </w:r>
                  <w:r>
                    <w:rPr>
                      <w:rFonts w:hint="default"/>
                      <w:color w:val="auto"/>
                      <w:lang w:eastAsia="zh-CN"/>
                    </w:rPr>
                    <w:t>，经对照《关于加强高耗能、高排放建设项目生态环境源头防控的指导意见》、《河南关于建立“两高”项目会商联审机制的通知》，本项目不属于“两高”类项目。项目不属于严禁新增产能所列项目</w:t>
                  </w:r>
                  <w:r>
                    <w:rPr>
                      <w:rFonts w:hint="eastAsia"/>
                      <w:color w:val="auto"/>
                      <w:lang w:eastAsia="zh-CN"/>
                    </w:rPr>
                    <w:t>；</w:t>
                  </w:r>
                  <w:r>
                    <w:rPr>
                      <w:rFonts w:hint="default"/>
                      <w:color w:val="auto"/>
                      <w:lang w:eastAsia="zh-CN"/>
                    </w:rPr>
                    <w:t>项目建成后达到《河南省重污染天气通用行业应急减排措施制定技术指南（2021年修订版）》</w:t>
                  </w:r>
                  <w:r>
                    <w:rPr>
                      <w:rFonts w:hint="eastAsia"/>
                      <w:color w:val="auto"/>
                      <w:lang w:eastAsia="zh-CN"/>
                    </w:rPr>
                    <w:t>中</w:t>
                  </w:r>
                  <w:r>
                    <w:rPr>
                      <w:rFonts w:hint="default"/>
                      <w:color w:val="auto"/>
                      <w:lang w:eastAsia="zh-CN"/>
                    </w:rPr>
                    <w:t>“十九、玻璃”行业绩效引领性指标</w:t>
                  </w:r>
                </w:p>
              </w:tc>
              <w:tc>
                <w:tcPr>
                  <w:tcW w:w="623" w:type="pct"/>
                  <w:noWrap w:val="0"/>
                  <w:vAlign w:val="center"/>
                </w:tcPr>
                <w:p>
                  <w:pPr>
                    <w:pStyle w:val="33"/>
                    <w:bidi w:val="0"/>
                    <w:rPr>
                      <w:rFonts w:hint="default"/>
                      <w:color w:val="auto"/>
                      <w:lang w:eastAsia="zh-CN"/>
                    </w:rPr>
                  </w:pPr>
                  <w:r>
                    <w:rPr>
                      <w:rFonts w:hint="default"/>
                      <w:color w:val="auto"/>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2" w:type="pct"/>
                  <w:noWrap w:val="0"/>
                  <w:vAlign w:val="center"/>
                </w:tcPr>
                <w:p>
                  <w:pPr>
                    <w:pStyle w:val="33"/>
                    <w:bidi w:val="0"/>
                    <w:rPr>
                      <w:rFonts w:hint="default"/>
                      <w:color w:val="auto"/>
                      <w:lang w:val="en-US" w:eastAsia="zh-CN"/>
                    </w:rPr>
                  </w:pPr>
                  <w:r>
                    <w:rPr>
                      <w:rFonts w:hint="default"/>
                      <w:color w:val="auto"/>
                      <w:lang w:eastAsia="zh-CN"/>
                    </w:rPr>
                    <w:t>河南省</w:t>
                  </w:r>
                  <w:r>
                    <w:rPr>
                      <w:rFonts w:hint="default"/>
                      <w:color w:val="auto"/>
                      <w:lang w:val="en-US" w:eastAsia="zh-CN"/>
                    </w:rPr>
                    <w:t>2022年水污染防治攻坚战实施方案</w:t>
                  </w:r>
                </w:p>
              </w:tc>
              <w:tc>
                <w:tcPr>
                  <w:tcW w:w="2427" w:type="pct"/>
                  <w:noWrap w:val="0"/>
                  <w:vAlign w:val="center"/>
                </w:tcPr>
                <w:p>
                  <w:pPr>
                    <w:pStyle w:val="33"/>
                    <w:bidi w:val="0"/>
                    <w:jc w:val="both"/>
                    <w:rPr>
                      <w:rFonts w:hint="default"/>
                      <w:color w:val="auto"/>
                      <w:lang w:val="en-US" w:eastAsia="zh-CN"/>
                    </w:rPr>
                  </w:pPr>
                  <w:r>
                    <w:rPr>
                      <w:rFonts w:hint="default"/>
                      <w:color w:val="auto"/>
                      <w:lang w:val="en-US" w:eastAsia="zh-CN"/>
                    </w:rPr>
                    <w:t>14.调整优化产业结构。落实“三线一单”生态环境分区管控体系，加强重点区域、重点流域、重点行业和产业布局规划环评。持续推进钢铁、有色、石化、化工、电镀、皮革、造纸、印染、农副食品加工等行业改造转型升级，推动化工、印染、电镀等产业集群提升改造。推动重点行业、重点区域产业布局调整，实施传统产业兼并重组、城市建成区高污染企业退城入园和敏感区域、水污染严重地区高污染企业布局优化，制定实施落后产能淘汰方案。严禁在黄河干流及主要支流临岸一定范围内新建“两高一资”项目及相关产业园区。</w:t>
                  </w:r>
                </w:p>
              </w:tc>
              <w:tc>
                <w:tcPr>
                  <w:tcW w:w="1467" w:type="pct"/>
                  <w:noWrap w:val="0"/>
                  <w:vAlign w:val="center"/>
                </w:tcPr>
                <w:p>
                  <w:pPr>
                    <w:pStyle w:val="33"/>
                    <w:bidi w:val="0"/>
                    <w:jc w:val="both"/>
                    <w:rPr>
                      <w:rFonts w:hint="default"/>
                      <w:color w:val="auto"/>
                      <w:lang w:val="en-US" w:eastAsia="zh-CN"/>
                    </w:rPr>
                  </w:pPr>
                  <w:r>
                    <w:rPr>
                      <w:rFonts w:hint="default"/>
                      <w:color w:val="auto"/>
                      <w:lang w:val="en-US" w:eastAsia="zh-CN"/>
                    </w:rPr>
                    <w:t>项目属于</w:t>
                  </w:r>
                  <w:r>
                    <w:rPr>
                      <w:rFonts w:hint="eastAsia"/>
                      <w:color w:val="auto"/>
                      <w:lang w:eastAsia="zh-CN"/>
                    </w:rPr>
                    <w:t>C3052光学玻璃制造和C3057制镜及类似品加工</w:t>
                  </w:r>
                  <w:r>
                    <w:rPr>
                      <w:rFonts w:hint="default"/>
                      <w:color w:val="auto"/>
                      <w:lang w:val="en-US" w:eastAsia="zh-CN"/>
                    </w:rPr>
                    <w:t>，符合“三线一单”控制要求（具体对照内容见下文），项目不属于钢铁、有色、石化、化工、电镀、皮革、造纸、印染、农副食品加工等行业，也不属于化工、印染、电镀等产业。项目位于新乡市新乡县新乡经济开发区玉龙路西段，不在黄河干流及主要支流范围内。</w:t>
                  </w:r>
                </w:p>
              </w:tc>
              <w:tc>
                <w:tcPr>
                  <w:tcW w:w="623" w:type="pct"/>
                  <w:noWrap w:val="0"/>
                  <w:vAlign w:val="center"/>
                </w:tcPr>
                <w:p>
                  <w:pPr>
                    <w:pStyle w:val="33"/>
                    <w:bidi w:val="0"/>
                    <w:rPr>
                      <w:rFonts w:hint="default"/>
                      <w:color w:val="auto"/>
                      <w:lang w:val="en-US" w:eastAsia="zh-CN"/>
                    </w:rPr>
                  </w:pPr>
                  <w:r>
                    <w:rPr>
                      <w:rFonts w:hint="default"/>
                      <w:color w:val="auto"/>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color w:val="auto"/>
              </w:rPr>
            </w:pPr>
            <w:r>
              <w:rPr>
                <w:rFonts w:hint="default" w:ascii="Times New Roman" w:hAnsi="Times New Roman" w:cs="Times New Roman"/>
                <w:b w:val="0"/>
                <w:bCs w:val="0"/>
                <w:color w:val="auto"/>
                <w:sz w:val="21"/>
                <w:szCs w:val="21"/>
                <w:highlight w:val="none"/>
                <w:u w:val="none"/>
              </w:rPr>
              <w:t>由上表可知，本项目符合《河南省生态环境保护委员会办公室关于印发河南省2022年大气、水、土壤污染防治攻坚战及农业农村污染治理攻坚战实施方案的通知》（豫环委办〔2022〕9号）相关要求。</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2" w:leftChars="0" w:right="0" w:rightChars="0" w:firstLine="422" w:firstLineChars="0"/>
              <w:jc w:val="both"/>
              <w:rPr>
                <w:rFonts w:hint="default"/>
                <w:b/>
                <w:bCs/>
                <w:color w:val="auto"/>
                <w:highlight w:val="none"/>
                <w:lang w:val="en-US" w:eastAsia="zh-CN"/>
              </w:rPr>
            </w:pPr>
            <w:r>
              <w:rPr>
                <w:rFonts w:hint="default" w:ascii="Times New Roman" w:hAnsi="Times New Roman" w:cs="Times New Roman"/>
                <w:b/>
                <w:bCs/>
                <w:color w:val="auto"/>
                <w:szCs w:val="24"/>
                <w:highlight w:val="none"/>
                <w:lang w:val="en-US" w:eastAsia="zh-CN"/>
              </w:rPr>
              <w:t>与《新乡市 2022 年大气、水、土壤污染防治攻坚战及农业农村污染治理攻坚战实施方案的通知》（新环攻坚办（2022）60 号）相符性分析</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与《新环攻坚办（202</w:t>
            </w:r>
            <w:r>
              <w:rPr>
                <w:rFonts w:hint="eastAsia" w:eastAsia="黑体" w:cs="Times New Roman"/>
                <w:color w:val="auto"/>
                <w:sz w:val="18"/>
                <w:szCs w:val="18"/>
                <w:highlight w:val="none"/>
                <w:lang w:val="en-US" w:eastAsia="zh-CN"/>
              </w:rPr>
              <w:t>2</w:t>
            </w:r>
            <w:r>
              <w:rPr>
                <w:rFonts w:hint="default" w:ascii="Times New Roman" w:hAnsi="Times New Roman" w:eastAsia="黑体" w:cs="Times New Roman"/>
                <w:color w:val="auto"/>
                <w:sz w:val="18"/>
                <w:szCs w:val="18"/>
                <w:highlight w:val="none"/>
                <w:lang w:val="en-US" w:eastAsia="zh-CN"/>
              </w:rPr>
              <w:t>）</w:t>
            </w:r>
            <w:r>
              <w:rPr>
                <w:rFonts w:hint="eastAsia" w:eastAsia="黑体" w:cs="Times New Roman"/>
                <w:color w:val="auto"/>
                <w:sz w:val="18"/>
                <w:szCs w:val="18"/>
                <w:highlight w:val="none"/>
                <w:lang w:val="en-US" w:eastAsia="zh-CN"/>
              </w:rPr>
              <w:t>6</w:t>
            </w:r>
            <w:r>
              <w:rPr>
                <w:rFonts w:hint="default" w:ascii="Times New Roman" w:hAnsi="Times New Roman" w:eastAsia="黑体" w:cs="Times New Roman"/>
                <w:color w:val="auto"/>
                <w:sz w:val="18"/>
                <w:szCs w:val="18"/>
                <w:highlight w:val="none"/>
                <w:lang w:val="en-US" w:eastAsia="zh-CN"/>
              </w:rPr>
              <w:t>0 号》对比分析一览表</w:t>
            </w:r>
          </w:p>
          <w:tbl>
            <w:tblPr>
              <w:tblStyle w:val="22"/>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3220"/>
              <w:gridCol w:w="1630"/>
              <w:gridCol w:w="6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与本项目有关的内容</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本项目情况</w:t>
                  </w:r>
                </w:p>
              </w:tc>
              <w:tc>
                <w:tcPr>
                  <w:tcW w:w="55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对照情况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2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新乡市2022年大气污染防治攻坚战实施方案</w:t>
                  </w:r>
                </w:p>
              </w:tc>
              <w:tc>
                <w:tcPr>
                  <w:tcW w:w="26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3.严格项目准入，推进绿色低碳产业发展。项目准入严格 落实国家产业规划、产业政策、“三线一单”、规划环评，以及产 能置换、煤炭消费减量替代、区域污染物削减等相关要求，积极 支持节能环保、新能源等战略性新兴产业发展，坚决遏制高耗能、 高排放项目盲目建设，“两高”项目由省级相关部门实施联合会 商联审机制。严禁新增钢铁、电解铝、水泥熟料、平板玻璃、传 统煤化工（甲醇、合成氨）、氧化铝、焦化、铸造、铝用碳素、 烧结砖瓦、铁合金等行业产能。禁止耐火材料、铅锌冶炼（含再 生铅）行业单纯新增产能。水泥行业产能置换项目应实现矿石皮 带廊密闭运输、大宗物料产品清洁运输。强化项目环评及“三同 时”管理，国家、省绩效分级重点行业企业新建、扩建项目达到 A 级绩效水平，改建项目达到 B 级以上绩效水平。</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pacing w:val="-4"/>
                      <w:sz w:val="18"/>
                      <w:szCs w:val="18"/>
                      <w:highlight w:val="cyan"/>
                      <w:lang w:val="en-US" w:eastAsia="zh-CN"/>
                    </w:rPr>
                  </w:pPr>
                  <w:r>
                    <w:rPr>
                      <w:rFonts w:hint="default"/>
                      <w:color w:val="auto"/>
                      <w:sz w:val="18"/>
                      <w:szCs w:val="18"/>
                      <w:lang w:val="en-US" w:eastAsia="zh-CN"/>
                    </w:rPr>
                    <w:t>项目</w:t>
                  </w:r>
                  <w:r>
                    <w:rPr>
                      <w:rFonts w:hint="default" w:ascii="Times New Roman" w:hAnsi="Times New Roman" w:eastAsia="宋体" w:cs="Times New Roman"/>
                      <w:color w:val="auto"/>
                      <w:spacing w:val="-4"/>
                      <w:sz w:val="18"/>
                      <w:szCs w:val="18"/>
                      <w:highlight w:val="none"/>
                      <w:lang w:val="en-US" w:eastAsia="zh-CN"/>
                    </w:rPr>
                    <w:t>不属于禁止新增</w:t>
                  </w:r>
                  <w:r>
                    <w:rPr>
                      <w:rFonts w:hint="default" w:ascii="Times New Roman" w:hAnsi="Times New Roman" w:cs="Times New Roman"/>
                      <w:color w:val="auto"/>
                      <w:spacing w:val="-4"/>
                      <w:sz w:val="18"/>
                      <w:szCs w:val="18"/>
                      <w:highlight w:val="none"/>
                      <w:lang w:val="en-US" w:eastAsia="zh-CN"/>
                    </w:rPr>
                    <w:t>类的</w:t>
                  </w:r>
                  <w:r>
                    <w:rPr>
                      <w:rFonts w:hint="default" w:ascii="Times New Roman" w:hAnsi="Times New Roman" w:eastAsia="宋体" w:cs="Times New Roman"/>
                      <w:color w:val="auto"/>
                      <w:spacing w:val="-4"/>
                      <w:sz w:val="18"/>
                      <w:szCs w:val="18"/>
                      <w:highlight w:val="none"/>
                      <w:lang w:val="en-US" w:eastAsia="zh-CN"/>
                    </w:rPr>
                    <w:t>行业</w:t>
                  </w:r>
                  <w:r>
                    <w:rPr>
                      <w:rFonts w:hint="default" w:ascii="Times New Roman" w:hAnsi="Times New Roman" w:cs="Times New Roman"/>
                      <w:color w:val="auto"/>
                      <w:spacing w:val="-4"/>
                      <w:sz w:val="18"/>
                      <w:szCs w:val="18"/>
                      <w:highlight w:val="none"/>
                      <w:lang w:val="en-US" w:eastAsia="zh-CN"/>
                    </w:rPr>
                    <w:t>。本项目建设符合环境准入清单</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eastAsia="zh-CN"/>
                    </w:rPr>
                    <w:t>项目建成后达到《河南省重污染天气通用行业应急减排措施制定技术指南（2021年修订版）》</w:t>
                  </w:r>
                  <w:r>
                    <w:rPr>
                      <w:rFonts w:hint="eastAsia" w:ascii="Times New Roman" w:hAnsi="Times New Roman" w:cs="Times New Roman"/>
                      <w:color w:val="auto"/>
                      <w:sz w:val="18"/>
                      <w:szCs w:val="18"/>
                      <w:highlight w:val="none"/>
                      <w:lang w:eastAsia="zh-CN"/>
                    </w:rPr>
                    <w:t>中</w:t>
                  </w:r>
                  <w:r>
                    <w:rPr>
                      <w:rFonts w:hint="default" w:ascii="Times New Roman" w:hAnsi="Times New Roman" w:cs="Times New Roman"/>
                      <w:color w:val="auto"/>
                      <w:sz w:val="18"/>
                      <w:szCs w:val="18"/>
                      <w:highlight w:val="none"/>
                      <w:lang w:eastAsia="zh-CN"/>
                    </w:rPr>
                    <w:t>“十九、玻璃”行业绩效引领性指标</w:t>
                  </w:r>
                </w:p>
              </w:tc>
              <w:tc>
                <w:tcPr>
                  <w:tcW w:w="55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2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cs="Times New Roman"/>
                      <w:color w:val="auto"/>
                      <w:sz w:val="18"/>
                      <w:szCs w:val="18"/>
                      <w:highlight w:val="none"/>
                    </w:rPr>
                  </w:pPr>
                </w:p>
              </w:tc>
              <w:tc>
                <w:tcPr>
                  <w:tcW w:w="26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36.强化大气环境监控能力建设</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提升工业污染源自动监控水平和能力，将VOCs和氮氧化物排放量大、位置敏感的企业，以及排放有毒有害大气污染物的企业纳入重点排污单位名录，覆盖率不低于工业污染源排放量的65%；列入本年度重点排污单位名录的大气环境重点排污单位，以及实行排污许可重点管理且在排污许可证中明确应实施自动监测的排污单位，要依法安装大气污染物排放自动监控设备,并在规定的期限内与生态环境部门联网；按照省厅制定的废气中氨排放在线监测监控技术规范要求，将氨自动监测要求载入排污许可证，推进氨排放在线监控系统建设。按要求完成污染源自动监控平台升级，探索实施工况参数、用电、视频等自动监控。新建自动监控设施原则上采用数采仪进行数据传输，鼓励通过设备老化更新，逐步取消工控机传输模式。</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pacing w:val="-4"/>
                      <w:sz w:val="18"/>
                      <w:szCs w:val="18"/>
                      <w:highlight w:val="none"/>
                      <w:lang w:val="en-US" w:eastAsia="zh-CN"/>
                    </w:rPr>
                  </w:pPr>
                  <w:r>
                    <w:rPr>
                      <w:rFonts w:hint="default" w:ascii="Times New Roman" w:hAnsi="Times New Roman" w:cs="Times New Roman"/>
                      <w:color w:val="auto"/>
                      <w:spacing w:val="-4"/>
                      <w:sz w:val="18"/>
                      <w:szCs w:val="18"/>
                      <w:highlight w:val="none"/>
                      <w:lang w:val="en-US" w:eastAsia="zh-CN"/>
                    </w:rPr>
                    <w:t>本项目不属于 VOCs 和氮氧化物排放量大、位置敏感的企业，也不属于排放有毒有害大气污染物的企业，目前厂区内现有工程已按照要求安装用电监管设备、视频监控等并完成联网工作</w:t>
                  </w:r>
                </w:p>
              </w:tc>
              <w:tc>
                <w:tcPr>
                  <w:tcW w:w="55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2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新乡市2022年水污染防治攻坚战实施方案</w:t>
                  </w:r>
                </w:p>
              </w:tc>
              <w:tc>
                <w:tcPr>
                  <w:tcW w:w="26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14.调整优化产业结构</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严格执行“三线一单”生态环境分区管控要求，对重点区域、重点流域、重点行业和产业布局开展规划环评。持续推进化工、电镀、皮革、造纸、印染、农副食品加工等行业绿色化改造转型升级，推进化工、印染、电镀等产业集群提升改造。推动重点行业、重点区域产业布局调整，实施传统产业兼并重组、城市建成区高污染企业退城入园和敏感区域、水污染严重地区高污染企业布局优化，制定实施落后产能淘汰方案。严禁在黄河干流及主要支流临岸一定范围内新建“两高一资”项目及相关产业园区。</w:t>
                  </w:r>
                </w:p>
              </w:tc>
              <w:tc>
                <w:tcPr>
                  <w:tcW w:w="131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pacing w:val="-4"/>
                      <w:sz w:val="18"/>
                      <w:szCs w:val="18"/>
                      <w:highlight w:val="none"/>
                      <w:lang w:val="en-US" w:eastAsia="zh-CN"/>
                    </w:rPr>
                  </w:pPr>
                  <w:r>
                    <w:rPr>
                      <w:rFonts w:hint="default" w:ascii="Times New Roman" w:hAnsi="Times New Roman" w:cs="Times New Roman"/>
                      <w:color w:val="auto"/>
                      <w:spacing w:val="-4"/>
                      <w:sz w:val="18"/>
                      <w:szCs w:val="18"/>
                      <w:highlight w:val="none"/>
                      <w:lang w:val="en-US" w:eastAsia="zh-CN"/>
                    </w:rPr>
                    <w:t>项目不属于</w:t>
                  </w:r>
                  <w:r>
                    <w:rPr>
                      <w:rFonts w:hint="default" w:ascii="Times New Roman" w:hAnsi="Times New Roman" w:cs="Times New Roman"/>
                      <w:color w:val="auto"/>
                      <w:sz w:val="18"/>
                      <w:szCs w:val="18"/>
                      <w:highlight w:val="none"/>
                    </w:rPr>
                    <w:t>化工、电镀、皮革、造纸、印染、农副食品加工等行业</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项目外排废水主要为生产废水和生活污水，生活污水经设置</w:t>
                  </w:r>
                  <w:r>
                    <w:rPr>
                      <w:rFonts w:hint="default" w:ascii="Times New Roman" w:hAnsi="Times New Roman" w:cs="Times New Roman"/>
                      <w:color w:val="auto"/>
                      <w:sz w:val="18"/>
                      <w:szCs w:val="18"/>
                      <w:highlight w:val="none"/>
                      <w:lang w:val="en-US" w:eastAsia="zh-CN"/>
                    </w:rPr>
                    <w:t>化粪池</w:t>
                  </w:r>
                  <w:r>
                    <w:rPr>
                      <w:rFonts w:hint="default" w:ascii="Times New Roman" w:hAnsi="Times New Roman" w:cs="Times New Roman"/>
                      <w:color w:val="auto"/>
                      <w:sz w:val="18"/>
                      <w:szCs w:val="18"/>
                      <w:highlight w:val="none"/>
                      <w:lang w:eastAsia="zh-CN"/>
                    </w:rPr>
                    <w:t>处理，生产废水经设置“沉淀池</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eastAsia="zh-CN"/>
                    </w:rPr>
                    <w:t>混凝沉淀池”处理，废水</w:t>
                  </w:r>
                  <w:r>
                    <w:rPr>
                      <w:rFonts w:hint="eastAsia" w:ascii="Times New Roman" w:hAnsi="Times New Roman" w:cs="Times New Roman"/>
                      <w:color w:val="auto"/>
                      <w:sz w:val="18"/>
                      <w:szCs w:val="18"/>
                      <w:highlight w:val="none"/>
                      <w:lang w:eastAsia="zh-CN"/>
                    </w:rPr>
                    <w:t>均</w:t>
                  </w:r>
                  <w:r>
                    <w:rPr>
                      <w:rFonts w:hint="default" w:ascii="Times New Roman" w:hAnsi="Times New Roman" w:cs="Times New Roman"/>
                      <w:color w:val="auto"/>
                      <w:sz w:val="18"/>
                      <w:szCs w:val="18"/>
                      <w:highlight w:val="none"/>
                      <w:lang w:eastAsia="zh-CN"/>
                    </w:rPr>
                    <w:t>通过</w:t>
                  </w:r>
                  <w:r>
                    <w:rPr>
                      <w:rFonts w:hint="eastAsia" w:ascii="Times New Roman" w:hAnsi="Times New Roman" w:cs="Times New Roman"/>
                      <w:color w:val="auto"/>
                      <w:sz w:val="18"/>
                      <w:szCs w:val="18"/>
                      <w:highlight w:val="none"/>
                      <w:lang w:eastAsia="zh-CN"/>
                    </w:rPr>
                    <w:t>厂区总排口排入区域污水管网，后经</w:t>
                  </w:r>
                  <w:r>
                    <w:rPr>
                      <w:rFonts w:hint="default" w:ascii="Times New Roman" w:hAnsi="Times New Roman" w:cs="Times New Roman"/>
                      <w:color w:val="auto"/>
                      <w:sz w:val="18"/>
                      <w:szCs w:val="18"/>
                      <w:highlight w:val="none"/>
                      <w:lang w:eastAsia="zh-CN"/>
                    </w:rPr>
                    <w:t>新乡县综合污水处理厂处理，不会对周围水环境造成影响。</w:t>
                  </w:r>
                </w:p>
              </w:tc>
              <w:tc>
                <w:tcPr>
                  <w:tcW w:w="55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20" w:firstLineChars="200"/>
              <w:jc w:val="left"/>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由上表可知，本项目符合《新乡市 2022 年大气、水、土壤污染防治攻坚战及农业农村污染治理攻坚战实施方案的通知》（新环攻坚办（2022）60 号）相关要求。</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5</w:t>
            </w:r>
            <w:r>
              <w:rPr>
                <w:rFonts w:hint="default" w:ascii="Times New Roman" w:hAnsi="Times New Roman" w:eastAsia="宋体" w:cs="Times New Roman"/>
                <w:b/>
                <w:bCs/>
                <w:color w:val="auto"/>
                <w:sz w:val="21"/>
                <w:szCs w:val="21"/>
                <w:highlight w:val="none"/>
                <w:u w:val="none"/>
                <w:lang w:val="en-US" w:eastAsia="zh-CN"/>
              </w:rPr>
              <w:t>、与《重污染天气重点行业应急减排措施制定技术指南》对照分析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lang w:val="pt-BR" w:eastAsia="zh-CN"/>
              </w:rPr>
            </w:pPr>
            <w:r>
              <w:rPr>
                <w:rFonts w:hint="default" w:ascii="Times New Roman" w:hAnsi="Times New Roman" w:cs="Times New Roman"/>
                <w:b w:val="0"/>
                <w:bCs w:val="0"/>
                <w:color w:val="auto"/>
                <w:sz w:val="21"/>
                <w:szCs w:val="21"/>
                <w:highlight w:val="none"/>
                <w:u w:val="none"/>
                <w:lang w:val="pt-BR" w:eastAsia="zh-CN"/>
              </w:rPr>
              <w:t>项目属于</w:t>
            </w:r>
            <w:r>
              <w:rPr>
                <w:rFonts w:hint="eastAsia" w:cs="Times New Roman"/>
                <w:color w:val="auto"/>
                <w:sz w:val="21"/>
                <w:szCs w:val="21"/>
                <w:highlight w:val="none"/>
                <w:lang w:val="en-US" w:eastAsia="zh-CN"/>
              </w:rPr>
              <w:t>光学玻璃制造项目</w:t>
            </w:r>
            <w:r>
              <w:rPr>
                <w:rFonts w:hint="default" w:ascii="Times New Roman" w:hAnsi="Times New Roman" w:cs="Times New Roman"/>
                <w:b w:val="0"/>
                <w:bCs w:val="0"/>
                <w:color w:val="auto"/>
                <w:sz w:val="21"/>
                <w:szCs w:val="21"/>
                <w:highlight w:val="none"/>
                <w:u w:val="none"/>
                <w:lang w:val="pt-BR" w:eastAsia="zh-CN"/>
              </w:rPr>
              <w:t>，经查阅</w:t>
            </w:r>
            <w:r>
              <w:rPr>
                <w:rFonts w:hint="default" w:ascii="Times New Roman" w:hAnsi="Times New Roman" w:eastAsia="宋体" w:cs="Times New Roman"/>
                <w:b w:val="0"/>
                <w:bCs w:val="0"/>
                <w:color w:val="auto"/>
                <w:sz w:val="21"/>
                <w:szCs w:val="21"/>
                <w:highlight w:val="none"/>
                <w:u w:val="none"/>
                <w:lang w:val="en-US" w:eastAsia="zh-CN"/>
              </w:rPr>
              <w:t>《重污染天气重点行业应急减排措施制定技术指南》</w:t>
            </w:r>
            <w:r>
              <w:rPr>
                <w:rFonts w:hint="default" w:ascii="Times New Roman" w:hAnsi="Times New Roman" w:cs="Times New Roman"/>
                <w:b w:val="0"/>
                <w:bCs w:val="0"/>
                <w:color w:val="auto"/>
                <w:sz w:val="21"/>
                <w:szCs w:val="21"/>
                <w:highlight w:val="none"/>
                <w:u w:val="none"/>
                <w:lang w:val="en-US" w:eastAsia="zh-CN"/>
              </w:rPr>
              <w:t>，</w:t>
            </w:r>
            <w:r>
              <w:rPr>
                <w:rFonts w:hint="eastAsia" w:ascii="Times New Roman" w:hAnsi="Times New Roman" w:cs="Times New Roman"/>
                <w:b w:val="0"/>
                <w:bCs w:val="0"/>
                <w:color w:val="auto"/>
                <w:sz w:val="21"/>
                <w:szCs w:val="21"/>
                <w:highlight w:val="none"/>
                <w:u w:val="none"/>
                <w:lang w:val="en-US" w:eastAsia="zh-CN"/>
              </w:rPr>
              <w:t>本</w:t>
            </w:r>
            <w:r>
              <w:rPr>
                <w:rFonts w:hint="default" w:ascii="Times New Roman" w:hAnsi="Times New Roman" w:cs="Times New Roman"/>
                <w:b w:val="0"/>
                <w:bCs w:val="0"/>
                <w:color w:val="auto"/>
                <w:sz w:val="21"/>
                <w:szCs w:val="21"/>
                <w:highlight w:val="none"/>
                <w:u w:val="none"/>
                <w:lang w:val="en-US" w:eastAsia="zh-CN"/>
              </w:rPr>
              <w:t>项目</w:t>
            </w:r>
            <w:r>
              <w:rPr>
                <w:rFonts w:hint="eastAsia" w:ascii="Times New Roman" w:hAnsi="Times New Roman" w:cs="Times New Roman"/>
                <w:b w:val="0"/>
                <w:bCs w:val="0"/>
                <w:color w:val="auto"/>
                <w:sz w:val="21"/>
                <w:szCs w:val="21"/>
                <w:highlight w:val="none"/>
                <w:u w:val="none"/>
                <w:lang w:val="en-US" w:eastAsia="zh-CN"/>
              </w:rPr>
              <w:t>与</w:t>
            </w:r>
            <w:r>
              <w:rPr>
                <w:rFonts w:hint="default" w:ascii="Times New Roman" w:hAnsi="Times New Roman" w:cs="Times New Roman"/>
                <w:b w:val="0"/>
                <w:bCs w:val="0"/>
                <w:color w:val="auto"/>
                <w:sz w:val="21"/>
                <w:szCs w:val="21"/>
                <w:highlight w:val="none"/>
                <w:u w:val="none"/>
                <w:lang w:val="en-US" w:eastAsia="zh-CN"/>
              </w:rPr>
              <w:t>“十九、玻璃”行业中“表19-3玻璃后加工、玻璃球拉丝企业绩效引领性指标”对照，具体</w:t>
            </w:r>
            <w:r>
              <w:rPr>
                <w:rFonts w:hint="default" w:ascii="Times New Roman" w:hAnsi="Times New Roman" w:eastAsia="宋体" w:cs="Times New Roman"/>
                <w:b w:val="0"/>
                <w:bCs w:val="0"/>
                <w:color w:val="auto"/>
                <w:sz w:val="21"/>
                <w:szCs w:val="21"/>
                <w:highlight w:val="none"/>
                <w:u w:val="none"/>
                <w:lang w:val="en-US" w:eastAsia="zh-CN"/>
              </w:rPr>
              <w:t>分析</w:t>
            </w:r>
            <w:r>
              <w:rPr>
                <w:rFonts w:hint="default" w:ascii="Times New Roman" w:hAnsi="Times New Roman" w:eastAsia="宋体" w:cs="Times New Roman"/>
                <w:b w:val="0"/>
                <w:bCs w:val="0"/>
                <w:color w:val="auto"/>
                <w:sz w:val="21"/>
                <w:szCs w:val="21"/>
                <w:highlight w:val="none"/>
                <w:u w:val="none"/>
                <w:lang w:val="pt-BR" w:eastAsia="zh-CN"/>
              </w:rPr>
              <w:t>见下表：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pt-BR" w:eastAsia="zh-CN"/>
              </w:rPr>
            </w:pPr>
            <w:r>
              <w:rPr>
                <w:rFonts w:hint="default" w:ascii="Times New Roman" w:hAnsi="Times New Roman" w:eastAsia="黑体" w:cs="Times New Roman"/>
                <w:color w:val="auto"/>
                <w:sz w:val="18"/>
                <w:szCs w:val="18"/>
                <w:highlight w:val="none"/>
                <w:lang w:val="pt-BR" w:eastAsia="zh-CN"/>
              </w:rPr>
              <w:t>与</w:t>
            </w:r>
            <w:r>
              <w:rPr>
                <w:rFonts w:hint="default" w:ascii="Times New Roman" w:hAnsi="Times New Roman" w:eastAsia="黑体" w:cs="Times New Roman"/>
                <w:color w:val="auto"/>
                <w:sz w:val="18"/>
                <w:szCs w:val="18"/>
                <w:highlight w:val="none"/>
                <w:lang w:val="en-US" w:eastAsia="zh-CN"/>
              </w:rPr>
              <w:t>玻璃后加工企业引领性指标的对照分析</w:t>
            </w:r>
          </w:p>
          <w:tbl>
            <w:tblPr>
              <w:tblStyle w:val="22"/>
              <w:tblW w:w="4996" w:type="pct"/>
              <w:jc w:val="center"/>
              <w:tblBorders>
                <w:top w:val="single" w:color="auto" w:sz="6" w:space="0"/>
                <w:left w:val="none" w:color="auto" w:sz="0" w:space="0"/>
                <w:bottom w:val="single" w:color="auto" w:sz="6" w:space="0"/>
                <w:right w:val="none" w:color="auto" w:sz="0" w:space="0"/>
                <w:insideH w:val="single" w:color="auto" w:sz="8" w:space="0"/>
                <w:insideV w:val="single" w:color="auto" w:sz="6" w:space="0"/>
              </w:tblBorders>
              <w:tblLayout w:type="autofit"/>
              <w:tblCellMar>
                <w:top w:w="0" w:type="dxa"/>
                <w:left w:w="108" w:type="dxa"/>
                <w:bottom w:w="0" w:type="dxa"/>
                <w:right w:w="108" w:type="dxa"/>
              </w:tblCellMar>
            </w:tblPr>
            <w:tblGrid>
              <w:gridCol w:w="748"/>
              <w:gridCol w:w="3075"/>
              <w:gridCol w:w="1689"/>
              <w:gridCol w:w="665"/>
            </w:tblGrid>
            <w:tr>
              <w:tblPrEx>
                <w:tblBorders>
                  <w:top w:val="single" w:color="auto" w:sz="6" w:space="0"/>
                  <w:left w:val="none" w:color="auto" w:sz="0" w:space="0"/>
                  <w:bottom w:val="single" w:color="auto" w:sz="6"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引领性指标</w:t>
                  </w:r>
                </w:p>
              </w:tc>
              <w:tc>
                <w:tcPr>
                  <w:tcW w:w="24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玻璃后加工企业</w:t>
                  </w:r>
                </w:p>
              </w:tc>
              <w:tc>
                <w:tcPr>
                  <w:tcW w:w="13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baseline"/>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本项目情况</w:t>
                  </w:r>
                </w:p>
              </w:tc>
              <w:tc>
                <w:tcPr>
                  <w:tcW w:w="5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jc w:val="center"/>
                    <w:textAlignment w:val="baseline"/>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相符性</w:t>
                  </w:r>
                </w:p>
              </w:tc>
            </w:tr>
            <w:tr>
              <w:tblPrEx>
                <w:tblBorders>
                  <w:top w:val="single" w:color="auto" w:sz="6" w:space="0"/>
                  <w:left w:val="none" w:color="auto" w:sz="0" w:space="0"/>
                  <w:bottom w:val="single" w:color="auto" w:sz="6"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能源</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类型</w:t>
                  </w:r>
                </w:p>
              </w:tc>
              <w:tc>
                <w:tcPr>
                  <w:tcW w:w="24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cs="Times New Roman"/>
                      <w:b w:val="0"/>
                      <w:bCs w:val="0"/>
                      <w:color w:val="auto"/>
                      <w:sz w:val="18"/>
                      <w:szCs w:val="18"/>
                      <w:highlight w:val="none"/>
                      <w:u w:val="none"/>
                      <w:lang w:eastAsia="zh-CN"/>
                    </w:rPr>
                    <w:t>电</w:t>
                  </w:r>
                </w:p>
              </w:tc>
              <w:tc>
                <w:tcPr>
                  <w:tcW w:w="13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cs="Times New Roman"/>
                      <w:b w:val="0"/>
                      <w:bCs w:val="0"/>
                      <w:color w:val="auto"/>
                      <w:sz w:val="18"/>
                      <w:szCs w:val="18"/>
                      <w:highlight w:val="none"/>
                      <w:u w:val="none"/>
                      <w:lang w:eastAsia="zh-CN"/>
                    </w:rPr>
                    <w:t>项目生产所用能源均为电能</w:t>
                  </w:r>
                </w:p>
              </w:tc>
              <w:tc>
                <w:tcPr>
                  <w:tcW w:w="5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相符</w:t>
                  </w:r>
                </w:p>
              </w:tc>
            </w:tr>
            <w:tr>
              <w:tblPrEx>
                <w:tblBorders>
                  <w:top w:val="single" w:color="auto" w:sz="6" w:space="0"/>
                  <w:left w:val="none" w:color="auto" w:sz="0" w:space="0"/>
                  <w:bottom w:val="single" w:color="auto" w:sz="6"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污染治理技术</w:t>
                  </w:r>
                </w:p>
              </w:tc>
              <w:tc>
                <w:tcPr>
                  <w:tcW w:w="24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1、除尘采用袋式除尘工艺；</w:t>
                  </w:r>
                </w:p>
                <w:p>
                  <w:pPr>
                    <w:keepNext w:val="0"/>
                    <w:keepLines w:val="0"/>
                    <w:pageBreakBefore w:val="0"/>
                    <w:widowControl w:val="0"/>
                    <w:suppressLineNumbers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rPr>
                    <w:t>2、日用玻璃喷涂彩装工序VOCs治理采用喷淋洗涤、吸附、氧化等两种及以上组合工艺或燃烧工艺；玻璃棉施胶VOCs采用燃烧或喷淋、吸附、低温等离子体、生物法等两种以上组合工艺</w:t>
                  </w:r>
                  <w:r>
                    <w:rPr>
                      <w:rFonts w:hint="default" w:ascii="Times New Roman" w:hAnsi="Times New Roman" w:cs="Times New Roman"/>
                      <w:b w:val="0"/>
                      <w:bCs w:val="0"/>
                      <w:color w:val="auto"/>
                      <w:sz w:val="18"/>
                      <w:szCs w:val="18"/>
                      <w:highlight w:val="none"/>
                      <w:u w:val="none"/>
                      <w:lang w:eastAsia="zh-CN"/>
                    </w:rPr>
                    <w:t>。</w:t>
                  </w:r>
                </w:p>
              </w:tc>
              <w:tc>
                <w:tcPr>
                  <w:tcW w:w="13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jc w:val="both"/>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r>
                    <w:rPr>
                      <w:rFonts w:hint="default" w:ascii="Times New Roman" w:hAnsi="Times New Roman" w:cs="Times New Roman"/>
                      <w:b w:val="0"/>
                      <w:bCs w:val="0"/>
                      <w:color w:val="auto"/>
                      <w:sz w:val="18"/>
                      <w:szCs w:val="18"/>
                      <w:highlight w:val="none"/>
                      <w:u w:val="none"/>
                      <w:lang w:eastAsia="zh-CN"/>
                    </w:rPr>
                    <w:t>本次技改工程生产过程不涉及废气排放；</w:t>
                  </w:r>
                  <w:r>
                    <w:rPr>
                      <w:rFonts w:hint="default" w:ascii="Times New Roman" w:hAnsi="Times New Roman" w:cs="Times New Roman"/>
                      <w:b w:val="0"/>
                      <w:bCs w:val="0"/>
                      <w:color w:val="auto"/>
                      <w:sz w:val="18"/>
                      <w:szCs w:val="18"/>
                      <w:highlight w:val="none"/>
                      <w:u w:val="none"/>
                      <w:lang w:eastAsia="zh-CN"/>
                    </w:rPr>
                    <w:br w:type="textWrapping"/>
                  </w:r>
                  <w:r>
                    <w:rPr>
                      <w:rFonts w:hint="default" w:ascii="Times New Roman" w:hAnsi="Times New Roman" w:cs="Times New Roman"/>
                      <w:b w:val="0"/>
                      <w:bCs w:val="0"/>
                      <w:color w:val="auto"/>
                      <w:sz w:val="18"/>
                      <w:szCs w:val="18"/>
                      <w:highlight w:val="none"/>
                      <w:u w:val="none"/>
                      <w:lang w:val="en-US" w:eastAsia="zh-CN"/>
                    </w:rPr>
                    <w:t>2、本次技改不涉及</w:t>
                  </w:r>
                  <w:r>
                    <w:rPr>
                      <w:rFonts w:hint="default" w:ascii="Times New Roman" w:hAnsi="Times New Roman" w:eastAsia="宋体" w:cs="Times New Roman"/>
                      <w:b w:val="0"/>
                      <w:bCs w:val="0"/>
                      <w:color w:val="auto"/>
                      <w:sz w:val="18"/>
                      <w:szCs w:val="18"/>
                      <w:highlight w:val="none"/>
                      <w:u w:val="none"/>
                    </w:rPr>
                    <w:t>喷涂彩装工序</w:t>
                  </w:r>
                </w:p>
              </w:tc>
              <w:tc>
                <w:tcPr>
                  <w:tcW w:w="5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相符</w:t>
                  </w:r>
                </w:p>
              </w:tc>
            </w:tr>
            <w:tr>
              <w:tblPrEx>
                <w:tblBorders>
                  <w:top w:val="single" w:color="auto" w:sz="6" w:space="0"/>
                  <w:left w:val="none" w:color="auto" w:sz="0" w:space="0"/>
                  <w:bottom w:val="single" w:color="auto" w:sz="6"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排放</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限值</w:t>
                  </w:r>
                </w:p>
              </w:tc>
              <w:tc>
                <w:tcPr>
                  <w:tcW w:w="24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val="0"/>
                      <w:color w:val="auto"/>
                      <w:sz w:val="18"/>
                      <w:szCs w:val="18"/>
                      <w:highlight w:val="none"/>
                      <w:u w:val="none"/>
                      <w:vertAlign w:val="baseline"/>
                      <w:lang w:eastAsia="zh-CN"/>
                    </w:rPr>
                  </w:pPr>
                  <w:r>
                    <w:rPr>
                      <w:rFonts w:hint="default" w:ascii="Times New Roman" w:hAnsi="Times New Roman" w:eastAsia="宋体" w:cs="Times New Roman"/>
                      <w:b w:val="0"/>
                      <w:bCs w:val="0"/>
                      <w:color w:val="auto"/>
                      <w:sz w:val="18"/>
                      <w:szCs w:val="18"/>
                      <w:highlight w:val="none"/>
                      <w:u w:val="none"/>
                    </w:rPr>
                    <w:t>PM</w:t>
                  </w:r>
                  <w:r>
                    <w:rPr>
                      <w:rFonts w:hint="default" w:ascii="Times New Roman" w:hAnsi="Times New Roman" w:cs="Times New Roman"/>
                      <w:b w:val="0"/>
                      <w:bCs w:val="0"/>
                      <w:color w:val="auto"/>
                      <w:sz w:val="18"/>
                      <w:szCs w:val="18"/>
                      <w:highlight w:val="none"/>
                      <w:u w:val="none"/>
                      <w:lang w:eastAsia="zh-CN"/>
                    </w:rPr>
                    <w:t>、</w:t>
                  </w:r>
                  <w:r>
                    <w:rPr>
                      <w:rFonts w:hint="default" w:ascii="Times New Roman" w:hAnsi="Times New Roman" w:eastAsia="宋体" w:cs="Times New Roman"/>
                      <w:b w:val="0"/>
                      <w:bCs w:val="0"/>
                      <w:color w:val="auto"/>
                      <w:sz w:val="18"/>
                      <w:szCs w:val="18"/>
                      <w:highlight w:val="none"/>
                      <w:u w:val="none"/>
                    </w:rPr>
                    <w:t>NMHC排放浓度分别不高于10、60mg/m</w:t>
                  </w:r>
                  <w:r>
                    <w:rPr>
                      <w:rFonts w:hint="default" w:ascii="Times New Roman" w:hAnsi="Times New Roman" w:eastAsia="宋体" w:cs="Times New Roman"/>
                      <w:b w:val="0"/>
                      <w:bCs w:val="0"/>
                      <w:color w:val="auto"/>
                      <w:sz w:val="18"/>
                      <w:szCs w:val="18"/>
                      <w:highlight w:val="none"/>
                      <w:u w:val="none"/>
                      <w:vertAlign w:val="superscript"/>
                    </w:rPr>
                    <w:t>3</w:t>
                  </w:r>
                  <w:r>
                    <w:rPr>
                      <w:rFonts w:hint="default" w:ascii="Times New Roman" w:hAnsi="Times New Roman" w:cs="Times New Roman"/>
                      <w:b w:val="0"/>
                      <w:bCs w:val="0"/>
                      <w:color w:val="auto"/>
                      <w:sz w:val="18"/>
                      <w:szCs w:val="18"/>
                      <w:highlight w:val="none"/>
                      <w:u w:val="none"/>
                      <w:vertAlign w:val="baseline"/>
                      <w:lang w:eastAsia="zh-CN"/>
                    </w:rPr>
                    <w:t>。</w:t>
                  </w:r>
                </w:p>
              </w:tc>
              <w:tc>
                <w:tcPr>
                  <w:tcW w:w="13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jc w:val="both"/>
                    <w:textAlignment w:val="auto"/>
                    <w:rPr>
                      <w:rFonts w:hint="default" w:ascii="Times New Roman" w:hAnsi="Times New Roman" w:eastAsia="宋体" w:cs="Times New Roman"/>
                      <w:b w:val="0"/>
                      <w:bCs w:val="0"/>
                      <w:color w:val="auto"/>
                      <w:sz w:val="18"/>
                      <w:szCs w:val="18"/>
                      <w:highlight w:val="none"/>
                      <w:u w:val="none"/>
                      <w:lang w:val="en-US" w:eastAsia="zh-CN"/>
                    </w:rPr>
                  </w:pPr>
                  <w:r>
                    <w:rPr>
                      <w:rFonts w:hint="default" w:ascii="Times New Roman" w:hAnsi="Times New Roman" w:cs="Times New Roman"/>
                      <w:b w:val="0"/>
                      <w:bCs w:val="0"/>
                      <w:color w:val="auto"/>
                      <w:sz w:val="18"/>
                      <w:szCs w:val="18"/>
                      <w:highlight w:val="none"/>
                      <w:u w:val="none"/>
                      <w:lang w:eastAsia="zh-CN"/>
                    </w:rPr>
                    <w:t>本次技改工程生产过程不涉及废气排放</w:t>
                  </w:r>
                </w:p>
              </w:tc>
              <w:tc>
                <w:tcPr>
                  <w:tcW w:w="5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cs="Times New Roman"/>
                      <w:b w:val="0"/>
                      <w:bCs w:val="0"/>
                      <w:color w:val="auto"/>
                      <w:sz w:val="18"/>
                      <w:szCs w:val="18"/>
                      <w:highlight w:val="none"/>
                      <w:u w:val="none"/>
                      <w:lang w:eastAsia="zh-CN"/>
                    </w:rPr>
                    <w:t>不涉及</w:t>
                  </w:r>
                </w:p>
              </w:tc>
            </w:tr>
            <w:tr>
              <w:tblPrEx>
                <w:tblBorders>
                  <w:top w:val="single" w:color="auto" w:sz="6" w:space="0"/>
                  <w:left w:val="none" w:color="auto" w:sz="0" w:space="0"/>
                  <w:bottom w:val="single" w:color="auto" w:sz="6"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无组织排放</w:t>
                  </w:r>
                </w:p>
              </w:tc>
              <w:tc>
                <w:tcPr>
                  <w:tcW w:w="24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1、采取封闭等有效措施，生产工艺产尘点及车间不得有可见烟粉尘外逸；</w:t>
                  </w:r>
                </w:p>
                <w:p>
                  <w:pPr>
                    <w:keepNext w:val="0"/>
                    <w:keepLines w:val="0"/>
                    <w:pageBreakBefore w:val="0"/>
                    <w:widowControl w:val="0"/>
                    <w:suppressLineNumbers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2、除尘灰等粉状物料应封闭储存，采用密闭车厢等方式输送；</w:t>
                  </w:r>
                </w:p>
                <w:p>
                  <w:pPr>
                    <w:keepNext w:val="0"/>
                    <w:keepLines w:val="0"/>
                    <w:pageBreakBefore w:val="0"/>
                    <w:widowControl w:val="0"/>
                    <w:suppressLineNumbers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3、物料输送过程中产尘点应采取有效抑尘措施；</w:t>
                  </w:r>
                </w:p>
                <w:p>
                  <w:pPr>
                    <w:keepNext w:val="0"/>
                    <w:keepLines w:val="0"/>
                    <w:pageBreakBefore w:val="0"/>
                    <w:widowControl w:val="0"/>
                    <w:suppressLineNumbers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rPr>
                    <w:t>4、生产工艺产尘点（装置）应采取封闭，并设置集气罩等措施</w:t>
                  </w:r>
                  <w:r>
                    <w:rPr>
                      <w:rFonts w:hint="default" w:ascii="Times New Roman" w:hAnsi="Times New Roman" w:cs="Times New Roman"/>
                      <w:b w:val="0"/>
                      <w:bCs w:val="0"/>
                      <w:color w:val="auto"/>
                      <w:sz w:val="18"/>
                      <w:szCs w:val="18"/>
                      <w:highlight w:val="none"/>
                      <w:u w:val="none"/>
                      <w:lang w:eastAsia="zh-CN"/>
                    </w:rPr>
                    <w:t>。</w:t>
                  </w:r>
                </w:p>
              </w:tc>
              <w:tc>
                <w:tcPr>
                  <w:tcW w:w="13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jc w:val="both"/>
                    <w:textAlignment w:val="auto"/>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cs="Times New Roman"/>
                      <w:b w:val="0"/>
                      <w:bCs w:val="0"/>
                      <w:color w:val="auto"/>
                      <w:sz w:val="18"/>
                      <w:szCs w:val="18"/>
                      <w:highlight w:val="none"/>
                      <w:u w:val="none"/>
                      <w:lang w:eastAsia="zh-CN"/>
                    </w:rPr>
                    <w:t>本次技改工程生产过程不涉及废气排放</w:t>
                  </w:r>
                </w:p>
              </w:tc>
              <w:tc>
                <w:tcPr>
                  <w:tcW w:w="5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相符</w:t>
                  </w:r>
                </w:p>
              </w:tc>
            </w:tr>
            <w:tr>
              <w:tblPrEx>
                <w:tblBorders>
                  <w:top w:val="single" w:color="auto" w:sz="6" w:space="0"/>
                  <w:left w:val="none" w:color="auto" w:sz="0" w:space="0"/>
                  <w:bottom w:val="single" w:color="auto" w:sz="6"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环境管理水平</w:t>
                  </w:r>
                </w:p>
              </w:tc>
              <w:tc>
                <w:tcPr>
                  <w:tcW w:w="24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rPr>
                    <w:t>环保档案齐全：1、环评批复文件；2、竣工验收文件；3、一年内第三方废气检测报告</w:t>
                  </w:r>
                  <w:r>
                    <w:rPr>
                      <w:rFonts w:hint="default" w:ascii="Times New Roman" w:hAnsi="Times New Roman" w:cs="Times New Roman"/>
                      <w:b w:val="0"/>
                      <w:bCs w:val="0"/>
                      <w:color w:val="auto"/>
                      <w:sz w:val="18"/>
                      <w:szCs w:val="18"/>
                      <w:highlight w:val="none"/>
                      <w:u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台账记录：1、完整生产管理台账（包括生产设备运行台账，原辅材料、燃料使用量，产品产量等）；2、运输管理电子台账（包括车辆出入场记录、车牌号、VIN号、发动机编号和排放阶段等）；3、设备维护记录；4、废气治理设备清单及记录（包括主要污染治理设备、运行记录等）；5、耗材清单（除尘器等滤料更换记录）；</w:t>
                  </w:r>
                </w:p>
                <w:p>
                  <w:pPr>
                    <w:keepNext w:val="0"/>
                    <w:keepLines w:val="0"/>
                    <w:pageBreakBefore w:val="0"/>
                    <w:widowControl w:val="0"/>
                    <w:suppressLineNumbers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rPr>
                    <w:t>管理制度健全：1、专兼职环保人员；2、废气治理设施运行管理规程</w:t>
                  </w:r>
                  <w:r>
                    <w:rPr>
                      <w:rFonts w:hint="default" w:ascii="Times New Roman" w:hAnsi="Times New Roman" w:cs="Times New Roman"/>
                      <w:b w:val="0"/>
                      <w:bCs w:val="0"/>
                      <w:color w:val="auto"/>
                      <w:sz w:val="18"/>
                      <w:szCs w:val="18"/>
                      <w:highlight w:val="none"/>
                      <w:u w:val="none"/>
                      <w:lang w:eastAsia="zh-CN"/>
                    </w:rPr>
                    <w:t>。</w:t>
                  </w:r>
                </w:p>
              </w:tc>
              <w:tc>
                <w:tcPr>
                  <w:tcW w:w="13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jc w:val="both"/>
                    <w:textAlignment w:val="auto"/>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cs="Times New Roman"/>
                      <w:b w:val="0"/>
                      <w:bCs w:val="0"/>
                      <w:color w:val="auto"/>
                      <w:sz w:val="18"/>
                      <w:szCs w:val="18"/>
                      <w:highlight w:val="none"/>
                      <w:u w:val="none"/>
                      <w:lang w:eastAsia="zh-CN"/>
                    </w:rPr>
                    <w:t>企业按照要求做到环保档案齐全，台账记录完整，管理制度较为健全</w:t>
                  </w:r>
                </w:p>
              </w:tc>
              <w:tc>
                <w:tcPr>
                  <w:tcW w:w="5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相符</w:t>
                  </w:r>
                </w:p>
              </w:tc>
            </w:tr>
            <w:tr>
              <w:tblPrEx>
                <w:tblBorders>
                  <w:top w:val="single" w:color="auto" w:sz="6" w:space="0"/>
                  <w:left w:val="none" w:color="auto" w:sz="0" w:space="0"/>
                  <w:bottom w:val="single" w:color="auto" w:sz="6"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运输</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方式</w:t>
                  </w:r>
                </w:p>
              </w:tc>
              <w:tc>
                <w:tcPr>
                  <w:tcW w:w="24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1、物料公路运输全部使用达到国五及以上排放标准重型载货车辆（含燃气）或新能源车辆；</w:t>
                  </w:r>
                </w:p>
                <w:p>
                  <w:pPr>
                    <w:keepNext w:val="0"/>
                    <w:keepLines w:val="0"/>
                    <w:pageBreakBefore w:val="0"/>
                    <w:widowControl w:val="0"/>
                    <w:suppressLineNumbers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val="0"/>
                      <w:color w:val="auto"/>
                      <w:sz w:val="18"/>
                      <w:szCs w:val="18"/>
                      <w:highlight w:val="none"/>
                      <w:u w:val="none"/>
                    </w:rPr>
                  </w:pPr>
                  <w:r>
                    <w:rPr>
                      <w:rFonts w:hint="default" w:ascii="Times New Roman" w:hAnsi="Times New Roman" w:eastAsia="宋体" w:cs="Times New Roman"/>
                      <w:b w:val="0"/>
                      <w:bCs w:val="0"/>
                      <w:color w:val="auto"/>
                      <w:sz w:val="18"/>
                      <w:szCs w:val="18"/>
                      <w:highlight w:val="none"/>
                      <w:u w:val="none"/>
                    </w:rPr>
                    <w:t>2、厂内运输车辆全部达到国五及以上排放标准（含燃气）或使用新能源车辆；</w:t>
                  </w:r>
                </w:p>
                <w:p>
                  <w:pPr>
                    <w:keepNext w:val="0"/>
                    <w:keepLines w:val="0"/>
                    <w:pageBreakBefore w:val="0"/>
                    <w:widowControl w:val="0"/>
                    <w:suppressLineNumbers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rPr>
                    <w:t>3、厂内非道路移动机械全部达到国三及以上排放标准或使用新能源机械</w:t>
                  </w:r>
                  <w:r>
                    <w:rPr>
                      <w:rFonts w:hint="default" w:ascii="Times New Roman" w:hAnsi="Times New Roman" w:cs="Times New Roman"/>
                      <w:b w:val="0"/>
                      <w:bCs w:val="0"/>
                      <w:color w:val="auto"/>
                      <w:sz w:val="18"/>
                      <w:szCs w:val="18"/>
                      <w:highlight w:val="none"/>
                      <w:u w:val="none"/>
                      <w:lang w:eastAsia="zh-CN"/>
                    </w:rPr>
                    <w:t>。</w:t>
                  </w:r>
                </w:p>
              </w:tc>
              <w:tc>
                <w:tcPr>
                  <w:tcW w:w="13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cs="Times New Roman"/>
                      <w:b w:val="0"/>
                      <w:bCs w:val="0"/>
                      <w:color w:val="auto"/>
                      <w:sz w:val="18"/>
                      <w:szCs w:val="18"/>
                      <w:highlight w:val="none"/>
                      <w:u w:val="none"/>
                      <w:lang w:eastAsia="zh-CN"/>
                    </w:rPr>
                    <w:t>工程原料、成品等均委托运输公司采用国五及以上车辆运输，项目生产过程不使用</w:t>
                  </w:r>
                  <w:r>
                    <w:rPr>
                      <w:rFonts w:hint="default" w:ascii="Times New Roman" w:hAnsi="Times New Roman" w:eastAsia="宋体" w:cs="Times New Roman"/>
                      <w:b w:val="0"/>
                      <w:bCs w:val="0"/>
                      <w:color w:val="auto"/>
                      <w:sz w:val="18"/>
                      <w:szCs w:val="18"/>
                      <w:highlight w:val="none"/>
                      <w:u w:val="none"/>
                    </w:rPr>
                    <w:t>非道路移动机械</w:t>
                  </w:r>
                </w:p>
              </w:tc>
              <w:tc>
                <w:tcPr>
                  <w:tcW w:w="5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相符</w:t>
                  </w:r>
                </w:p>
              </w:tc>
            </w:tr>
            <w:tr>
              <w:tblPrEx>
                <w:tblBorders>
                  <w:top w:val="single" w:color="auto" w:sz="6" w:space="0"/>
                  <w:left w:val="none" w:color="auto" w:sz="0" w:space="0"/>
                  <w:bottom w:val="single" w:color="auto" w:sz="6"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运输</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监管</w:t>
                  </w:r>
                </w:p>
              </w:tc>
              <w:tc>
                <w:tcPr>
                  <w:tcW w:w="24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val="0"/>
                      <w:color w:val="auto"/>
                      <w:sz w:val="18"/>
                      <w:szCs w:val="18"/>
                      <w:highlight w:val="none"/>
                      <w:u w:val="none"/>
                      <w:lang w:val="en-US" w:eastAsia="zh-CN"/>
                    </w:rPr>
                  </w:pPr>
                  <w:r>
                    <w:rPr>
                      <w:rFonts w:hint="default" w:ascii="Times New Roman" w:hAnsi="Times New Roman" w:eastAsia="宋体" w:cs="Times New Roman"/>
                      <w:b w:val="0"/>
                      <w:bCs w:val="0"/>
                      <w:color w:val="auto"/>
                      <w:sz w:val="18"/>
                      <w:szCs w:val="18"/>
                      <w:highlight w:val="none"/>
                      <w:u w:val="none"/>
                      <w:lang w:val="en-US" w:eastAsia="zh-CN"/>
                    </w:rPr>
                    <w:t>参照《重污染天气重点行业移动源应急管理技术指南》建立门禁系统和电子台账</w:t>
                  </w:r>
                  <w:r>
                    <w:rPr>
                      <w:rFonts w:hint="default" w:ascii="Times New Roman" w:hAnsi="Times New Roman" w:cs="Times New Roman"/>
                      <w:b w:val="0"/>
                      <w:bCs w:val="0"/>
                      <w:color w:val="auto"/>
                      <w:sz w:val="18"/>
                      <w:szCs w:val="18"/>
                      <w:highlight w:val="none"/>
                      <w:u w:val="none"/>
                      <w:lang w:val="en-US" w:eastAsia="zh-CN"/>
                    </w:rPr>
                    <w:t>。</w:t>
                  </w:r>
                </w:p>
              </w:tc>
              <w:tc>
                <w:tcPr>
                  <w:tcW w:w="13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cs="Times New Roman"/>
                      <w:b w:val="0"/>
                      <w:bCs w:val="0"/>
                      <w:color w:val="auto"/>
                      <w:sz w:val="18"/>
                      <w:szCs w:val="18"/>
                      <w:highlight w:val="none"/>
                      <w:u w:val="none"/>
                      <w:lang w:eastAsia="zh-CN"/>
                    </w:rPr>
                    <w:t>工程已按照要求安装</w:t>
                  </w:r>
                  <w:r>
                    <w:rPr>
                      <w:rFonts w:hint="default" w:ascii="Times New Roman" w:hAnsi="Times New Roman" w:eastAsia="宋体" w:cs="Times New Roman"/>
                      <w:b w:val="0"/>
                      <w:bCs w:val="0"/>
                      <w:color w:val="auto"/>
                      <w:sz w:val="18"/>
                      <w:szCs w:val="18"/>
                      <w:highlight w:val="none"/>
                      <w:u w:val="none"/>
                      <w:lang w:val="en-US" w:eastAsia="zh-CN"/>
                    </w:rPr>
                    <w:t>门禁系统</w:t>
                  </w:r>
                  <w:r>
                    <w:rPr>
                      <w:rFonts w:hint="default" w:ascii="Times New Roman" w:hAnsi="Times New Roman" w:cs="Times New Roman"/>
                      <w:b w:val="0"/>
                      <w:bCs w:val="0"/>
                      <w:color w:val="auto"/>
                      <w:sz w:val="18"/>
                      <w:szCs w:val="18"/>
                      <w:highlight w:val="none"/>
                      <w:u w:val="none"/>
                      <w:lang w:val="en-US" w:eastAsia="zh-CN"/>
                    </w:rPr>
                    <w:t>，并建立</w:t>
                  </w:r>
                  <w:r>
                    <w:rPr>
                      <w:rFonts w:hint="default" w:ascii="Times New Roman" w:hAnsi="Times New Roman" w:eastAsia="宋体" w:cs="Times New Roman"/>
                      <w:b w:val="0"/>
                      <w:bCs w:val="0"/>
                      <w:color w:val="auto"/>
                      <w:sz w:val="18"/>
                      <w:szCs w:val="18"/>
                      <w:highlight w:val="none"/>
                      <w:u w:val="none"/>
                      <w:lang w:val="en-US" w:eastAsia="zh-CN"/>
                    </w:rPr>
                    <w:t>电子台账</w:t>
                  </w:r>
                </w:p>
              </w:tc>
              <w:tc>
                <w:tcPr>
                  <w:tcW w:w="5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baseline"/>
                    <w:rPr>
                      <w:rFonts w:hint="default" w:ascii="Times New Roman" w:hAnsi="Times New Roman" w:eastAsia="宋体" w:cs="Times New Roman"/>
                      <w:b w:val="0"/>
                      <w:bCs w:val="0"/>
                      <w:color w:val="auto"/>
                      <w:sz w:val="18"/>
                      <w:szCs w:val="18"/>
                      <w:highlight w:val="none"/>
                      <w:u w:val="none"/>
                      <w:lang w:eastAsia="zh-CN"/>
                    </w:rPr>
                  </w:pPr>
                  <w:r>
                    <w:rPr>
                      <w:rFonts w:hint="default" w:ascii="Times New Roman" w:hAnsi="Times New Roman" w:eastAsia="宋体" w:cs="Times New Roman"/>
                      <w:b w:val="0"/>
                      <w:bCs w:val="0"/>
                      <w:color w:val="auto"/>
                      <w:sz w:val="18"/>
                      <w:szCs w:val="18"/>
                      <w:highlight w:val="none"/>
                      <w:u w:val="none"/>
                      <w:lang w:eastAsia="zh-CN"/>
                    </w:rPr>
                    <w:t>相符</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b/>
                <w:bCs w:val="0"/>
                <w:color w:val="auto"/>
              </w:rPr>
            </w:pPr>
            <w:r>
              <w:rPr>
                <w:rFonts w:hint="eastAsia" w:cs="Times New Roman"/>
                <w:b/>
                <w:bCs w:val="0"/>
                <w:color w:val="auto"/>
                <w:szCs w:val="24"/>
                <w:highlight w:val="none"/>
                <w:lang w:val="en-US" w:eastAsia="zh-CN"/>
              </w:rPr>
              <w:t>6、</w:t>
            </w:r>
            <w:r>
              <w:rPr>
                <w:rFonts w:hint="default" w:ascii="Times New Roman" w:hAnsi="Times New Roman" w:cs="Times New Roman"/>
                <w:b/>
                <w:bCs w:val="0"/>
                <w:color w:val="auto"/>
                <w:szCs w:val="24"/>
                <w:highlight w:val="none"/>
              </w:rPr>
              <w:t>与《新乡市生态环境局关于部署按照工业企业用电量监控系统的通知》（新环[2019]154号）（以下简称用电量监控通知）的对照分析</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项目与《用电量监控通知》相符性分析</w:t>
            </w:r>
          </w:p>
          <w:tbl>
            <w:tblPr>
              <w:tblStyle w:val="22"/>
              <w:tblW w:w="4999" w:type="pct"/>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3252"/>
              <w:gridCol w:w="1584"/>
              <w:gridCol w:w="725"/>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类别</w:t>
                  </w:r>
                </w:p>
              </w:tc>
              <w:tc>
                <w:tcPr>
                  <w:tcW w:w="263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contextualSpacing/>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《新乡市生态环境局关于部署按照工业企业用电量监控系统的通知》有关要求</w:t>
                  </w:r>
                </w:p>
              </w:tc>
              <w:tc>
                <w:tcPr>
                  <w:tcW w:w="12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本项目情况</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对比</w:t>
                  </w:r>
                </w:p>
                <w:p>
                  <w:pPr>
                    <w:keepNext w:val="0"/>
                    <w:keepLines w:val="0"/>
                    <w:pageBreakBefore w:val="0"/>
                    <w:widowControl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结论</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安装范围</w:t>
                  </w:r>
                </w:p>
              </w:tc>
              <w:tc>
                <w:tcPr>
                  <w:tcW w:w="2630" w:type="pct"/>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第一批安装部署用电量监控系统的企业为：新乡市辖区内国控、省控、市控重点监控企业、涉VOCs污染排放的企业、铸造行业、建材行业，然后逐步扩展至新乡市辖区内所有排污企业。所有排污企业的总用电控制位置、主要生产设施和污染治理设施必须安装用电量监控系统终端。</w:t>
                  </w:r>
                </w:p>
              </w:tc>
              <w:tc>
                <w:tcPr>
                  <w:tcW w:w="128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contextualSpacing/>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本项目属于用电量监控系统的安装范围，企业应按照要求在总用电控制位置、主要生产设施和污染治理设施安装用电量监控系统终端。</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contextualSpacing/>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20" w:firstLineChars="200"/>
              <w:jc w:val="left"/>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本项目应按照要求在总用电控制位置、主要生产设施和污染治理设施安装用电量监控系统终端。</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22" w:firstLineChars="200"/>
              <w:jc w:val="left"/>
              <w:textAlignment w:val="auto"/>
              <w:rPr>
                <w:rFonts w:hint="default" w:ascii="Times New Roman" w:hAnsi="Times New Roman" w:eastAsia="黑体" w:cs="Times New Roman"/>
                <w:color w:val="auto"/>
                <w:kern w:val="2"/>
                <w:sz w:val="21"/>
                <w:szCs w:val="21"/>
                <w:highlight w:val="none"/>
              </w:rPr>
            </w:pPr>
            <w:r>
              <w:rPr>
                <w:rFonts w:hint="default" w:ascii="Times New Roman" w:hAnsi="Times New Roman" w:cs="Times New Roman"/>
                <w:b/>
                <w:bCs/>
                <w:snapToGrid/>
                <w:color w:val="auto"/>
                <w:kern w:val="2"/>
                <w:sz w:val="21"/>
                <w:szCs w:val="24"/>
                <w:highlight w:val="none"/>
                <w:lang w:val="en-US" w:eastAsia="zh-CN" w:bidi="ar-SA"/>
              </w:rPr>
              <w:t>7、</w:t>
            </w:r>
            <w:r>
              <w:rPr>
                <w:rFonts w:hint="default" w:ascii="Times New Roman" w:hAnsi="Times New Roman" w:eastAsia="宋体" w:cs="Times New Roman"/>
                <w:b/>
                <w:bCs/>
                <w:snapToGrid/>
                <w:color w:val="auto"/>
                <w:kern w:val="2"/>
                <w:sz w:val="21"/>
                <w:szCs w:val="24"/>
                <w:highlight w:val="none"/>
                <w:lang w:val="en-US" w:eastAsia="zh-CN" w:bidi="ar-SA"/>
              </w:rPr>
              <w:t>饮用水源保护区规划</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22" w:firstLineChars="200"/>
              <w:jc w:val="left"/>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（1）</w:t>
            </w:r>
            <w:r>
              <w:rPr>
                <w:rFonts w:hint="default" w:ascii="Times New Roman" w:hAnsi="Times New Roman" w:eastAsia="宋体" w:cs="Times New Roman"/>
                <w:color w:val="auto"/>
                <w:kern w:val="2"/>
                <w:sz w:val="21"/>
                <w:szCs w:val="21"/>
                <w:highlight w:val="none"/>
              </w:rPr>
              <w:t>新乡市饮用水源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《新乡市城市饮用水水源地保护区划分报告》（</w:t>
            </w:r>
            <w:r>
              <w:rPr>
                <w:rFonts w:hint="eastAsia" w:cs="Times New Roman"/>
                <w:color w:val="auto"/>
                <w:sz w:val="21"/>
                <w:szCs w:val="21"/>
                <w:highlight w:val="none"/>
                <w:lang w:eastAsia="zh-CN"/>
              </w:rPr>
              <w:t>豫政办</w:t>
            </w:r>
            <w:r>
              <w:rPr>
                <w:rFonts w:hint="eastAsia" w:cs="Times New Roman"/>
                <w:color w:val="auto"/>
                <w:sz w:val="21"/>
                <w:szCs w:val="21"/>
                <w:highlight w:val="none"/>
                <w:lang w:val="en-US" w:eastAsia="zh-CN"/>
              </w:rPr>
              <w:t>[2007]125号</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、《河南省人民政府关于取消部分集中式饮用水源地保护区的批复》（豫政文</w:t>
            </w:r>
            <w:r>
              <w:rPr>
                <w:rFonts w:hint="eastAsia" w:cs="Times New Roman"/>
                <w:color w:val="auto"/>
                <w:sz w:val="21"/>
                <w:szCs w:val="21"/>
                <w:highlight w:val="none"/>
                <w:lang w:val="en-US" w:eastAsia="zh-CN"/>
              </w:rPr>
              <w:t>[2018]114号</w:t>
            </w:r>
            <w:r>
              <w:rPr>
                <w:rFonts w:hint="eastAsia" w:cs="Times New Roman"/>
                <w:color w:val="auto"/>
                <w:sz w:val="21"/>
                <w:szCs w:val="21"/>
                <w:highlight w:val="none"/>
                <w:lang w:eastAsia="zh-CN"/>
              </w:rPr>
              <w:t>）、《河南省人民政府关于调整取消部分集中式饮用水源保护区的通知》（豫环文</w:t>
            </w:r>
            <w:r>
              <w:rPr>
                <w:rFonts w:hint="eastAsia" w:cs="Times New Roman"/>
                <w:color w:val="auto"/>
                <w:sz w:val="21"/>
                <w:szCs w:val="21"/>
                <w:highlight w:val="none"/>
                <w:lang w:val="en-US" w:eastAsia="zh-CN"/>
              </w:rPr>
              <w:t>[2021]72号</w:t>
            </w:r>
            <w:r>
              <w:rPr>
                <w:rFonts w:hint="eastAsia" w:cs="Times New Roman"/>
                <w:color w:val="auto"/>
                <w:sz w:val="21"/>
                <w:szCs w:val="21"/>
                <w:highlight w:val="none"/>
                <w:lang w:eastAsia="zh-CN"/>
              </w:rPr>
              <w:t>）、《七里营引黄水源地饮用水水源保护区划分技术报告》及《河南省人民政府关于七里营引黄水源地饮用水水源保护区的批复》（豫政文</w:t>
            </w:r>
            <w:r>
              <w:rPr>
                <w:rFonts w:hint="eastAsia" w:cs="Times New Roman"/>
                <w:color w:val="auto"/>
                <w:sz w:val="21"/>
                <w:szCs w:val="21"/>
                <w:highlight w:val="none"/>
                <w:lang w:val="en-US" w:eastAsia="zh-CN"/>
              </w:rPr>
              <w:t>[2018]102号</w:t>
            </w:r>
            <w:r>
              <w:rPr>
                <w:rFonts w:hint="eastAsia" w:cs="Times New Roman"/>
                <w:color w:val="auto"/>
                <w:sz w:val="21"/>
                <w:szCs w:val="21"/>
                <w:highlight w:val="none"/>
                <w:lang w:eastAsia="zh-CN"/>
              </w:rPr>
              <w:t>）</w:t>
            </w:r>
            <w:r>
              <w:rPr>
                <w:rFonts w:hint="default" w:cs="Times New Roman"/>
                <w:color w:val="auto"/>
                <w:sz w:val="21"/>
                <w:szCs w:val="21"/>
                <w:highlight w:val="none"/>
                <w:lang w:eastAsia="zh-CN"/>
              </w:rPr>
              <w:t>，具体划分结果见下表。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新乡市城市集中饮用水源地</w:t>
            </w:r>
          </w:p>
          <w:tbl>
            <w:tblPr>
              <w:tblStyle w:val="22"/>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1277"/>
              <w:gridCol w:w="2238"/>
              <w:gridCol w:w="20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103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水源地名称</w:t>
                  </w:r>
                </w:p>
              </w:tc>
              <w:tc>
                <w:tcPr>
                  <w:tcW w:w="181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一级保护区</w:t>
                  </w:r>
                </w:p>
              </w:tc>
              <w:tc>
                <w:tcPr>
                  <w:tcW w:w="165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二级保护区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1</w:t>
                  </w:r>
                </w:p>
              </w:tc>
              <w:tc>
                <w:tcPr>
                  <w:tcW w:w="103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凤泉水厂地下水饮用水源保护区</w:t>
                  </w:r>
                </w:p>
              </w:tc>
              <w:tc>
                <w:tcPr>
                  <w:tcW w:w="181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以水厂东、西两院的院墙为界向外10米以及输水管线两侧10米的区域。</w:t>
                  </w:r>
                </w:p>
              </w:tc>
              <w:tc>
                <w:tcPr>
                  <w:tcW w:w="165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东以团结路为界，其他三面以水厂院墙为界，向外100米的区域。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2</w:t>
                  </w:r>
                </w:p>
              </w:tc>
              <w:tc>
                <w:tcPr>
                  <w:tcW w:w="103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卫辉市塔岗水库地表水饮用水源保护区</w:t>
                  </w:r>
                </w:p>
              </w:tc>
              <w:tc>
                <w:tcPr>
                  <w:tcW w:w="181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取水口外围300米的水域、正常水位线取水口一侧200米的陆域及输水管道两侧10米的陆域。</w:t>
                  </w:r>
                </w:p>
              </w:tc>
              <w:tc>
                <w:tcPr>
                  <w:tcW w:w="165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一级保护区外的水域及山脊线内、入库河流上游3000米的陆域。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3</w:t>
                  </w:r>
                </w:p>
              </w:tc>
              <w:tc>
                <w:tcPr>
                  <w:tcW w:w="103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辉县市段屯地下水饮用水源保护区</w:t>
                  </w:r>
                </w:p>
              </w:tc>
              <w:tc>
                <w:tcPr>
                  <w:tcW w:w="181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井群外围线以外30米的区域及输水管道两侧10米的陆域。</w:t>
                  </w:r>
                </w:p>
              </w:tc>
              <w:tc>
                <w:tcPr>
                  <w:tcW w:w="165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卫柿路以北，东外环路以东，井群外围线外300米以西和以南的区域。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4</w:t>
                  </w:r>
                </w:p>
              </w:tc>
              <w:tc>
                <w:tcPr>
                  <w:tcW w:w="103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七里营引黄水源地饮用水水源保护区</w:t>
                  </w:r>
                </w:p>
              </w:tc>
              <w:tc>
                <w:tcPr>
                  <w:tcW w:w="3469"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eastAsia="zh-CN"/>
                    </w:rPr>
                    <w:t>水域：人民胜利渠新乡市界至本源水厂东厂界的</w:t>
                  </w:r>
                  <w:r>
                    <w:rPr>
                      <w:rFonts w:hint="eastAsia" w:cs="Times New Roman"/>
                      <w:color w:val="auto"/>
                      <w:sz w:val="18"/>
                      <w:szCs w:val="18"/>
                      <w:highlight w:val="none"/>
                      <w:lang w:val="en-US" w:eastAsia="zh-CN"/>
                    </w:rPr>
                    <w:t>30m明渠水域；本源水厂厂区范围内七里营蓄水池及沉砂池的水域。陆域：人民胜利渠新乡市界至本源水厂东厂界渠道外两侧20m的工程管理陆域；本源水厂厂区范围内的陆域。</w:t>
                  </w:r>
                </w:p>
              </w:tc>
            </w:tr>
          </w:tbl>
          <w:p>
            <w:pPr>
              <w:pStyle w:val="4"/>
              <w:keepNext w:val="0"/>
              <w:keepLines w:val="0"/>
              <w:pageBreakBefore w:val="0"/>
              <w:widowControl w:val="0"/>
              <w:numPr>
                <w:ilvl w:val="3"/>
                <w:numId w:val="0"/>
              </w:numPr>
              <w:kinsoku/>
              <w:wordWrap/>
              <w:overflowPunct/>
              <w:topLinePunct w:val="0"/>
              <w:autoSpaceDE/>
              <w:autoSpaceDN/>
              <w:bidi w:val="0"/>
              <w:adjustRightInd/>
              <w:snapToGrid/>
              <w:spacing w:before="0" w:after="0" w:line="360" w:lineRule="auto"/>
              <w:ind w:leftChars="0" w:firstLine="420" w:firstLineChars="200"/>
              <w:jc w:val="both"/>
              <w:textAlignment w:val="auto"/>
              <w:rPr>
                <w:rFonts w:hint="default" w:ascii="Times New Roman" w:hAnsi="Times New Roman" w:eastAsia="宋体" w:cs="Times New Roman"/>
                <w:b w:val="0"/>
                <w:bCs w:val="0"/>
                <w:color w:val="auto"/>
                <w:sz w:val="21"/>
                <w:szCs w:val="21"/>
                <w:highlight w:val="cyan"/>
              </w:rPr>
            </w:pPr>
            <w:r>
              <w:rPr>
                <w:rFonts w:hint="default" w:ascii="Times New Roman" w:hAnsi="Times New Roman" w:eastAsia="宋体" w:cs="Times New Roman"/>
                <w:b w:val="0"/>
                <w:bCs w:val="0"/>
                <w:color w:val="auto"/>
                <w:sz w:val="21"/>
                <w:szCs w:val="21"/>
                <w:highlight w:val="none"/>
                <w:lang w:eastAsia="zh-CN"/>
              </w:rPr>
              <w:t>根据</w:t>
            </w:r>
            <w:r>
              <w:rPr>
                <w:rFonts w:hint="default" w:ascii="Times New Roman" w:hAnsi="Times New Roman" w:eastAsia="宋体" w:cs="Times New Roman"/>
                <w:b w:val="0"/>
                <w:bCs w:val="0"/>
                <w:color w:val="auto"/>
                <w:sz w:val="21"/>
                <w:szCs w:val="21"/>
                <w:highlight w:val="none"/>
              </w:rPr>
              <w:t>《新乡市城市饮用水水源地保护区划分报告》（2007.5）</w:t>
            </w:r>
            <w:r>
              <w:rPr>
                <w:rFonts w:hint="default" w:ascii="Times New Roman" w:hAnsi="Times New Roman" w:eastAsia="宋体" w:cs="Times New Roman"/>
                <w:b w:val="0"/>
                <w:bCs w:val="0"/>
                <w:color w:val="auto"/>
                <w:sz w:val="21"/>
                <w:szCs w:val="21"/>
                <w:highlight w:val="none"/>
                <w:lang w:eastAsia="zh-CN"/>
              </w:rPr>
              <w:t>，距离</w:t>
            </w:r>
            <w:r>
              <w:rPr>
                <w:rFonts w:hint="default" w:ascii="Times New Roman" w:hAnsi="Times New Roman" w:eastAsia="宋体" w:cs="Times New Roman"/>
                <w:b w:val="0"/>
                <w:bCs w:val="0"/>
                <w:color w:val="auto"/>
                <w:sz w:val="21"/>
                <w:szCs w:val="21"/>
                <w:highlight w:val="none"/>
              </w:rPr>
              <w:t>项目选址距离最近的</w:t>
            </w:r>
            <w:r>
              <w:rPr>
                <w:rFonts w:hint="default" w:ascii="Times New Roman" w:hAnsi="Times New Roman" w:eastAsia="宋体" w:cs="Times New Roman"/>
                <w:b w:val="0"/>
                <w:bCs w:val="0"/>
                <w:color w:val="auto"/>
                <w:sz w:val="21"/>
                <w:szCs w:val="21"/>
                <w:highlight w:val="none"/>
                <w:lang w:eastAsia="zh-CN"/>
              </w:rPr>
              <w:t>饮用</w:t>
            </w:r>
            <w:r>
              <w:rPr>
                <w:rFonts w:hint="default" w:ascii="Times New Roman" w:hAnsi="Times New Roman" w:eastAsia="宋体" w:cs="Times New Roman"/>
                <w:b w:val="0"/>
                <w:bCs w:val="0"/>
                <w:color w:val="auto"/>
                <w:sz w:val="21"/>
                <w:szCs w:val="21"/>
                <w:highlight w:val="none"/>
              </w:rPr>
              <w:t>水</w:t>
            </w:r>
            <w:r>
              <w:rPr>
                <w:rFonts w:hint="default" w:ascii="Times New Roman" w:hAnsi="Times New Roman" w:eastAsia="宋体" w:cs="Times New Roman"/>
                <w:b w:val="0"/>
                <w:bCs w:val="0"/>
                <w:color w:val="auto"/>
                <w:sz w:val="21"/>
                <w:szCs w:val="21"/>
                <w:highlight w:val="none"/>
                <w:lang w:eastAsia="zh-CN"/>
              </w:rPr>
              <w:t>水</w:t>
            </w:r>
            <w:r>
              <w:rPr>
                <w:rFonts w:hint="default" w:ascii="Times New Roman" w:hAnsi="Times New Roman" w:eastAsia="宋体" w:cs="Times New Roman"/>
                <w:b w:val="0"/>
                <w:bCs w:val="0"/>
                <w:color w:val="auto"/>
                <w:sz w:val="21"/>
                <w:szCs w:val="21"/>
                <w:highlight w:val="none"/>
              </w:rPr>
              <w:t>源保护</w:t>
            </w:r>
            <w:r>
              <w:rPr>
                <w:rFonts w:hint="default" w:ascii="Times New Roman" w:hAnsi="Times New Roman" w:eastAsia="宋体" w:cs="Times New Roman"/>
                <w:b w:val="0"/>
                <w:bCs w:val="0"/>
                <w:color w:val="auto"/>
                <w:sz w:val="21"/>
                <w:szCs w:val="21"/>
                <w:highlight w:val="none"/>
                <w:lang w:eastAsia="zh-CN"/>
              </w:rPr>
              <w:t>区</w:t>
            </w:r>
            <w:r>
              <w:rPr>
                <w:rFonts w:hint="default" w:ascii="Times New Roman" w:hAnsi="Times New Roman" w:eastAsia="宋体" w:cs="Times New Roman"/>
                <w:b w:val="0"/>
                <w:bCs w:val="0"/>
                <w:color w:val="auto"/>
                <w:sz w:val="21"/>
                <w:szCs w:val="21"/>
                <w:highlight w:val="none"/>
              </w:rPr>
              <w:t>为凤泉水厂地下水饮用水源保护区，本项目距离</w:t>
            </w:r>
            <w:r>
              <w:rPr>
                <w:rFonts w:hint="default" w:ascii="Times New Roman" w:hAnsi="Times New Roman" w:eastAsia="宋体" w:cs="Times New Roman"/>
                <w:b w:val="0"/>
                <w:bCs w:val="0"/>
                <w:color w:val="auto"/>
                <w:sz w:val="21"/>
                <w:szCs w:val="21"/>
                <w:highlight w:val="none"/>
                <w:lang w:eastAsia="zh-CN"/>
              </w:rPr>
              <w:t>该饮用水源二级</w:t>
            </w:r>
            <w:r>
              <w:rPr>
                <w:rFonts w:hint="default" w:ascii="Times New Roman" w:hAnsi="Times New Roman" w:eastAsia="宋体" w:cs="Times New Roman"/>
                <w:b w:val="0"/>
                <w:bCs w:val="0"/>
                <w:color w:val="auto"/>
                <w:sz w:val="21"/>
                <w:szCs w:val="21"/>
                <w:highlight w:val="none"/>
              </w:rPr>
              <w:t>保护区边界约</w:t>
            </w:r>
            <w:r>
              <w:rPr>
                <w:rFonts w:hint="default" w:ascii="Times New Roman" w:hAnsi="Times New Roman" w:cs="Times New Roman"/>
                <w:b w:val="0"/>
                <w:bCs w:val="0"/>
                <w:color w:val="auto"/>
                <w:sz w:val="21"/>
                <w:szCs w:val="21"/>
                <w:highlight w:val="none"/>
                <w:lang w:val="en-US" w:eastAsia="zh-CN"/>
              </w:rPr>
              <w:t>23</w:t>
            </w:r>
            <w:r>
              <w:rPr>
                <w:rFonts w:hint="default" w:ascii="Times New Roman" w:hAnsi="Times New Roman" w:eastAsia="宋体" w:cs="Times New Roman"/>
                <w:b w:val="0"/>
                <w:bCs w:val="0"/>
                <w:color w:val="auto"/>
                <w:sz w:val="21"/>
                <w:szCs w:val="21"/>
                <w:highlight w:val="none"/>
                <w:lang w:val="en-US" w:eastAsia="zh-CN"/>
              </w:rPr>
              <w:t>k</w:t>
            </w:r>
            <w:r>
              <w:rPr>
                <w:rFonts w:hint="default" w:ascii="Times New Roman" w:hAnsi="Times New Roman" w:eastAsia="宋体" w:cs="Times New Roman"/>
                <w:b w:val="0"/>
                <w:bCs w:val="0"/>
                <w:color w:val="auto"/>
                <w:sz w:val="21"/>
                <w:szCs w:val="21"/>
                <w:highlight w:val="none"/>
              </w:rPr>
              <w:t>m，不在其保护区范围内。</w:t>
            </w:r>
          </w:p>
          <w:p>
            <w:pPr>
              <w:keepNext w:val="0"/>
              <w:keepLines w:val="0"/>
              <w:pageBreakBefore w:val="0"/>
              <w:widowControl w:val="0"/>
              <w:kinsoku/>
              <w:wordWrap/>
              <w:overflowPunct/>
              <w:topLinePunct w:val="0"/>
              <w:bidi w:val="0"/>
              <w:adjustRightInd/>
              <w:snapToGrid/>
              <w:spacing w:line="360" w:lineRule="auto"/>
              <w:ind w:firstLine="422" w:firstLineChars="200"/>
              <w:jc w:val="both"/>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（2）</w:t>
            </w:r>
            <w:r>
              <w:rPr>
                <w:rFonts w:hint="default" w:ascii="Times New Roman" w:hAnsi="Times New Roman" w:eastAsia="宋体" w:cs="Times New Roman"/>
                <w:b/>
                <w:bCs w:val="0"/>
                <w:color w:val="auto"/>
                <w:sz w:val="21"/>
                <w:szCs w:val="21"/>
                <w:highlight w:val="none"/>
              </w:rPr>
              <w:t>新乡县乡镇饮用水水源地</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新乡县共有4个乡镇级饮用水水源地，根据《河南省人民政府办公厅关于印发河南省乡镇级集中式饮用水水源保护区划的通知》（豫政办[2016]23号），新乡县饮用水水源地如下：</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1 \* GB3 \* MERGEFORMAT </w:instrText>
            </w:r>
            <w:r>
              <w:rPr>
                <w:rFonts w:hint="default" w:ascii="Times New Roman" w:hAnsi="Times New Roman" w:eastAsia="宋体" w:cs="Times New Roman"/>
                <w:color w:val="auto"/>
                <w:sz w:val="21"/>
                <w:szCs w:val="21"/>
                <w:highlight w:val="none"/>
              </w:rPr>
              <w:fldChar w:fldCharType="separate"/>
            </w:r>
            <w:r>
              <w:rPr>
                <w:color w:val="auto"/>
                <w:highlight w:val="none"/>
              </w:rPr>
              <w:t>①</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新乡县郎公庙镇水厂地下水井群</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共3眼井</w:t>
            </w:r>
            <w:r>
              <w:rPr>
                <w:rFonts w:hint="eastAsia" w:ascii="Times New Roman" w:hAnsi="Times New Roman" w:cs="Times New Roman"/>
                <w:color w:val="auto"/>
                <w:sz w:val="21"/>
                <w:szCs w:val="21"/>
                <w:highlight w:val="none"/>
                <w:lang w:eastAsia="zh-CN"/>
              </w:rPr>
              <w:t>）</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一级保护区范围：水厂厂区及外围东45米、西8米、南8米、北45米的区域</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1号取水井</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，2、3号取水井外围50米至229省道的区域。</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2 \* GB3 \* MERGEFORMAT </w:instrText>
            </w:r>
            <w:r>
              <w:rPr>
                <w:rFonts w:hint="default" w:ascii="Times New Roman" w:hAnsi="Times New Roman" w:eastAsia="宋体" w:cs="Times New Roman"/>
                <w:color w:val="auto"/>
                <w:sz w:val="21"/>
                <w:szCs w:val="21"/>
                <w:highlight w:val="none"/>
              </w:rPr>
              <w:fldChar w:fldCharType="separate"/>
            </w:r>
            <w:r>
              <w:rPr>
                <w:color w:val="auto"/>
                <w:highlight w:val="none"/>
              </w:rPr>
              <w:t>②</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新乡县古固寨镇水厂地下水井群</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共2眼井</w:t>
            </w:r>
            <w:r>
              <w:rPr>
                <w:rFonts w:hint="eastAsia" w:ascii="Times New Roman" w:hAnsi="Times New Roman" w:cs="Times New Roman"/>
                <w:color w:val="auto"/>
                <w:sz w:val="21"/>
                <w:szCs w:val="21"/>
                <w:highlight w:val="none"/>
                <w:lang w:eastAsia="zh-CN"/>
              </w:rPr>
              <w:t>）</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一级保护区范围：水厂厂区及外围东15米、西45米、南35米、北10米的区域</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1号取水井</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，2号取水井外围50米的区域。</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3 \* GB3 \* MERGEFORMAT </w:instrText>
            </w:r>
            <w:r>
              <w:rPr>
                <w:rFonts w:hint="default" w:ascii="Times New Roman" w:hAnsi="Times New Roman" w:eastAsia="宋体" w:cs="Times New Roman"/>
                <w:color w:val="auto"/>
                <w:sz w:val="21"/>
                <w:szCs w:val="21"/>
                <w:highlight w:val="none"/>
              </w:rPr>
              <w:fldChar w:fldCharType="separate"/>
            </w:r>
            <w:r>
              <w:rPr>
                <w:color w:val="auto"/>
                <w:highlight w:val="none"/>
              </w:rPr>
              <w:t>③</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新乡县大召营镇水厂地下水井群</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共2眼井</w:t>
            </w:r>
            <w:r>
              <w:rPr>
                <w:rFonts w:hint="eastAsia" w:ascii="Times New Roman" w:hAnsi="Times New Roman" w:cs="Times New Roman"/>
                <w:color w:val="auto"/>
                <w:sz w:val="21"/>
                <w:szCs w:val="21"/>
                <w:highlight w:val="none"/>
                <w:lang w:eastAsia="zh-CN"/>
              </w:rPr>
              <w:t>）</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一级保护区范围：水厂厂区及外围西45米、南30米、北20米、东25米的区域</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1号取水井</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，2号取水井外围50米的区域。</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4 \* GB3 \* MERGEFORMAT </w:instrText>
            </w:r>
            <w:r>
              <w:rPr>
                <w:rFonts w:hint="default" w:ascii="Times New Roman" w:hAnsi="Times New Roman" w:eastAsia="宋体" w:cs="Times New Roman"/>
                <w:color w:val="auto"/>
                <w:sz w:val="21"/>
                <w:szCs w:val="21"/>
                <w:highlight w:val="none"/>
              </w:rPr>
              <w:fldChar w:fldCharType="separate"/>
            </w:r>
            <w:r>
              <w:rPr>
                <w:color w:val="auto"/>
                <w:highlight w:val="none"/>
              </w:rPr>
              <w:t>④</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新乡县小冀镇水厂地下水井群</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共3眼井</w:t>
            </w:r>
            <w:r>
              <w:rPr>
                <w:rFonts w:hint="eastAsia" w:ascii="Times New Roman" w:hAnsi="Times New Roman" w:cs="Times New Roman"/>
                <w:color w:val="auto"/>
                <w:sz w:val="21"/>
                <w:szCs w:val="21"/>
                <w:highlight w:val="none"/>
                <w:lang w:eastAsia="zh-CN"/>
              </w:rPr>
              <w:t>）</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一级保护区范围：取水井外围50米的区域。</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项目位于新乡县新乡经济开发区玉龙路西段，距离</w:t>
            </w:r>
            <w:r>
              <w:rPr>
                <w:rFonts w:hint="default" w:ascii="Times New Roman" w:hAnsi="Times New Roman" w:eastAsia="宋体" w:cs="Times New Roman"/>
                <w:color w:val="auto"/>
                <w:sz w:val="21"/>
                <w:szCs w:val="21"/>
                <w:highlight w:val="none"/>
                <w:lang w:eastAsia="zh-CN"/>
              </w:rPr>
              <w:t>最近乡镇级</w:t>
            </w:r>
            <w:r>
              <w:rPr>
                <w:rFonts w:hint="default" w:ascii="Times New Roman" w:hAnsi="Times New Roman" w:eastAsia="宋体" w:cs="Times New Roman"/>
                <w:color w:val="auto"/>
                <w:sz w:val="21"/>
                <w:szCs w:val="21"/>
                <w:highlight w:val="none"/>
              </w:rPr>
              <w:t>集中式饮用水水源保护区</w:t>
            </w:r>
            <w:r>
              <w:rPr>
                <w:rFonts w:hint="default" w:ascii="Times New Roman" w:hAnsi="Times New Roman" w:eastAsia="宋体" w:cs="Times New Roman"/>
                <w:color w:val="auto"/>
                <w:sz w:val="21"/>
                <w:szCs w:val="21"/>
                <w:highlight w:val="none"/>
                <w:lang w:eastAsia="zh-CN"/>
              </w:rPr>
              <w:t>为新乡县小冀镇水厂地下水井群</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项目距离其一级保护区边界约</w:t>
            </w:r>
            <w:r>
              <w:rPr>
                <w:rFonts w:hint="default" w:ascii="Times New Roman" w:hAnsi="Times New Roman" w:eastAsia="宋体" w:cs="Times New Roman"/>
                <w:color w:val="auto"/>
                <w:sz w:val="21"/>
                <w:szCs w:val="21"/>
                <w:highlight w:val="none"/>
                <w:lang w:val="en-US" w:eastAsia="zh-CN"/>
              </w:rPr>
              <w:t>2100m</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项目选址均不在上述各乡镇饮用水水源地保护区范围内。</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2" w:firstLineChars="200"/>
              <w:jc w:val="both"/>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val="en-US" w:eastAsia="zh-CN"/>
              </w:rPr>
              <w:t>8、</w:t>
            </w:r>
            <w:r>
              <w:rPr>
                <w:rFonts w:hint="default" w:ascii="Times New Roman" w:hAnsi="Times New Roman" w:cs="Times New Roman"/>
                <w:b/>
                <w:color w:val="auto"/>
                <w:kern w:val="0"/>
                <w:sz w:val="21"/>
                <w:szCs w:val="21"/>
                <w:highlight w:val="none"/>
              </w:rPr>
              <w:t>与“三线一单”相容性判定</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8.1“三线一单”生态环境分区管控的意见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新乡市人民政府于2021年7月30日以新政文〔2021〕44号发布了《新乡市人民政府关于实施“三线一单”生态环境分区管控的实施意见》，具体主要内容如下：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划分生态环境管控单元。按照生态保护红线、环境质量底线、资源利用上线等相关要求，划定全省优先保护单元、重点管控单元和一般管控单元三类生态环境管控单元，并实施分类管控。为确保政策协同，划定的各类生态环境管控单元的数量、面积和地域分布依照国土空间规划明确的空间格局、约束性指标等调整确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优先保护单元。指具有一定生态功能、以生态环境保护为主的区域。突出空间用途管控，以生态环境保护优先为原则，依法禁止或限制有关开发建设活动，优先开展生态保护修复，提高生态系统服务功能，确保生态环境功能不降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点管控单元。指人口密集、资源开发强度较大、污染物排放强度相对较高的区域。主要推动空间布局优化和产业结构转型升级，深化污染治理，提高资源利用效率，减少污染物排放，防控生态环境风险，守住环境质量底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——一般管控单元。指除优先保护单元、重点管控单元以外的其他区域。主要落实生态环境保护的基本要求，生态环境状况得到保持或优化。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制定生态环境准入清单。基于生态环境管控单元，统筹考虑生态保护红线、环境质量底线、资源利用上线等要求，从优化空间布局、管控污染物排放、防控生态环境风险、提高资源利用效率等方面提出管控要求，分类制定生态环境准入清单。</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lang w:eastAsia="zh-CN"/>
              </w:rPr>
              <w:t>）生态保护红线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0"/>
                <w:sz w:val="21"/>
                <w:szCs w:val="21"/>
                <w:highlight w:val="none"/>
              </w:rPr>
              <w:t>项目</w:t>
            </w:r>
            <w:r>
              <w:rPr>
                <w:rFonts w:hint="eastAsia" w:ascii="Times New Roman" w:hAnsi="Times New Roman" w:cs="Times New Roman"/>
                <w:bCs/>
                <w:color w:val="auto"/>
                <w:kern w:val="0"/>
                <w:sz w:val="21"/>
                <w:szCs w:val="21"/>
                <w:highlight w:val="none"/>
                <w:lang w:eastAsia="zh-CN"/>
              </w:rPr>
              <w:t>位于新乡市新乡县新乡经济开发区玉龙路西段，</w:t>
            </w:r>
            <w:r>
              <w:rPr>
                <w:rFonts w:hint="default" w:ascii="Times New Roman" w:hAnsi="Times New Roman" w:cs="Times New Roman"/>
                <w:bCs/>
                <w:color w:val="auto"/>
                <w:kern w:val="0"/>
                <w:sz w:val="21"/>
                <w:szCs w:val="21"/>
                <w:highlight w:val="none"/>
                <w:lang w:eastAsia="zh-CN"/>
              </w:rPr>
              <w:t>利用现有厂房进行技术改造</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color w:val="auto"/>
                <w:sz w:val="21"/>
                <w:szCs w:val="21"/>
                <w:highlight w:val="none"/>
              </w:rPr>
              <w:t>根据《河南省生态保护红线划定方案》，本项目厂址范围不涉及生态保护红线。项目厂址不在当地饮用水源、风景区、自然保护区等生态保护区内。因此，本项目的实施与生态保护红线不冲突。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0"/>
                <w:sz w:val="21"/>
                <w:szCs w:val="21"/>
                <w:highlight w:val="none"/>
                <w:lang w:eastAsia="zh-CN"/>
              </w:rPr>
              <w:t>项目利用现有厂房进行技术改造，不新增用地，选址</w:t>
            </w:r>
            <w:r>
              <w:rPr>
                <w:rFonts w:hint="default" w:ascii="Times New Roman" w:hAnsi="Times New Roman" w:cs="Times New Roman"/>
                <w:bCs/>
                <w:color w:val="auto"/>
                <w:kern w:val="0"/>
                <w:sz w:val="21"/>
                <w:szCs w:val="21"/>
                <w:highlight w:val="none"/>
                <w:lang w:val="en-GB"/>
              </w:rPr>
              <w:t>不在当地饮用水源、风景区、自然保护区等生态保护区内</w:t>
            </w:r>
            <w:r>
              <w:rPr>
                <w:rFonts w:hint="default" w:ascii="Times New Roman" w:hAnsi="Times New Roman" w:cs="Times New Roman"/>
                <w:bCs/>
                <w:color w:val="auto"/>
                <w:kern w:val="0"/>
                <w:sz w:val="21"/>
                <w:szCs w:val="21"/>
                <w:highlight w:val="none"/>
                <w:lang w:val="en-GB" w:eastAsia="zh-CN"/>
              </w:rPr>
              <w:t>。</w:t>
            </w: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eastAsia="zh-CN"/>
              </w:rPr>
              <w:t>技改完成</w:t>
            </w:r>
            <w:r>
              <w:rPr>
                <w:rFonts w:hint="default" w:ascii="Times New Roman" w:hAnsi="Times New Roman" w:cs="Times New Roman"/>
                <w:color w:val="auto"/>
                <w:sz w:val="21"/>
                <w:szCs w:val="21"/>
                <w:highlight w:val="none"/>
              </w:rPr>
              <w:t>后，在达标排放的情况下对周边生态环境影响不大。因此，本项目的实施与生态保护红线不冲突。</w:t>
            </w:r>
          </w:p>
          <w:p>
            <w:pPr>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left="0" w:leftChars="0" w:firstLine="422" w:firstLineChars="200"/>
              <w:jc w:val="both"/>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highlight w:val="none"/>
                <w:lang w:eastAsia="zh-CN"/>
              </w:rPr>
              <w:t>环境质量底线</w:t>
            </w:r>
          </w:p>
          <w:p>
            <w:pPr>
              <w:keepNext w:val="0"/>
              <w:keepLines w:val="0"/>
              <w:pageBreakBefore w:val="0"/>
              <w:widowControl w:val="0"/>
              <w:kinsoku/>
              <w:wordWrap/>
              <w:overflowPunct/>
              <w:topLinePunct w:val="0"/>
              <w:bidi w:val="0"/>
              <w:adjustRightInd/>
              <w:snapToGrid/>
              <w:spacing w:line="360" w:lineRule="auto"/>
              <w:ind w:left="0" w:leftChars="0" w:right="0" w:firstLine="422" w:firstLineChars="200"/>
              <w:jc w:val="both"/>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①大气</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szCs w:val="21"/>
                <w:highlight w:val="none"/>
                <w:lang w:val="de-DE" w:eastAsia="zh-CN"/>
              </w:rPr>
            </w:pPr>
            <w:r>
              <w:rPr>
                <w:rFonts w:hint="default" w:ascii="Times New Roman" w:hAnsi="Times New Roman" w:cs="Times New Roman"/>
                <w:color w:val="auto"/>
                <w:sz w:val="21"/>
                <w:szCs w:val="21"/>
                <w:highlight w:val="none"/>
              </w:rPr>
              <w:t>根据新乡市生态环境局发布的《新乡市</w:t>
            </w:r>
            <w:r>
              <w:rPr>
                <w:rFonts w:hint="default" w:ascii="Times New Roman" w:hAnsi="Times New Roman" w:cs="Times New Roman"/>
                <w:color w:val="auto"/>
                <w:sz w:val="21"/>
                <w:szCs w:val="21"/>
                <w:highlight w:val="none"/>
                <w:lang w:val="en-US" w:eastAsia="zh-CN"/>
              </w:rPr>
              <w:t>202</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年环境质量年报》</w:t>
            </w:r>
            <w:r>
              <w:rPr>
                <w:rFonts w:hint="default" w:ascii="Times New Roman" w:hAnsi="Times New Roman" w:cs="Times New Roman"/>
                <w:color w:val="auto"/>
                <w:szCs w:val="21"/>
                <w:highlight w:val="none"/>
              </w:rPr>
              <w:t>，项目所在区域</w:t>
            </w:r>
            <w:r>
              <w:rPr>
                <w:rFonts w:hint="eastAsia" w:cs="Times New Roman"/>
                <w:color w:val="auto"/>
                <w:szCs w:val="21"/>
                <w:highlight w:val="none"/>
                <w:lang w:val="en-US" w:eastAsia="zh-CN"/>
              </w:rPr>
              <w:t>NO</w:t>
            </w:r>
            <w:r>
              <w:rPr>
                <w:rFonts w:hint="eastAsia" w:cs="Times New Roman"/>
                <w:color w:val="auto"/>
                <w:szCs w:val="21"/>
                <w:highlight w:val="none"/>
                <w:vertAlign w:val="subscript"/>
                <w:lang w:val="en-US" w:eastAsia="zh-CN"/>
              </w:rPr>
              <w:t>2</w:t>
            </w:r>
            <w:r>
              <w:rPr>
                <w:rFonts w:hint="eastAsia" w:cs="Times New Roman"/>
                <w:color w:val="auto"/>
                <w:szCs w:val="21"/>
                <w:highlight w:val="none"/>
                <w:lang w:val="en-US" w:eastAsia="zh-CN"/>
              </w:rPr>
              <w:t>年均浓度、</w:t>
            </w: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年均浓度、CO24h平均浓度均可满足《环境空气质量标准》（GB3095-2012）二级标准，</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bscript"/>
                <w:lang w:eastAsia="zh-CN"/>
              </w:rPr>
              <w:t>2</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vertAlign w:val="baseline"/>
                <w:lang w:eastAsia="zh-CN"/>
              </w:rPr>
              <w:t>和</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均不能够满足《环境空气质量标准》（GB3095-2012）二级标准要求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本项目所在区域属于不达标区</w:t>
            </w:r>
            <w:r>
              <w:rPr>
                <w:rFonts w:hint="default" w:ascii="Times New Roman" w:hAnsi="Times New Roman" w:cs="Times New Roman"/>
                <w:color w:val="auto"/>
                <w:szCs w:val="21"/>
                <w:highlight w:val="none"/>
              </w:rPr>
              <w:t>。</w:t>
            </w:r>
          </w:p>
          <w:p>
            <w:pPr>
              <w:keepNext w:val="0"/>
              <w:keepLines w:val="0"/>
              <w:pageBreakBefore w:val="0"/>
              <w:widowControl w:val="0"/>
              <w:kinsoku/>
              <w:wordWrap/>
              <w:overflowPunct/>
              <w:topLinePunct w:val="0"/>
              <w:bidi w:val="0"/>
              <w:adjustRightInd/>
              <w:snapToGrid/>
              <w:spacing w:line="360" w:lineRule="auto"/>
              <w:ind w:left="0" w:leftChars="0" w:right="0" w:firstLine="422" w:firstLineChars="200"/>
              <w:jc w:val="both"/>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②地表水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0" w:firstLineChars="200"/>
              <w:jc w:val="left"/>
              <w:textAlignment w:val="auto"/>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lang w:val="en-US" w:eastAsia="zh-CN"/>
              </w:rPr>
              <w:t>项目最终纳污河流为东孟姜女河</w:t>
            </w:r>
            <w:r>
              <w:rPr>
                <w:rFonts w:hint="default" w:ascii="Times New Roman" w:hAnsi="Times New Roman" w:cs="Times New Roman"/>
                <w:color w:val="auto"/>
                <w:sz w:val="21"/>
                <w:szCs w:val="21"/>
                <w:highlight w:val="none"/>
                <w:lang w:eastAsia="zh-CN"/>
              </w:rPr>
              <w:t>，根据</w:t>
            </w:r>
            <w:r>
              <w:rPr>
                <w:rFonts w:hint="eastAsia" w:cs="Times New Roman"/>
                <w:color w:val="auto"/>
                <w:sz w:val="21"/>
                <w:szCs w:val="21"/>
                <w:highlight w:val="none"/>
                <w:lang w:eastAsia="zh-CN"/>
              </w:rPr>
              <w:t>《新乡市生态环境局关于下达</w:t>
            </w:r>
            <w:r>
              <w:rPr>
                <w:rFonts w:hint="eastAsia" w:cs="Times New Roman"/>
                <w:color w:val="auto"/>
                <w:sz w:val="21"/>
                <w:szCs w:val="21"/>
                <w:highlight w:val="none"/>
                <w:lang w:val="en-US" w:eastAsia="zh-CN"/>
              </w:rPr>
              <w:t>2022年地表水环境质量暂定目标的函</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东孟姜女河</w:t>
            </w:r>
            <w:r>
              <w:rPr>
                <w:rFonts w:hint="default" w:ascii="Times New Roman" w:hAnsi="Times New Roman" w:cs="Times New Roman"/>
                <w:color w:val="auto"/>
                <w:sz w:val="21"/>
                <w:szCs w:val="21"/>
                <w:highlight w:val="none"/>
                <w:lang w:eastAsia="zh-CN"/>
              </w:rPr>
              <w:t>规划水体功能为</w:t>
            </w: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 = 4 \* ROMAN \* MERGEFORMAT </w:instrText>
            </w:r>
            <w:r>
              <w:rPr>
                <w:rFonts w:hint="default" w:ascii="Times New Roman" w:hAnsi="Times New Roman" w:cs="Times New Roman"/>
                <w:color w:val="auto"/>
                <w:sz w:val="21"/>
                <w:szCs w:val="21"/>
                <w:highlight w:val="none"/>
                <w:lang w:eastAsia="zh-CN"/>
              </w:rPr>
              <w:fldChar w:fldCharType="separate"/>
            </w:r>
            <w:r>
              <w:rPr>
                <w:color w:val="auto"/>
                <w:highlight w:val="none"/>
              </w:rPr>
              <w:t>IV</w:t>
            </w:r>
            <w:r>
              <w:rPr>
                <w:rFonts w:hint="default" w:ascii="Times New Roman" w:hAnsi="Times New Roman" w:cs="Times New Roman"/>
                <w:color w:val="auto"/>
                <w:sz w:val="21"/>
                <w:szCs w:val="21"/>
                <w:highlight w:val="none"/>
                <w:lang w:eastAsia="zh-CN"/>
              </w:rPr>
              <w:fldChar w:fldCharType="end"/>
            </w:r>
            <w:r>
              <w:rPr>
                <w:rFonts w:hint="default" w:ascii="Times New Roman" w:hAnsi="Times New Roman" w:cs="Times New Roman"/>
                <w:color w:val="auto"/>
                <w:sz w:val="21"/>
                <w:szCs w:val="21"/>
                <w:highlight w:val="none"/>
                <w:lang w:eastAsia="zh-CN"/>
              </w:rPr>
              <w:t>类，评价引用新乡市环境监测站对东孟姜女河南环桥断面2022年4月份周报监测数据</w:t>
            </w:r>
            <w:r>
              <w:rPr>
                <w:rFonts w:hint="default" w:ascii="Times New Roman" w:hAnsi="Times New Roman" w:cs="Times New Roman"/>
                <w:color w:val="auto"/>
                <w:sz w:val="21"/>
                <w:szCs w:val="21"/>
                <w:highlight w:val="none"/>
                <w:lang w:val="en-US" w:eastAsia="zh-CN"/>
              </w:rPr>
              <w:t>，区域COD、NH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-N、总磷</w:t>
            </w:r>
            <w:r>
              <w:rPr>
                <w:rFonts w:hint="default" w:ascii="Times New Roman" w:hAnsi="Times New Roman" w:cs="Times New Roman"/>
                <w:color w:val="auto"/>
                <w:sz w:val="21"/>
                <w:szCs w:val="21"/>
                <w:highlight w:val="none"/>
              </w:rPr>
              <w:t>水质能够满足《地表水环境质量标准》（GB3838-2002）</w:t>
            </w: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 = 4 \* ROMAN \* MERGEFORMAT </w:instrText>
            </w:r>
            <w:r>
              <w:rPr>
                <w:rFonts w:hint="default" w:ascii="Times New Roman" w:hAnsi="Times New Roman" w:cs="Times New Roman"/>
                <w:color w:val="auto"/>
                <w:sz w:val="21"/>
                <w:szCs w:val="21"/>
                <w:highlight w:val="none"/>
                <w:lang w:eastAsia="zh-CN"/>
              </w:rPr>
              <w:fldChar w:fldCharType="separate"/>
            </w:r>
            <w:r>
              <w:rPr>
                <w:color w:val="auto"/>
                <w:highlight w:val="none"/>
              </w:rPr>
              <w:t>IV</w:t>
            </w:r>
            <w:r>
              <w:rPr>
                <w:rFonts w:hint="default" w:ascii="Times New Roman" w:hAnsi="Times New Roman" w:cs="Times New Roman"/>
                <w:color w:val="auto"/>
                <w:sz w:val="21"/>
                <w:szCs w:val="21"/>
                <w:highlight w:val="none"/>
                <w:lang w:eastAsia="zh-CN"/>
              </w:rPr>
              <w:fldChar w:fldCharType="end"/>
            </w:r>
            <w:r>
              <w:rPr>
                <w:rFonts w:hint="default" w:ascii="Times New Roman" w:hAnsi="Times New Roman" w:cs="Times New Roman"/>
                <w:color w:val="auto"/>
                <w:sz w:val="21"/>
                <w:szCs w:val="21"/>
                <w:highlight w:val="none"/>
              </w:rPr>
              <w:t>类水质要求</w:t>
            </w:r>
            <w:r>
              <w:rPr>
                <w:rFonts w:hint="default" w:ascii="Times New Roman" w:hAnsi="Times New Roman" w:cs="Times New Roman"/>
                <w:color w:val="auto"/>
                <w:kern w:val="0"/>
                <w:sz w:val="21"/>
                <w:szCs w:val="21"/>
                <w:highlight w:val="none"/>
                <w:lang w:bidi="ar"/>
              </w:rPr>
              <w:t>。</w:t>
            </w:r>
            <w:r>
              <w:rPr>
                <w:rFonts w:hint="default" w:ascii="Times New Roman" w:hAnsi="Times New Roman" w:cs="Times New Roman"/>
                <w:color w:val="auto"/>
                <w:kern w:val="0"/>
                <w:sz w:val="21"/>
                <w:szCs w:val="21"/>
                <w:highlight w:val="none"/>
                <w:lang w:eastAsia="zh-CN" w:bidi="ar"/>
              </w:rPr>
              <w:t>本次</w:t>
            </w:r>
            <w:r>
              <w:rPr>
                <w:rFonts w:hint="eastAsia" w:ascii="Times New Roman" w:hAnsi="Times New Roman" w:cs="Times New Roman"/>
                <w:color w:val="auto"/>
                <w:kern w:val="0"/>
                <w:sz w:val="21"/>
                <w:szCs w:val="21"/>
                <w:highlight w:val="none"/>
                <w:lang w:eastAsia="zh-CN" w:bidi="ar"/>
              </w:rPr>
              <w:t>工程</w:t>
            </w:r>
            <w:r>
              <w:rPr>
                <w:rFonts w:hint="default" w:ascii="Times New Roman" w:hAnsi="Times New Roman" w:cs="Times New Roman"/>
                <w:color w:val="auto"/>
                <w:kern w:val="0"/>
                <w:sz w:val="21"/>
                <w:szCs w:val="21"/>
                <w:highlight w:val="none"/>
                <w:lang w:eastAsia="zh-CN" w:bidi="ar"/>
              </w:rPr>
              <w:t>技改后全厂</w:t>
            </w:r>
            <w:r>
              <w:rPr>
                <w:rFonts w:hint="eastAsia" w:ascii="Times New Roman" w:hAnsi="Times New Roman" w:cs="Times New Roman"/>
                <w:color w:val="auto"/>
                <w:kern w:val="0"/>
                <w:sz w:val="21"/>
                <w:szCs w:val="21"/>
                <w:highlight w:val="none"/>
                <w:lang w:eastAsia="zh-CN" w:bidi="ar"/>
              </w:rPr>
              <w:t>废水</w:t>
            </w:r>
            <w:r>
              <w:rPr>
                <w:rFonts w:hint="default" w:ascii="Times New Roman" w:hAnsi="Times New Roman" w:cs="Times New Roman"/>
                <w:color w:val="auto"/>
                <w:kern w:val="0"/>
                <w:sz w:val="21"/>
                <w:szCs w:val="21"/>
                <w:highlight w:val="none"/>
                <w:lang w:eastAsia="zh-CN" w:bidi="ar"/>
              </w:rPr>
              <w:t>通过区域污水管网排入新乡县综合污水处理厂</w:t>
            </w:r>
            <w:r>
              <w:rPr>
                <w:rFonts w:hint="default" w:ascii="Times New Roman" w:hAnsi="Times New Roman" w:cs="Times New Roman"/>
                <w:color w:val="auto"/>
                <w:kern w:val="0"/>
                <w:sz w:val="21"/>
                <w:szCs w:val="21"/>
                <w:highlight w:val="none"/>
                <w:lang w:bidi="ar"/>
              </w:rPr>
              <w:t>，</w:t>
            </w:r>
            <w:r>
              <w:rPr>
                <w:rFonts w:hint="default" w:ascii="Times New Roman" w:hAnsi="Times New Roman" w:cs="Times New Roman"/>
                <w:color w:val="auto"/>
                <w:kern w:val="0"/>
                <w:sz w:val="21"/>
                <w:szCs w:val="21"/>
                <w:highlight w:val="none"/>
                <w:lang w:eastAsia="zh-CN" w:bidi="ar"/>
              </w:rPr>
              <w:t>故</w:t>
            </w:r>
            <w:r>
              <w:rPr>
                <w:rFonts w:hint="default" w:ascii="Times New Roman" w:hAnsi="Times New Roman" w:cs="Times New Roman"/>
                <w:color w:val="auto"/>
                <w:kern w:val="0"/>
                <w:sz w:val="21"/>
                <w:szCs w:val="21"/>
                <w:highlight w:val="none"/>
                <w:lang w:bidi="ar"/>
              </w:rPr>
              <w:t>本项目对区域水环境质量的影响较小。</w:t>
            </w:r>
          </w:p>
          <w:p>
            <w:pPr>
              <w:pStyle w:val="56"/>
              <w:keepNext w:val="0"/>
              <w:keepLines w:val="0"/>
              <w:pageBreakBefore w:val="0"/>
              <w:widowControl w:val="0"/>
              <w:kinsoku/>
              <w:wordWrap/>
              <w:overflowPunct/>
              <w:topLinePunct w:val="0"/>
              <w:autoSpaceDE w:val="0"/>
              <w:autoSpaceDN w:val="0"/>
              <w:bidi w:val="0"/>
              <w:adjustRightInd/>
              <w:snapToGrid/>
              <w:spacing w:line="360" w:lineRule="auto"/>
              <w:ind w:left="0" w:right="0" w:firstLine="420" w:firstLineChars="200"/>
              <w:jc w:val="both"/>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bidi="ar-SA"/>
              </w:rPr>
              <w:t>本项目废气、废水在采取报告中提出的治理措施后，能够达到相应的排放标准，因此对周边环境质量影响较小。综上，本项目的建设运行不会突破项目所在地的环境质量底线，因此项目符合环境质量底线标准。</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lang w:eastAsia="zh-CN"/>
              </w:rPr>
              <w:t>）资源利用上线</w:t>
            </w:r>
          </w:p>
          <w:p>
            <w:pPr>
              <w:keepNext w:val="0"/>
              <w:keepLines w:val="0"/>
              <w:pageBreakBefore w:val="0"/>
              <w:widowControl w:val="0"/>
              <w:kinsoku/>
              <w:wordWrap/>
              <w:overflowPunct/>
              <w:topLinePunct w:val="0"/>
              <w:bidi w:val="0"/>
              <w:adjustRightInd/>
              <w:snapToGrid/>
              <w:spacing w:line="360" w:lineRule="auto"/>
              <w:ind w:left="0" w:leftChars="0" w:right="0" w:firstLine="422" w:firstLineChars="200"/>
              <w:jc w:val="both"/>
              <w:textAlignment w:val="auto"/>
              <w:rPr>
                <w:rFonts w:hint="default" w:ascii="Times New Roman" w:hAnsi="Times New Roman" w:cs="Times New Roman"/>
                <w:b w:val="0"/>
                <w:bCs/>
                <w:color w:val="auto"/>
                <w:szCs w:val="28"/>
                <w:highlight w:val="none"/>
                <w:lang w:val="en-US" w:eastAsia="zh-CN"/>
              </w:rPr>
            </w:pPr>
            <w:r>
              <w:rPr>
                <w:rFonts w:hint="default" w:ascii="Times New Roman" w:hAnsi="Times New Roman" w:cs="Times New Roman"/>
                <w:b/>
                <w:color w:val="auto"/>
                <w:szCs w:val="28"/>
                <w:highlight w:val="none"/>
              </w:rPr>
              <w:t>土地资源：</w:t>
            </w:r>
            <w:r>
              <w:rPr>
                <w:rFonts w:hint="eastAsia" w:ascii="Times New Roman" w:hAnsi="Times New Roman" w:cs="Times New Roman"/>
                <w:b w:val="0"/>
                <w:bCs/>
                <w:color w:val="auto"/>
                <w:szCs w:val="28"/>
                <w:highlight w:val="none"/>
                <w:lang w:eastAsia="zh-CN"/>
              </w:rPr>
              <w:t>本次工程</w:t>
            </w:r>
            <w:r>
              <w:rPr>
                <w:rFonts w:hint="default" w:ascii="Times New Roman" w:hAnsi="Times New Roman" w:cs="Times New Roman"/>
                <w:b w:val="0"/>
                <w:bCs/>
                <w:color w:val="auto"/>
                <w:szCs w:val="28"/>
                <w:highlight w:val="none"/>
                <w:lang w:eastAsia="zh-CN"/>
              </w:rPr>
              <w:t>利用现有车间进行技术改造，无新增用地，</w:t>
            </w:r>
            <w:r>
              <w:rPr>
                <w:rFonts w:hint="default" w:ascii="Times New Roman" w:hAnsi="Times New Roman" w:cs="Times New Roman"/>
                <w:color w:val="auto"/>
                <w:kern w:val="0"/>
                <w:szCs w:val="21"/>
                <w:highlight w:val="none"/>
                <w:lang w:eastAsia="zh-CN"/>
              </w:rPr>
              <w:t>对照《河南省新乡县城乡总体规划（2012-2030）</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lang w:eastAsia="zh-CN"/>
              </w:rPr>
              <w:t>中心城区土地利用规划图》（详见附图</w:t>
            </w:r>
            <w:r>
              <w:rPr>
                <w:rFonts w:hint="eastAsia" w:ascii="Times New Roman" w:hAnsi="Times New Roman" w:cs="Times New Roman"/>
                <w:color w:val="auto"/>
                <w:kern w:val="0"/>
                <w:szCs w:val="21"/>
                <w:highlight w:val="none"/>
                <w:lang w:eastAsia="zh-CN"/>
              </w:rPr>
              <w:t>五</w:t>
            </w:r>
            <w:r>
              <w:rPr>
                <w:rFonts w:hint="default" w:ascii="Times New Roman" w:hAnsi="Times New Roman" w:cs="Times New Roman"/>
                <w:color w:val="auto"/>
                <w:kern w:val="0"/>
                <w:szCs w:val="21"/>
                <w:highlight w:val="none"/>
                <w:lang w:eastAsia="zh-CN"/>
              </w:rPr>
              <w:t>），项目用地属于工业用地</w:t>
            </w:r>
            <w:r>
              <w:rPr>
                <w:rFonts w:hint="default" w:ascii="Times New Roman" w:hAnsi="Times New Roman" w:cs="Times New Roman"/>
                <w:b w:val="0"/>
                <w:bCs/>
                <w:color w:val="auto"/>
                <w:szCs w:val="28"/>
                <w:highlight w:val="none"/>
                <w:lang w:eastAsia="zh-CN"/>
              </w:rPr>
              <w:t>，不会突破区域土地资源利用上线</w:t>
            </w:r>
            <w:r>
              <w:rPr>
                <w:rFonts w:hint="default" w:ascii="Times New Roman" w:hAnsi="Times New Roman" w:cs="Times New Roman"/>
                <w:b w:val="0"/>
                <w:bCs/>
                <w:color w:val="auto"/>
                <w:szCs w:val="28"/>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b/>
                <w:color w:val="auto"/>
                <w:szCs w:val="28"/>
                <w:highlight w:val="none"/>
              </w:rPr>
              <w:t>水资源：</w:t>
            </w:r>
            <w:r>
              <w:rPr>
                <w:rFonts w:hint="default" w:ascii="Times New Roman" w:hAnsi="Times New Roman" w:cs="Times New Roman"/>
                <w:color w:val="auto"/>
                <w:szCs w:val="21"/>
                <w:highlight w:val="none"/>
              </w:rPr>
              <w:t>本</w:t>
            </w:r>
            <w:r>
              <w:rPr>
                <w:rFonts w:hint="default" w:ascii="Times New Roman" w:hAnsi="Times New Roman" w:cs="Times New Roman"/>
                <w:color w:val="auto"/>
                <w:szCs w:val="21"/>
                <w:highlight w:val="none"/>
                <w:lang w:eastAsia="zh-CN"/>
              </w:rPr>
              <w:t>次技改工程</w:t>
            </w:r>
            <w:r>
              <w:rPr>
                <w:rFonts w:hint="default" w:ascii="Times New Roman" w:hAnsi="Times New Roman" w:cs="Times New Roman"/>
                <w:color w:val="auto"/>
                <w:szCs w:val="21"/>
                <w:highlight w:val="none"/>
              </w:rPr>
              <w:t>建成后用水</w:t>
            </w:r>
            <w:r>
              <w:rPr>
                <w:rFonts w:hint="default" w:ascii="Times New Roman" w:hAnsi="Times New Roman" w:cs="Times New Roman"/>
                <w:color w:val="auto"/>
                <w:szCs w:val="21"/>
                <w:highlight w:val="none"/>
                <w:lang w:eastAsia="zh-CN"/>
              </w:rPr>
              <w:t>主要为生活用水和生产用水，</w:t>
            </w:r>
            <w:r>
              <w:rPr>
                <w:rFonts w:hint="default" w:ascii="Times New Roman" w:hAnsi="Times New Roman" w:cs="Times New Roman"/>
                <w:color w:val="auto"/>
                <w:szCs w:val="21"/>
                <w:highlight w:val="none"/>
              </w:rPr>
              <w:t>合计平均</w:t>
            </w:r>
            <w:r>
              <w:rPr>
                <w:rFonts w:hint="default" w:ascii="Times New Roman" w:hAnsi="Times New Roman" w:cs="Times New Roman"/>
                <w:color w:val="auto"/>
                <w:szCs w:val="21"/>
                <w:highlight w:val="none"/>
                <w:lang w:eastAsia="zh-CN"/>
              </w:rPr>
              <w:t>用水量</w:t>
            </w:r>
            <w:r>
              <w:rPr>
                <w:rFonts w:hint="default" w:ascii="Times New Roman" w:hAnsi="Times New Roman" w:cs="Times New Roman"/>
                <w:color w:val="auto"/>
                <w:szCs w:val="21"/>
                <w:highlight w:val="none"/>
              </w:rPr>
              <w:t>为</w:t>
            </w:r>
            <w:r>
              <w:rPr>
                <w:rFonts w:hint="default" w:ascii="Times New Roman" w:hAnsi="Times New Roman" w:cs="Times New Roman"/>
                <w:bCs/>
                <w:color w:val="auto"/>
                <w:kern w:val="0"/>
                <w:szCs w:val="21"/>
                <w:highlight w:val="none"/>
                <w:lang w:val="en-US" w:eastAsia="zh-CN"/>
              </w:rPr>
              <w:t>13.0303m</w:t>
            </w:r>
            <w:r>
              <w:rPr>
                <w:rFonts w:hint="default" w:ascii="Times New Roman" w:hAnsi="Times New Roman" w:cs="Times New Roman"/>
                <w:bCs/>
                <w:color w:val="auto"/>
                <w:kern w:val="0"/>
                <w:szCs w:val="21"/>
                <w:highlight w:val="none"/>
                <w:vertAlign w:val="superscript"/>
                <w:lang w:val="en-US" w:eastAsia="zh-CN"/>
              </w:rPr>
              <w:t>3</w:t>
            </w:r>
            <w:r>
              <w:rPr>
                <w:rFonts w:hint="default" w:ascii="Times New Roman" w:hAnsi="Times New Roman" w:cs="Times New Roman"/>
                <w:bCs/>
                <w:color w:val="auto"/>
                <w:kern w:val="0"/>
                <w:szCs w:val="21"/>
                <w:highlight w:val="none"/>
                <w:lang w:val="en-US" w:eastAsia="zh-CN"/>
              </w:rPr>
              <w:t>/d（</w:t>
            </w:r>
            <w:r>
              <w:rPr>
                <w:rFonts w:hint="default" w:ascii="Times New Roman" w:hAnsi="Times New Roman" w:cs="Times New Roman"/>
                <w:color w:val="auto"/>
                <w:sz w:val="21"/>
                <w:szCs w:val="21"/>
                <w:highlight w:val="none"/>
                <w:lang w:val="en-US" w:eastAsia="zh-CN"/>
              </w:rPr>
              <w:t>3713.6355m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r>
              <w:rPr>
                <w:rFonts w:hint="default" w:ascii="Times New Roman" w:hAnsi="Times New Roman" w:cs="Times New Roman"/>
                <w:bCs/>
                <w:color w:val="auto"/>
                <w:kern w:val="0"/>
                <w:szCs w:val="21"/>
                <w:highlight w:val="none"/>
                <w:lang w:val="en-US" w:eastAsia="zh-CN"/>
              </w:rPr>
              <w:t>）</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来源由新乡县</w:t>
            </w:r>
            <w:r>
              <w:rPr>
                <w:rFonts w:hint="default" w:ascii="Times New Roman" w:hAnsi="Times New Roman" w:cs="Times New Roman"/>
                <w:color w:val="auto"/>
                <w:highlight w:val="none"/>
                <w:lang w:eastAsia="zh-CN"/>
              </w:rPr>
              <w:t>市政</w:t>
            </w:r>
            <w:r>
              <w:rPr>
                <w:rFonts w:hint="default" w:ascii="Times New Roman" w:hAnsi="Times New Roman" w:cs="Times New Roman"/>
                <w:color w:val="auto"/>
                <w:szCs w:val="21"/>
                <w:highlight w:val="none"/>
                <w:lang w:eastAsia="zh-CN"/>
              </w:rPr>
              <w:t>供水厂提供</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供应能力能够满足本项目的使用要求，不会突破区域水资源利用上线。</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
                <w:bCs w:val="0"/>
                <w:color w:val="auto"/>
                <w:kern w:val="0"/>
                <w:szCs w:val="21"/>
                <w:highlight w:val="none"/>
              </w:rPr>
              <w:t>能源资源：</w:t>
            </w:r>
            <w:r>
              <w:rPr>
                <w:rFonts w:hint="default" w:ascii="Times New Roman" w:hAnsi="Times New Roman" w:cs="Times New Roman"/>
                <w:b w:val="0"/>
                <w:bCs/>
                <w:color w:val="auto"/>
                <w:kern w:val="0"/>
                <w:szCs w:val="21"/>
                <w:highlight w:val="none"/>
                <w:lang w:eastAsia="zh-CN"/>
              </w:rPr>
              <w:t>本次技改工程生产所用</w:t>
            </w:r>
            <w:r>
              <w:rPr>
                <w:rFonts w:hint="default" w:ascii="Times New Roman" w:hAnsi="Times New Roman" w:cs="Times New Roman"/>
                <w:b w:val="0"/>
                <w:bCs/>
                <w:color w:val="auto"/>
                <w:kern w:val="0"/>
                <w:szCs w:val="21"/>
                <w:highlight w:val="none"/>
              </w:rPr>
              <w:t>能源</w:t>
            </w:r>
            <w:r>
              <w:rPr>
                <w:rFonts w:hint="default" w:ascii="Times New Roman" w:hAnsi="Times New Roman" w:cs="Times New Roman"/>
                <w:bCs/>
                <w:color w:val="auto"/>
                <w:kern w:val="0"/>
                <w:szCs w:val="21"/>
                <w:highlight w:val="none"/>
              </w:rPr>
              <w:t>为电</w:t>
            </w:r>
            <w:r>
              <w:rPr>
                <w:rFonts w:hint="default" w:ascii="Times New Roman" w:hAnsi="Times New Roman" w:cs="Times New Roman"/>
                <w:bCs/>
                <w:color w:val="auto"/>
                <w:kern w:val="0"/>
                <w:szCs w:val="21"/>
                <w:highlight w:val="none"/>
                <w:lang w:eastAsia="zh-CN"/>
              </w:rPr>
              <w:t>能，技改工程建成后全厂年用电量约为</w:t>
            </w:r>
            <w:r>
              <w:rPr>
                <w:rFonts w:hint="default" w:ascii="Times New Roman" w:hAnsi="Times New Roman" w:cs="Times New Roman"/>
                <w:bCs/>
                <w:color w:val="auto"/>
                <w:kern w:val="0"/>
                <w:szCs w:val="21"/>
                <w:highlight w:val="none"/>
                <w:lang w:val="en-US" w:eastAsia="zh-CN"/>
              </w:rPr>
              <w:t>50万kW‧h</w:t>
            </w:r>
            <w:r>
              <w:rPr>
                <w:rFonts w:hint="default" w:ascii="Times New Roman" w:hAnsi="Times New Roman" w:cs="Times New Roman"/>
                <w:bCs/>
                <w:color w:val="auto"/>
                <w:kern w:val="0"/>
                <w:szCs w:val="21"/>
                <w:highlight w:val="none"/>
                <w:lang w:eastAsia="zh-CN"/>
              </w:rPr>
              <w:t>，依托现有工程配电室供给，来源为当地市政供电管网。</w:t>
            </w:r>
            <w:r>
              <w:rPr>
                <w:rFonts w:hint="default" w:ascii="Times New Roman" w:hAnsi="Times New Roman" w:cs="Times New Roman"/>
                <w:bCs/>
                <w:color w:val="auto"/>
                <w:kern w:val="0"/>
                <w:szCs w:val="21"/>
                <w:highlight w:val="none"/>
              </w:rPr>
              <w:t>项目建成运行后通过内部管理、设备选择、原辅材料的选用和管理、废物回收利用、污染治理等多方面采取合理可行的防治措施，以“节能、降耗、减污”为目标，有效地控制污染。</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lang w:eastAsia="zh-CN"/>
              </w:rPr>
              <w:t>综上</w:t>
            </w:r>
            <w:r>
              <w:rPr>
                <w:rFonts w:hint="default" w:ascii="Times New Roman" w:hAnsi="Times New Roman" w:cs="Times New Roman"/>
                <w:bCs/>
                <w:color w:val="auto"/>
                <w:kern w:val="0"/>
                <w:szCs w:val="21"/>
                <w:highlight w:val="none"/>
              </w:rPr>
              <w:t>，</w:t>
            </w:r>
            <w:r>
              <w:rPr>
                <w:rFonts w:hint="default" w:ascii="Times New Roman" w:hAnsi="Times New Roman" w:cs="Times New Roman"/>
                <w:bCs/>
                <w:color w:val="auto"/>
                <w:kern w:val="0"/>
                <w:szCs w:val="21"/>
                <w:highlight w:val="none"/>
                <w:lang w:eastAsia="zh-CN"/>
              </w:rPr>
              <w:t>本项目</w:t>
            </w:r>
            <w:r>
              <w:rPr>
                <w:rFonts w:hint="default" w:ascii="Times New Roman" w:hAnsi="Times New Roman" w:cs="Times New Roman"/>
                <w:bCs/>
                <w:color w:val="auto"/>
                <w:kern w:val="0"/>
                <w:szCs w:val="21"/>
                <w:highlight w:val="none"/>
              </w:rPr>
              <w:t>不会增加</w:t>
            </w:r>
            <w:r>
              <w:rPr>
                <w:rFonts w:hint="default" w:ascii="Times New Roman" w:hAnsi="Times New Roman" w:cs="Times New Roman"/>
                <w:bCs/>
                <w:color w:val="auto"/>
                <w:kern w:val="0"/>
                <w:szCs w:val="21"/>
                <w:highlight w:val="none"/>
                <w:lang w:eastAsia="zh-CN"/>
              </w:rPr>
              <w:t>区域内</w:t>
            </w:r>
            <w:r>
              <w:rPr>
                <w:rFonts w:hint="default" w:ascii="Times New Roman" w:hAnsi="Times New Roman" w:cs="Times New Roman"/>
                <w:bCs/>
                <w:color w:val="auto"/>
                <w:kern w:val="0"/>
                <w:szCs w:val="21"/>
                <w:highlight w:val="none"/>
              </w:rPr>
              <w:t>能源资源利用。项目的土地、水、能源等资源利用不会突破区域的资源利用上线。</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lang w:eastAsia="zh-CN"/>
              </w:rPr>
              <w:t>）生态环境准入清单</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fldChar w:fldCharType="begin"/>
            </w:r>
            <w:r>
              <w:rPr>
                <w:rFonts w:hint="default" w:ascii="Times New Roman" w:hAnsi="Times New Roman" w:cs="Times New Roman"/>
                <w:b/>
                <w:bCs/>
                <w:color w:val="auto"/>
                <w:highlight w:val="none"/>
                <w:lang w:eastAsia="zh-CN"/>
              </w:rPr>
              <w:instrText xml:space="preserve">=1\*GB3\*MERGEFORMAT</w:instrText>
            </w:r>
            <w:r>
              <w:rPr>
                <w:rFonts w:hint="default" w:ascii="Times New Roman" w:hAnsi="Times New Roman" w:cs="Times New Roman"/>
                <w:b/>
                <w:bCs/>
                <w:color w:val="auto"/>
                <w:highlight w:val="none"/>
                <w:lang w:eastAsia="zh-CN"/>
              </w:rPr>
              <w:fldChar w:fldCharType="separate"/>
            </w:r>
            <w:r>
              <w:rPr>
                <w:rFonts w:hint="default" w:ascii="Times New Roman" w:hAnsi="Times New Roman" w:cs="Times New Roman"/>
                <w:b/>
                <w:bCs/>
                <w:color w:val="auto"/>
                <w:highlight w:val="none"/>
              </w:rPr>
              <w:t>①</w:t>
            </w:r>
            <w:r>
              <w:rPr>
                <w:rFonts w:hint="default" w:ascii="Times New Roman" w:hAnsi="Times New Roman" w:cs="Times New Roman"/>
                <w:b/>
                <w:bCs/>
                <w:color w:val="auto"/>
                <w:highlight w:val="none"/>
                <w:lang w:eastAsia="zh-CN"/>
              </w:rPr>
              <w:fldChar w:fldCharType="end"/>
            </w:r>
            <w:r>
              <w:rPr>
                <w:rFonts w:hint="default" w:ascii="Times New Roman" w:hAnsi="Times New Roman" w:cs="Times New Roman"/>
                <w:b/>
                <w:bCs/>
                <w:color w:val="auto"/>
                <w:highlight w:val="none"/>
                <w:lang w:eastAsia="zh-CN"/>
              </w:rPr>
              <w:t>与《河南省生态环境分区管控总体要求（试行）》对照情况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color w:val="auto"/>
                <w:lang w:eastAsia="zh-CN"/>
              </w:rPr>
            </w:pPr>
            <w:r>
              <w:rPr>
                <w:rFonts w:hint="default" w:ascii="Times New Roman" w:hAnsi="Times New Roman" w:cs="Times New Roman"/>
                <w:b w:val="0"/>
                <w:bCs w:val="0"/>
                <w:color w:val="auto"/>
                <w:highlight w:val="none"/>
                <w:lang w:eastAsia="zh-CN"/>
              </w:rPr>
              <w:t>根据河南省生态环境厅关于发布《河南省生态环境分区管控总体要求（试行）》的函（豫环函〔2021〕171号），本项目与《河南省生态环境分区管控总体要求（试行）》对照情况如下：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与《河南省生态环境分区管控总体要求（试行）》对照情况</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84"/>
              <w:gridCol w:w="391"/>
              <w:gridCol w:w="2861"/>
              <w:gridCol w:w="24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both"/>
                    <w:textAlignment w:val="auto"/>
                    <w:rPr>
                      <w:rFonts w:hint="default" w:ascii="Times New Roman" w:hAnsi="Times New Roman" w:eastAsia="宋体" w:cs="Times New Roman"/>
                      <w:b/>
                      <w:color w:val="auto"/>
                      <w:sz w:val="18"/>
                      <w:szCs w:val="18"/>
                      <w:highlight w:val="none"/>
                      <w:lang w:val="en-US" w:eastAsia="zh-CN"/>
                    </w:rPr>
                  </w:pPr>
                  <w:r>
                    <w:rPr>
                      <w:rFonts w:hint="default" w:ascii="Times New Roman" w:hAnsi="Times New Roman" w:cs="Times New Roman"/>
                      <w:b/>
                      <w:color w:val="auto"/>
                      <w:sz w:val="18"/>
                      <w:szCs w:val="18"/>
                      <w:highlight w:val="none"/>
                      <w:lang w:val="en-US" w:eastAsia="zh-CN"/>
                    </w:rPr>
                    <w:t>1、</w:t>
                  </w:r>
                  <w:r>
                    <w:rPr>
                      <w:rFonts w:hint="default" w:ascii="Times New Roman" w:hAnsi="Times New Roman" w:eastAsia="宋体" w:cs="Times New Roman"/>
                      <w:b/>
                      <w:color w:val="auto"/>
                      <w:sz w:val="18"/>
                      <w:szCs w:val="18"/>
                      <w:highlight w:val="none"/>
                      <w:lang w:val="en-US" w:eastAsia="zh-CN"/>
                    </w:rPr>
                    <w:t>河南省产业发展总体准入要求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产业发展</w:t>
                  </w:r>
                </w:p>
              </w:tc>
              <w:tc>
                <w:tcPr>
                  <w:tcW w:w="263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准入要求</w:t>
                  </w:r>
                </w:p>
              </w:tc>
              <w:tc>
                <w:tcPr>
                  <w:tcW w:w="19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通用</w:t>
                  </w:r>
                </w:p>
              </w:tc>
              <w:tc>
                <w:tcPr>
                  <w:tcW w:w="2630" w:type="pct"/>
                  <w:gridSpan w:val="2"/>
                  <w:tcBorders>
                    <w:tl2br w:val="nil"/>
                    <w:tr2bl w:val="nil"/>
                  </w:tcBorders>
                  <w:noWrap w:val="0"/>
                  <w:vAlign w:val="center"/>
                </w:tcPr>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rPr>
                    <w:t>禁止新</w:t>
                  </w:r>
                  <w:r>
                    <w:rPr>
                      <w:rFonts w:hint="default" w:ascii="Times New Roman" w:hAnsi="Times New Roman" w:eastAsia="宋体" w:cs="Times New Roman"/>
                      <w:color w:val="auto"/>
                      <w:sz w:val="18"/>
                      <w:szCs w:val="18"/>
                      <w:highlight w:val="none"/>
                      <w:lang w:eastAsia="zh-CN"/>
                    </w:rPr>
                    <w:t>改</w:t>
                  </w:r>
                  <w:r>
                    <w:rPr>
                      <w:rFonts w:hint="default" w:ascii="Times New Roman" w:hAnsi="Times New Roman" w:eastAsia="宋体" w:cs="Times New Roman"/>
                      <w:color w:val="auto"/>
                      <w:sz w:val="18"/>
                      <w:szCs w:val="18"/>
                      <w:highlight w:val="none"/>
                    </w:rPr>
                    <w:t>扩建《产业结构调整指导目录（2019年本）》明确的淘汰类项目</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禁止引入《市场准入负面清单（20</w:t>
                  </w:r>
                  <w:r>
                    <w:rPr>
                      <w:rFonts w:hint="default" w:ascii="Times New Roman" w:hAnsi="Times New Roman" w:eastAsia="宋体" w:cs="Times New Roman"/>
                      <w:color w:val="auto"/>
                      <w:sz w:val="18"/>
                      <w:szCs w:val="18"/>
                      <w:highlight w:val="none"/>
                      <w:lang w:val="en-US" w:eastAsia="zh-CN"/>
                    </w:rPr>
                    <w:t>20</w:t>
                  </w:r>
                  <w:r>
                    <w:rPr>
                      <w:rFonts w:hint="default" w:ascii="Times New Roman" w:hAnsi="Times New Roman" w:eastAsia="宋体" w:cs="Times New Roman"/>
                      <w:color w:val="auto"/>
                      <w:sz w:val="18"/>
                      <w:szCs w:val="18"/>
                      <w:highlight w:val="none"/>
                    </w:rPr>
                    <w:t>年版）》禁止准入类事项。</w:t>
                  </w:r>
                </w:p>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lang w:eastAsia="zh-CN"/>
                    </w:rPr>
                    <w:t>重点区域严禁新增</w:t>
                  </w:r>
                  <w:r>
                    <w:rPr>
                      <w:rFonts w:hint="default" w:ascii="Times New Roman" w:hAnsi="Times New Roman" w:eastAsia="宋体" w:cs="Times New Roman"/>
                      <w:color w:val="auto"/>
                      <w:sz w:val="18"/>
                      <w:szCs w:val="18"/>
                      <w:highlight w:val="none"/>
                    </w:rPr>
                    <w:t>钢铁、</w:t>
                  </w:r>
                  <w:r>
                    <w:rPr>
                      <w:rFonts w:hint="default" w:ascii="Times New Roman" w:hAnsi="Times New Roman" w:eastAsia="宋体" w:cs="Times New Roman"/>
                      <w:color w:val="auto"/>
                      <w:sz w:val="18"/>
                      <w:szCs w:val="18"/>
                      <w:highlight w:val="none"/>
                      <w:lang w:eastAsia="zh-CN"/>
                    </w:rPr>
                    <w:t>焦化、</w:t>
                  </w:r>
                  <w:r>
                    <w:rPr>
                      <w:rFonts w:hint="default" w:ascii="Times New Roman" w:hAnsi="Times New Roman" w:eastAsia="宋体" w:cs="Times New Roman"/>
                      <w:color w:val="auto"/>
                      <w:sz w:val="18"/>
                      <w:szCs w:val="18"/>
                      <w:highlight w:val="none"/>
                    </w:rPr>
                    <w:t>水泥</w:t>
                  </w:r>
                  <w:r>
                    <w:rPr>
                      <w:rFonts w:hint="default" w:ascii="Times New Roman" w:hAnsi="Times New Roman" w:eastAsia="宋体" w:cs="Times New Roman"/>
                      <w:color w:val="auto"/>
                      <w:sz w:val="18"/>
                      <w:szCs w:val="18"/>
                      <w:highlight w:val="none"/>
                      <w:lang w:eastAsia="zh-CN"/>
                    </w:rPr>
                    <w:t>熟料</w:t>
                  </w:r>
                  <w:r>
                    <w:rPr>
                      <w:rFonts w:hint="default" w:ascii="Times New Roman" w:hAnsi="Times New Roman" w:eastAsia="宋体" w:cs="Times New Roman"/>
                      <w:color w:val="auto"/>
                      <w:sz w:val="18"/>
                      <w:szCs w:val="18"/>
                      <w:highlight w:val="none"/>
                    </w:rPr>
                    <w:t>、平板玻璃、电解铝、</w:t>
                  </w:r>
                  <w:r>
                    <w:rPr>
                      <w:rFonts w:hint="default" w:ascii="Times New Roman" w:hAnsi="Times New Roman" w:eastAsia="宋体" w:cs="Times New Roman"/>
                      <w:color w:val="auto"/>
                      <w:sz w:val="18"/>
                      <w:szCs w:val="18"/>
                      <w:highlight w:val="none"/>
                      <w:lang w:eastAsia="zh-CN"/>
                    </w:rPr>
                    <w:t>氧化铝、</w:t>
                  </w:r>
                  <w:r>
                    <w:rPr>
                      <w:rFonts w:hint="default" w:ascii="Times New Roman" w:hAnsi="Times New Roman" w:eastAsia="宋体" w:cs="Times New Roman"/>
                      <w:color w:val="auto"/>
                      <w:sz w:val="18"/>
                      <w:szCs w:val="18"/>
                      <w:highlight w:val="none"/>
                    </w:rPr>
                    <w:t>煤化工</w:t>
                  </w:r>
                  <w:r>
                    <w:rPr>
                      <w:rFonts w:hint="default" w:ascii="Times New Roman" w:hAnsi="Times New Roman" w:eastAsia="宋体" w:cs="Times New Roman"/>
                      <w:color w:val="auto"/>
                      <w:sz w:val="18"/>
                      <w:szCs w:val="18"/>
                      <w:highlight w:val="none"/>
                      <w:lang w:eastAsia="zh-CN"/>
                    </w:rPr>
                    <w:t>产能，严控新增炼油产能；</w:t>
                  </w:r>
                  <w:r>
                    <w:rPr>
                      <w:rFonts w:hint="default" w:ascii="Times New Roman" w:hAnsi="Times New Roman" w:eastAsia="宋体" w:cs="Times New Roman"/>
                      <w:color w:val="auto"/>
                      <w:sz w:val="18"/>
                      <w:szCs w:val="18"/>
                      <w:highlight w:val="none"/>
                    </w:rPr>
                    <w:t>禁止建设生产和使用高VOCs含量的溶剂型涂料、油墨、胶粘剂等项目</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全面取缔露天和敞开式喷涂作业</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kern w:val="2"/>
                      <w:sz w:val="18"/>
                      <w:szCs w:val="18"/>
                      <w:highlight w:val="none"/>
                      <w:lang w:val="en-US" w:eastAsia="zh-CN" w:bidi="ar-SA"/>
                    </w:rPr>
                    <w:t>重点区域原则上禁止新建露天矿山建设项目。</w:t>
                  </w:r>
                </w:p>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rPr>
                    <w:t>严把“两高”项目生态环境准入关，严格限制“两高”项目盲目发展。新改扩建“两高”项目须符合生态环境保护法律法规和相关法定规划，符合产业政策、国土空间规划、“三线一单”、能耗“双控”、煤炭消费减量替代、碳排放</w:t>
                  </w:r>
                  <w:r>
                    <w:rPr>
                      <w:rFonts w:hint="default" w:ascii="Times New Roman" w:hAnsi="Times New Roman" w:eastAsia="宋体" w:cs="Times New Roman"/>
                      <w:color w:val="auto"/>
                      <w:sz w:val="18"/>
                      <w:szCs w:val="18"/>
                      <w:highlight w:val="none"/>
                      <w:lang w:eastAsia="zh-CN"/>
                    </w:rPr>
                    <w:t>强度</w:t>
                  </w:r>
                  <w:r>
                    <w:rPr>
                      <w:rFonts w:hint="default" w:ascii="Times New Roman" w:hAnsi="Times New Roman" w:eastAsia="宋体" w:cs="Times New Roman"/>
                      <w:color w:val="auto"/>
                      <w:sz w:val="18"/>
                      <w:szCs w:val="18"/>
                      <w:highlight w:val="none"/>
                    </w:rPr>
                    <w:t>、污染物</w:t>
                  </w:r>
                  <w:r>
                    <w:rPr>
                      <w:rFonts w:hint="default" w:ascii="Times New Roman" w:hAnsi="Times New Roman" w:eastAsia="宋体" w:cs="Times New Roman"/>
                      <w:color w:val="auto"/>
                      <w:sz w:val="18"/>
                      <w:szCs w:val="18"/>
                      <w:highlight w:val="none"/>
                      <w:lang w:eastAsia="zh-CN"/>
                    </w:rPr>
                    <w:t>区域削减替代</w:t>
                  </w:r>
                  <w:r>
                    <w:rPr>
                      <w:rFonts w:hint="default" w:ascii="Times New Roman" w:hAnsi="Times New Roman" w:eastAsia="宋体" w:cs="Times New Roman"/>
                      <w:color w:val="auto"/>
                      <w:sz w:val="18"/>
                      <w:szCs w:val="18"/>
                      <w:highlight w:val="none"/>
                    </w:rPr>
                    <w:t>等约束性要求</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按照《河南省淘汰落后产能综合标准体系（2020年本）》，严格执行能耗、环保、质量、安全、技术等法规标准。</w:t>
                  </w:r>
                </w:p>
              </w:tc>
              <w:tc>
                <w:tcPr>
                  <w:tcW w:w="1977" w:type="pct"/>
                  <w:tcBorders>
                    <w:tl2br w:val="nil"/>
                    <w:tr2bl w:val="nil"/>
                  </w:tcBorders>
                  <w:noWrap w:val="0"/>
                  <w:vAlign w:val="center"/>
                </w:tcPr>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2、项目不属于</w:t>
                  </w:r>
                  <w:r>
                    <w:rPr>
                      <w:rFonts w:hint="default" w:ascii="Times New Roman" w:hAnsi="Times New Roman" w:eastAsia="宋体" w:cs="Times New Roman"/>
                      <w:color w:val="auto"/>
                      <w:sz w:val="18"/>
                      <w:szCs w:val="18"/>
                      <w:highlight w:val="none"/>
                    </w:rPr>
                    <w:t>《产业结构调整指导目录（2019年本）》明确的淘汰类项目</w:t>
                  </w:r>
                  <w:r>
                    <w:rPr>
                      <w:rFonts w:hint="default" w:ascii="Times New Roman" w:hAnsi="Times New Roman" w:eastAsia="宋体" w:cs="Times New Roman"/>
                      <w:color w:val="auto"/>
                      <w:sz w:val="18"/>
                      <w:szCs w:val="18"/>
                      <w:highlight w:val="none"/>
                      <w:lang w:eastAsia="zh-CN"/>
                    </w:rPr>
                    <w:t>，也不属于</w:t>
                  </w:r>
                  <w:r>
                    <w:rPr>
                      <w:rFonts w:hint="default" w:ascii="Times New Roman" w:hAnsi="Times New Roman" w:eastAsia="宋体" w:cs="Times New Roman"/>
                      <w:color w:val="auto"/>
                      <w:sz w:val="18"/>
                      <w:szCs w:val="18"/>
                      <w:highlight w:val="none"/>
                    </w:rPr>
                    <w:t>《市场准入负面清单（20</w:t>
                  </w:r>
                  <w:r>
                    <w:rPr>
                      <w:rFonts w:hint="default" w:ascii="Times New Roman" w:hAnsi="Times New Roman" w:eastAsia="宋体" w:cs="Times New Roman"/>
                      <w:color w:val="auto"/>
                      <w:sz w:val="18"/>
                      <w:szCs w:val="18"/>
                      <w:highlight w:val="none"/>
                      <w:lang w:val="en-US" w:eastAsia="zh-CN"/>
                    </w:rPr>
                    <w:t>20</w:t>
                  </w:r>
                  <w:r>
                    <w:rPr>
                      <w:rFonts w:hint="default" w:ascii="Times New Roman" w:hAnsi="Times New Roman" w:eastAsia="宋体" w:cs="Times New Roman"/>
                      <w:color w:val="auto"/>
                      <w:sz w:val="18"/>
                      <w:szCs w:val="18"/>
                      <w:highlight w:val="none"/>
                    </w:rPr>
                    <w:t>年版）》</w:t>
                  </w:r>
                  <w:r>
                    <w:rPr>
                      <w:rFonts w:hint="default" w:ascii="Times New Roman" w:hAnsi="Times New Roman" w:eastAsia="宋体" w:cs="Times New Roman"/>
                      <w:color w:val="auto"/>
                      <w:sz w:val="18"/>
                      <w:szCs w:val="18"/>
                      <w:highlight w:val="none"/>
                      <w:lang w:eastAsia="zh-CN"/>
                    </w:rPr>
                    <w:t>禁止入驻项目；</w:t>
                  </w:r>
                </w:p>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3、项目不属于</w:t>
                  </w:r>
                  <w:r>
                    <w:rPr>
                      <w:rFonts w:hint="default" w:ascii="Times New Roman" w:hAnsi="Times New Roman" w:eastAsia="宋体" w:cs="Times New Roman"/>
                      <w:color w:val="auto"/>
                      <w:sz w:val="18"/>
                      <w:szCs w:val="18"/>
                      <w:highlight w:val="none"/>
                    </w:rPr>
                    <w:t>钢铁、</w:t>
                  </w:r>
                  <w:r>
                    <w:rPr>
                      <w:rFonts w:hint="default" w:ascii="Times New Roman" w:hAnsi="Times New Roman" w:eastAsia="宋体" w:cs="Times New Roman"/>
                      <w:color w:val="auto"/>
                      <w:sz w:val="18"/>
                      <w:szCs w:val="18"/>
                      <w:highlight w:val="none"/>
                      <w:lang w:eastAsia="zh-CN"/>
                    </w:rPr>
                    <w:t>焦化、</w:t>
                  </w:r>
                  <w:r>
                    <w:rPr>
                      <w:rFonts w:hint="default" w:ascii="Times New Roman" w:hAnsi="Times New Roman" w:eastAsia="宋体" w:cs="Times New Roman"/>
                      <w:color w:val="auto"/>
                      <w:sz w:val="18"/>
                      <w:szCs w:val="18"/>
                      <w:highlight w:val="none"/>
                    </w:rPr>
                    <w:t>水泥</w:t>
                  </w:r>
                  <w:r>
                    <w:rPr>
                      <w:rFonts w:hint="default" w:ascii="Times New Roman" w:hAnsi="Times New Roman" w:eastAsia="宋体" w:cs="Times New Roman"/>
                      <w:color w:val="auto"/>
                      <w:sz w:val="18"/>
                      <w:szCs w:val="18"/>
                      <w:highlight w:val="none"/>
                      <w:lang w:eastAsia="zh-CN"/>
                    </w:rPr>
                    <w:t>熟料</w:t>
                  </w:r>
                  <w:r>
                    <w:rPr>
                      <w:rFonts w:hint="default" w:ascii="Times New Roman" w:hAnsi="Times New Roman" w:eastAsia="宋体" w:cs="Times New Roman"/>
                      <w:color w:val="auto"/>
                      <w:sz w:val="18"/>
                      <w:szCs w:val="18"/>
                      <w:highlight w:val="none"/>
                    </w:rPr>
                    <w:t>、平板玻璃、电解铝、</w:t>
                  </w:r>
                  <w:r>
                    <w:rPr>
                      <w:rFonts w:hint="default" w:ascii="Times New Roman" w:hAnsi="Times New Roman" w:eastAsia="宋体" w:cs="Times New Roman"/>
                      <w:color w:val="auto"/>
                      <w:sz w:val="18"/>
                      <w:szCs w:val="18"/>
                      <w:highlight w:val="none"/>
                      <w:lang w:eastAsia="zh-CN"/>
                    </w:rPr>
                    <w:t>氧化铝、</w:t>
                  </w:r>
                  <w:r>
                    <w:rPr>
                      <w:rFonts w:hint="default" w:ascii="Times New Roman" w:hAnsi="Times New Roman" w:eastAsia="宋体" w:cs="Times New Roman"/>
                      <w:color w:val="auto"/>
                      <w:sz w:val="18"/>
                      <w:szCs w:val="18"/>
                      <w:highlight w:val="none"/>
                    </w:rPr>
                    <w:t>煤化工</w:t>
                  </w:r>
                  <w:r>
                    <w:rPr>
                      <w:rFonts w:hint="default" w:ascii="Times New Roman" w:hAnsi="Times New Roman" w:eastAsia="宋体" w:cs="Times New Roman"/>
                      <w:color w:val="auto"/>
                      <w:sz w:val="18"/>
                      <w:szCs w:val="18"/>
                      <w:highlight w:val="none"/>
                      <w:lang w:eastAsia="zh-CN"/>
                    </w:rPr>
                    <w:t>等行业，项目生产过程不涉及使用</w:t>
                  </w:r>
                  <w:r>
                    <w:rPr>
                      <w:rFonts w:hint="default" w:ascii="Times New Roman" w:hAnsi="Times New Roman" w:eastAsia="宋体" w:cs="Times New Roman"/>
                      <w:color w:val="auto"/>
                      <w:sz w:val="18"/>
                      <w:szCs w:val="18"/>
                      <w:highlight w:val="none"/>
                    </w:rPr>
                    <w:t>高VOCs含量的溶剂型涂料、油墨、胶粘剂等</w:t>
                  </w:r>
                  <w:r>
                    <w:rPr>
                      <w:rFonts w:hint="default" w:ascii="Times New Roman" w:hAnsi="Times New Roman" w:eastAsia="宋体" w:cs="Times New Roman"/>
                      <w:color w:val="auto"/>
                      <w:sz w:val="18"/>
                      <w:szCs w:val="18"/>
                      <w:highlight w:val="none"/>
                      <w:lang w:eastAsia="zh-CN"/>
                    </w:rPr>
                    <w:t>，不含</w:t>
                  </w:r>
                  <w:r>
                    <w:rPr>
                      <w:rFonts w:hint="default" w:ascii="Times New Roman" w:hAnsi="Times New Roman" w:eastAsia="宋体" w:cs="Times New Roman"/>
                      <w:color w:val="auto"/>
                      <w:sz w:val="18"/>
                      <w:szCs w:val="18"/>
                      <w:highlight w:val="none"/>
                    </w:rPr>
                    <w:t>喷涂作业</w:t>
                  </w:r>
                  <w:r>
                    <w:rPr>
                      <w:rFonts w:hint="default" w:ascii="Times New Roman" w:hAnsi="Times New Roman" w:eastAsia="宋体" w:cs="Times New Roman"/>
                      <w:color w:val="auto"/>
                      <w:sz w:val="18"/>
                      <w:szCs w:val="18"/>
                      <w:highlight w:val="none"/>
                      <w:lang w:eastAsia="zh-CN"/>
                    </w:rPr>
                    <w:t>。</w:t>
                  </w:r>
                </w:p>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lang w:eastAsia="zh-CN"/>
                    </w:rPr>
                    <w:t>经对照</w:t>
                  </w:r>
                  <w:r>
                    <w:rPr>
                      <w:rFonts w:hint="default" w:ascii="Times New Roman" w:hAnsi="Times New Roman" w:eastAsia="宋体" w:cs="Times New Roman"/>
                      <w:color w:val="auto"/>
                      <w:sz w:val="18"/>
                      <w:szCs w:val="18"/>
                      <w:highlight w:val="none"/>
                    </w:rPr>
                    <w:t>《关于加强高耗能、高排放建设项目生态环境源头防控的指导意见》</w:t>
                  </w:r>
                  <w:r>
                    <w:rPr>
                      <w:rFonts w:hint="default" w:ascii="Times New Roman" w:hAnsi="Times New Roman" w:eastAsia="宋体" w:cs="Times New Roman"/>
                      <w:color w:val="auto"/>
                      <w:sz w:val="18"/>
                      <w:szCs w:val="18"/>
                      <w:highlight w:val="none"/>
                      <w:lang w:eastAsia="zh-CN"/>
                    </w:rPr>
                    <w:t>、《河南关于建立“两高”项目会商联审机制的通知》，本项目不属于“两高”类项目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4"/>
                  <w:tcBorders>
                    <w:tl2br w:val="nil"/>
                    <w:tr2bl w:val="nil"/>
                  </w:tcBorders>
                  <w:noWrap w:val="0"/>
                  <w:vAlign w:val="center"/>
                </w:tcPr>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2、河南省生态空间总体准入要求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分区</w:t>
                  </w:r>
                </w:p>
              </w:tc>
              <w:tc>
                <w:tcPr>
                  <w:tcW w:w="3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类别</w:t>
                  </w:r>
                </w:p>
              </w:tc>
              <w:tc>
                <w:tcPr>
                  <w:tcW w:w="23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eastAsia="zh-CN"/>
                    </w:rPr>
                    <w:t>准入</w:t>
                  </w:r>
                  <w:r>
                    <w:rPr>
                      <w:rFonts w:hint="default" w:ascii="Times New Roman" w:hAnsi="Times New Roman" w:eastAsia="宋体" w:cs="Times New Roman"/>
                      <w:b w:val="0"/>
                      <w:bCs/>
                      <w:color w:val="auto"/>
                      <w:sz w:val="18"/>
                      <w:szCs w:val="18"/>
                      <w:highlight w:val="none"/>
                    </w:rPr>
                    <w:t>要求</w:t>
                  </w:r>
                </w:p>
              </w:tc>
              <w:tc>
                <w:tcPr>
                  <w:tcW w:w="19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生态保护红线</w:t>
                  </w:r>
                </w:p>
              </w:tc>
              <w:tc>
                <w:tcPr>
                  <w:tcW w:w="3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自然保护区</w:t>
                  </w:r>
                </w:p>
              </w:tc>
              <w:tc>
                <w:tcPr>
                  <w:tcW w:w="231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rPr>
                    <w:t>禁止在自然保护区内进行砍伐、放牧、狩猎、捕捞、采药、开垦、烧荒、开</w:t>
                  </w:r>
                  <w:r>
                    <w:rPr>
                      <w:rFonts w:hint="default" w:ascii="Times New Roman" w:hAnsi="Times New Roman" w:eastAsia="宋体" w:cs="Times New Roman"/>
                      <w:color w:val="auto"/>
                      <w:sz w:val="18"/>
                      <w:szCs w:val="18"/>
                      <w:highlight w:val="none"/>
                      <w:lang w:val="en-US" w:eastAsia="zh-CN"/>
                    </w:rPr>
                    <w:t>矿、采石、挖沙等活动，法律、行政法规另有规定的除外；禁止任何人进入自然保护区的核心区，因科学研究的需要，必须进入核心区从事科学研究观测、调查活动的，应当事先向自然保护区管理机构提交申请和活动计划，并经自然保护区管理机构批准，进入国家级自然保护区核心区的，应当经省、自治区、直辖市人民政府有关自然保护区行政主管部门批准；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严禁开设与自然保护区保护方向不一致的参观、旅游项目。</w:t>
                  </w:r>
                </w:p>
              </w:tc>
              <w:tc>
                <w:tcPr>
                  <w:tcW w:w="197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textAlignment w:val="auto"/>
                    <w:rPr>
                      <w:rFonts w:hint="default" w:ascii="Times New Roman" w:hAnsi="Times New Roman" w:eastAsia="宋体" w:cs="Times New Roman"/>
                      <w:color w:val="auto"/>
                      <w:sz w:val="18"/>
                      <w:szCs w:val="18"/>
                      <w:highlight w:val="cyan"/>
                      <w:lang w:val="en-US" w:eastAsia="zh-CN"/>
                    </w:rPr>
                  </w:pPr>
                  <w:r>
                    <w:rPr>
                      <w:rFonts w:hint="default" w:ascii="Times New Roman" w:hAnsi="Times New Roman" w:eastAsia="宋体" w:cs="Times New Roman"/>
                      <w:color w:val="auto"/>
                      <w:sz w:val="18"/>
                      <w:szCs w:val="18"/>
                      <w:highlight w:val="none"/>
                      <w:lang w:val="en-US" w:eastAsia="zh-CN"/>
                    </w:rPr>
                    <w:t>项目选址位于新乡县新乡经济开发区玉龙路西段，根据现</w:t>
                  </w:r>
                  <w:r>
                    <w:rPr>
                      <w:rFonts w:hint="default" w:ascii="Times New Roman" w:hAnsi="Times New Roman" w:cs="Times New Roman"/>
                      <w:color w:val="auto"/>
                      <w:sz w:val="18"/>
                      <w:szCs w:val="18"/>
                      <w:highlight w:val="none"/>
                      <w:lang w:val="en-US" w:eastAsia="zh-CN"/>
                    </w:rPr>
                    <w:t>场勘查，项目不在相关自然保护区保护范围内。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rPr>
                  </w:pPr>
                </w:p>
              </w:tc>
              <w:tc>
                <w:tcPr>
                  <w:tcW w:w="3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风景名胜区</w:t>
                  </w:r>
                </w:p>
              </w:tc>
              <w:tc>
                <w:tcPr>
                  <w:tcW w:w="231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rPr>
                    <w:t>禁止开山、采石、开矿、开荒、修坟立碑等破坏景观、植被和地形地貌的活动；禁止修建储存爆炸性、易燃性、放射性、毒害性、腐蚀性物品的设施；禁止在景物或者设施上刻划、涂污；禁止乱扔垃圾；</w:t>
                  </w:r>
                  <w:r>
                    <w:rPr>
                      <w:rFonts w:hint="default" w:ascii="Times New Roman" w:hAnsi="Times New Roman" w:eastAsia="宋体" w:cs="Times New Roman"/>
                      <w:color w:val="auto"/>
                      <w:sz w:val="18"/>
                      <w:szCs w:val="18"/>
                      <w:highlight w:val="none"/>
                      <w:lang w:val="en-US" w:eastAsia="zh-CN"/>
                    </w:rPr>
                    <w:t>禁止违反风景名胜区规划，在风景名胜区内设立各类开发区和在核心景区内建设宾馆、招待所、培训中心、疗养院以及与风景名胜资源保护无关的其他建筑物；已经建设的，应当按照风景名胜区规划，逐步迁出；</w:t>
                  </w:r>
                  <w:r>
                    <w:rPr>
                      <w:rFonts w:hint="default" w:ascii="Times New Roman" w:hAnsi="Times New Roman" w:eastAsia="宋体" w:cs="Times New Roman"/>
                      <w:color w:val="auto"/>
                      <w:sz w:val="18"/>
                      <w:szCs w:val="18"/>
                      <w:highlight w:val="none"/>
                      <w:u w:val="none"/>
                    </w:rPr>
                    <w:t>风景名胜区内的建设项目应当符合风景名胜区规划，并与景观相协调，不得破坏景观、污染环境、妨碍游览</w:t>
                  </w:r>
                  <w:r>
                    <w:rPr>
                      <w:rFonts w:hint="default" w:ascii="Times New Roman" w:hAnsi="Times New Roman" w:eastAsia="宋体" w:cs="Times New Roman"/>
                      <w:color w:val="auto"/>
                      <w:sz w:val="18"/>
                      <w:szCs w:val="18"/>
                      <w:highlight w:val="none"/>
                      <w:lang w:eastAsia="zh-CN"/>
                    </w:rPr>
                    <w:t>。</w:t>
                  </w:r>
                </w:p>
              </w:tc>
              <w:tc>
                <w:tcPr>
                  <w:tcW w:w="197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项目利用</w:t>
                  </w:r>
                  <w:r>
                    <w:rPr>
                      <w:rFonts w:hint="default" w:ascii="Times New Roman" w:hAnsi="Times New Roman" w:eastAsia="宋体" w:cs="Times New Roman"/>
                      <w:color w:val="auto"/>
                      <w:sz w:val="18"/>
                      <w:szCs w:val="18"/>
                      <w:highlight w:val="none"/>
                      <w:lang w:val="en-US" w:eastAsia="zh-CN"/>
                    </w:rPr>
                    <w:t>位于新乡县新乡经济开发区玉龙路西段</w:t>
                  </w:r>
                  <w:r>
                    <w:rPr>
                      <w:rFonts w:hint="default" w:ascii="Times New Roman" w:hAnsi="Times New Roman" w:cs="Times New Roman"/>
                      <w:color w:val="auto"/>
                      <w:sz w:val="18"/>
                      <w:szCs w:val="18"/>
                      <w:highlight w:val="none"/>
                      <w:lang w:val="en-US" w:eastAsia="zh-CN"/>
                    </w:rPr>
                    <w:t>现有工程厂房进行技术改造建设，根据现场勘查，项目厂址不在相关风景名称保护区范围内。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cyan"/>
                    </w:rPr>
                  </w:pPr>
                </w:p>
              </w:tc>
              <w:tc>
                <w:tcPr>
                  <w:tcW w:w="3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饮用水水源保护区</w:t>
                  </w:r>
                </w:p>
              </w:tc>
              <w:tc>
                <w:tcPr>
                  <w:tcW w:w="231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rPr>
                    <w:t>在饮用水水源保护区内，禁止设置排污口</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禁止在饮用水水源一级保护区内新改扩建与供水设施和保护水源无关的建设项目；已建成的与供水设施和保护水源无关的建设项目，由县级以上人民政府责令拆除或者关闭</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禁止在饮用水水源一级保护区内从事网箱养殖、旅游、游泳、垂钓或者其他可能污染饮用水水体的活动。</w:t>
                  </w:r>
                </w:p>
              </w:tc>
              <w:tc>
                <w:tcPr>
                  <w:tcW w:w="197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距离项目最近饮用水源保护区为凤泉区水厂地下水饮用水源保护区，项目选址距离其二级保护区边界距离约23km，不在其保护区范围内。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cyan"/>
                    </w:rPr>
                  </w:pPr>
                </w:p>
              </w:tc>
              <w:tc>
                <w:tcPr>
                  <w:tcW w:w="3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其它</w:t>
                  </w:r>
                </w:p>
              </w:tc>
              <w:tc>
                <w:tcPr>
                  <w:tcW w:w="231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11.</w:t>
                  </w:r>
                  <w:r>
                    <w:rPr>
                      <w:rFonts w:hint="default" w:ascii="Times New Roman" w:hAnsi="Times New Roman" w:eastAsia="宋体" w:cs="Times New Roman"/>
                      <w:color w:val="auto"/>
                      <w:sz w:val="18"/>
                      <w:szCs w:val="18"/>
                      <w:highlight w:val="none"/>
                    </w:rPr>
                    <w:t>严格禁止在国家公园、自然保护区、风景名胜区、饮用水水源保护区规划布局新的煤矿项目，严格限制高硫高灰高砷煤项目开发。</w:t>
                  </w:r>
                </w:p>
              </w:tc>
              <w:tc>
                <w:tcPr>
                  <w:tcW w:w="197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根据现场勘查，项目选址不在</w:t>
                  </w:r>
                  <w:r>
                    <w:rPr>
                      <w:rFonts w:hint="default" w:ascii="Times New Roman" w:hAnsi="Times New Roman" w:eastAsia="宋体" w:cs="Times New Roman"/>
                      <w:color w:val="auto"/>
                      <w:sz w:val="18"/>
                      <w:szCs w:val="18"/>
                      <w:highlight w:val="none"/>
                    </w:rPr>
                    <w:t>国家公园、自然保护区、风景名胜区、饮用水水源保护区</w:t>
                  </w:r>
                  <w:r>
                    <w:rPr>
                      <w:rFonts w:hint="default" w:ascii="Times New Roman" w:hAnsi="Times New Roman" w:cs="Times New Roman"/>
                      <w:color w:val="auto"/>
                      <w:sz w:val="18"/>
                      <w:szCs w:val="18"/>
                      <w:highlight w:val="none"/>
                      <w:lang w:eastAsia="zh-CN"/>
                    </w:rPr>
                    <w:t>保护范围内。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一般生态空间</w:t>
                  </w:r>
                </w:p>
              </w:tc>
              <w:tc>
                <w:tcPr>
                  <w:tcW w:w="3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饮用水水源保护区</w:t>
                  </w:r>
                </w:p>
              </w:tc>
              <w:tc>
                <w:tcPr>
                  <w:tcW w:w="231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25.</w:t>
                  </w:r>
                  <w:r>
                    <w:rPr>
                      <w:rFonts w:hint="default" w:ascii="Times New Roman" w:hAnsi="Times New Roman" w:eastAsia="宋体" w:cs="Times New Roman"/>
                      <w:color w:val="auto"/>
                      <w:sz w:val="18"/>
                      <w:szCs w:val="18"/>
                      <w:highlight w:val="none"/>
                    </w:rPr>
                    <w:t>禁止在饮用水水源二级保护区内新改扩建排放污染物的建设项目；已建成的排放污染物的建设项目，由县级以上人民政府责令拆除或者关闭</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在饮用水水源二级保护区内从事网箱养殖、旅游等活动的，应当按照规定采取措施，防止污染饮用水水体</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禁止在饮用水水源准保护区内新建、扩建对水体污染严重的建设项目；改建建设项目，不得增加排污量。</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26.</w:t>
                  </w:r>
                  <w:r>
                    <w:rPr>
                      <w:rFonts w:hint="default" w:ascii="Times New Roman" w:hAnsi="Times New Roman" w:eastAsia="宋体" w:cs="Times New Roman"/>
                      <w:color w:val="auto"/>
                      <w:sz w:val="18"/>
                      <w:szCs w:val="18"/>
                      <w:highlight w:val="none"/>
                      <w:lang w:eastAsia="zh-CN"/>
                    </w:rPr>
                    <w:t>南水北调中线干渠二级保护区内</w:t>
                  </w:r>
                  <w:r>
                    <w:rPr>
                      <w:rFonts w:hint="default" w:ascii="Times New Roman" w:hAnsi="Times New Roman" w:eastAsia="宋体" w:cs="Times New Roman"/>
                      <w:color w:val="auto"/>
                      <w:sz w:val="18"/>
                      <w:szCs w:val="18"/>
                      <w:highlight w:val="none"/>
                    </w:rPr>
                    <w:t>禁止新改扩建排放污染物的建设项目</w:t>
                  </w:r>
                  <w:r>
                    <w:rPr>
                      <w:rFonts w:hint="default" w:ascii="Times New Roman" w:hAnsi="Times New Roman" w:eastAsia="宋体" w:cs="Times New Roman"/>
                      <w:color w:val="auto"/>
                      <w:sz w:val="18"/>
                      <w:szCs w:val="18"/>
                      <w:highlight w:val="none"/>
                      <w:lang w:eastAsia="zh-CN"/>
                    </w:rPr>
                    <w:t>。</w:t>
                  </w:r>
                </w:p>
              </w:tc>
              <w:tc>
                <w:tcPr>
                  <w:tcW w:w="197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距离项目最近饮用水源保护区为凤泉区水厂地下水饮用水源保护区，项目选址距离其二级保护区边界距离约23km，不在其保护区范围内；项目主要从事</w:t>
                  </w:r>
                  <w:r>
                    <w:rPr>
                      <w:rFonts w:hint="eastAsia" w:cs="Times New Roman"/>
                      <w:color w:val="auto"/>
                      <w:sz w:val="18"/>
                      <w:szCs w:val="18"/>
                      <w:highlight w:val="none"/>
                      <w:lang w:val="en-US" w:eastAsia="zh-CN"/>
                    </w:rPr>
                    <w:t>光学玻璃制造</w:t>
                  </w:r>
                  <w:r>
                    <w:rPr>
                      <w:rFonts w:hint="default" w:ascii="Times New Roman" w:hAnsi="Times New Roman" w:cs="Times New Roman"/>
                      <w:color w:val="auto"/>
                      <w:sz w:val="18"/>
                      <w:szCs w:val="18"/>
                      <w:highlight w:val="none"/>
                      <w:lang w:val="en-US" w:eastAsia="zh-CN"/>
                    </w:rPr>
                    <w:t>项目，</w:t>
                  </w:r>
                  <w:r>
                    <w:rPr>
                      <w:rFonts w:hint="default" w:ascii="Times New Roman" w:hAnsi="Times New Roman" w:cs="Times New Roman"/>
                      <w:color w:val="auto"/>
                      <w:sz w:val="18"/>
                      <w:szCs w:val="18"/>
                      <w:highlight w:val="none"/>
                      <w:lang w:eastAsia="zh-CN"/>
                    </w:rPr>
                    <w:t>项目外排废水主要为生产废水和生活污水，生活污水经设置</w:t>
                  </w:r>
                  <w:r>
                    <w:rPr>
                      <w:rFonts w:hint="default" w:ascii="Times New Roman" w:hAnsi="Times New Roman" w:cs="Times New Roman"/>
                      <w:color w:val="auto"/>
                      <w:sz w:val="18"/>
                      <w:szCs w:val="18"/>
                      <w:highlight w:val="none"/>
                      <w:lang w:val="en-US" w:eastAsia="zh-CN"/>
                    </w:rPr>
                    <w:t>化粪池</w:t>
                  </w:r>
                  <w:r>
                    <w:rPr>
                      <w:rFonts w:hint="default" w:ascii="Times New Roman" w:hAnsi="Times New Roman" w:cs="Times New Roman"/>
                      <w:color w:val="auto"/>
                      <w:sz w:val="18"/>
                      <w:szCs w:val="18"/>
                      <w:highlight w:val="none"/>
                      <w:lang w:eastAsia="zh-CN"/>
                    </w:rPr>
                    <w:t>处理，生产废水经设置“沉淀池</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eastAsia="zh-CN"/>
                    </w:rPr>
                    <w:t>混凝沉淀池”处理，废水</w:t>
                  </w:r>
                  <w:r>
                    <w:rPr>
                      <w:rFonts w:hint="eastAsia" w:ascii="Times New Roman" w:hAnsi="Times New Roman" w:cs="Times New Roman"/>
                      <w:color w:val="auto"/>
                      <w:sz w:val="18"/>
                      <w:szCs w:val="18"/>
                      <w:highlight w:val="none"/>
                      <w:lang w:eastAsia="zh-CN"/>
                    </w:rPr>
                    <w:t>均</w:t>
                  </w:r>
                  <w:r>
                    <w:rPr>
                      <w:rFonts w:hint="default" w:ascii="Times New Roman" w:hAnsi="Times New Roman" w:cs="Times New Roman"/>
                      <w:color w:val="auto"/>
                      <w:sz w:val="18"/>
                      <w:szCs w:val="18"/>
                      <w:highlight w:val="none"/>
                      <w:lang w:eastAsia="zh-CN"/>
                    </w:rPr>
                    <w:t>通过</w:t>
                  </w:r>
                  <w:r>
                    <w:rPr>
                      <w:rFonts w:hint="eastAsia" w:ascii="Times New Roman" w:hAnsi="Times New Roman" w:cs="Times New Roman"/>
                      <w:color w:val="auto"/>
                      <w:sz w:val="18"/>
                      <w:szCs w:val="18"/>
                      <w:highlight w:val="none"/>
                      <w:lang w:eastAsia="zh-CN"/>
                    </w:rPr>
                    <w:t>厂区总排口排入区域污水管网，后经</w:t>
                  </w:r>
                  <w:r>
                    <w:rPr>
                      <w:rFonts w:hint="default" w:ascii="Times New Roman" w:hAnsi="Times New Roman" w:cs="Times New Roman"/>
                      <w:color w:val="auto"/>
                      <w:sz w:val="18"/>
                      <w:szCs w:val="18"/>
                      <w:highlight w:val="none"/>
                      <w:lang w:eastAsia="zh-CN"/>
                    </w:rPr>
                    <w:t>新乡县综合污水处理厂处理，不会对周围水环境造成影响。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rPr>
                  </w:pPr>
                </w:p>
              </w:tc>
              <w:tc>
                <w:tcPr>
                  <w:tcW w:w="3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湿地</w:t>
                  </w:r>
                </w:p>
              </w:tc>
              <w:tc>
                <w:tcPr>
                  <w:tcW w:w="2314"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28.</w:t>
                  </w:r>
                  <w:r>
                    <w:rPr>
                      <w:rFonts w:hint="default" w:ascii="Times New Roman" w:hAnsi="Times New Roman" w:eastAsia="宋体" w:cs="Times New Roman"/>
                      <w:color w:val="auto"/>
                      <w:sz w:val="18"/>
                      <w:szCs w:val="18"/>
                      <w:highlight w:val="none"/>
                    </w:rPr>
                    <w:t>在湿地保护范围内禁止下列行为：设立开发区、产业园区；围垦湿地、填埋湿地；擅自采砂、取土、采矿；擅自排放湿地水资源或者堵截湿地水系与外围水系的通道；非法砍伐林木、采集野生植物；投放有毒有害物质，倾倒废弃物或者排放不达标生活污水、工业废水；破坏野生动物繁殖区和栖息地、鱼类洄游通道，猎捕野生动物；擅自引进外来物种；破坏湿地保护设施；擅自建造建筑物、构筑物；其他破坏湿地资源的活动。</w:t>
                  </w:r>
                </w:p>
              </w:tc>
              <w:tc>
                <w:tcPr>
                  <w:tcW w:w="197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项目</w:t>
                  </w:r>
                  <w:r>
                    <w:rPr>
                      <w:rFonts w:hint="default" w:ascii="Times New Roman" w:hAnsi="Times New Roman" w:eastAsia="宋体" w:cs="Times New Roman"/>
                      <w:color w:val="auto"/>
                      <w:sz w:val="18"/>
                      <w:szCs w:val="18"/>
                      <w:highlight w:val="none"/>
                      <w:lang w:val="en-US" w:eastAsia="zh-CN"/>
                    </w:rPr>
                    <w:t>位于新乡县新乡经济开发区玉龙路西段</w:t>
                  </w:r>
                  <w:r>
                    <w:rPr>
                      <w:rFonts w:hint="default" w:ascii="Times New Roman" w:hAnsi="Times New Roman" w:cs="Times New Roman"/>
                      <w:color w:val="auto"/>
                      <w:sz w:val="18"/>
                      <w:szCs w:val="18"/>
                      <w:highlight w:val="none"/>
                      <w:lang w:val="en-US" w:eastAsia="zh-CN"/>
                    </w:rPr>
                    <w:t>，根据现场勘查，项目选址不在相关湿地保护区范围内。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4"/>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3、</w:t>
                  </w:r>
                  <w:r>
                    <w:rPr>
                      <w:rFonts w:hint="default" w:ascii="Times New Roman" w:hAnsi="Times New Roman" w:eastAsia="宋体" w:cs="Times New Roman"/>
                      <w:b/>
                      <w:bCs/>
                      <w:color w:val="auto"/>
                      <w:sz w:val="18"/>
                      <w:szCs w:val="18"/>
                      <w:highlight w:val="none"/>
                      <w:lang w:val="en-US" w:eastAsia="zh-CN"/>
                    </w:rPr>
                    <w:t>河南省大气生态环境总体准入要求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管控维度</w:t>
                  </w:r>
                </w:p>
              </w:tc>
              <w:tc>
                <w:tcPr>
                  <w:tcW w:w="263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eastAsia="zh-CN"/>
                    </w:rPr>
                    <w:t>准入</w:t>
                  </w:r>
                  <w:r>
                    <w:rPr>
                      <w:rFonts w:hint="default" w:ascii="Times New Roman" w:hAnsi="Times New Roman" w:eastAsia="宋体" w:cs="Times New Roman"/>
                      <w:b w:val="0"/>
                      <w:bCs/>
                      <w:color w:val="auto"/>
                      <w:sz w:val="18"/>
                      <w:szCs w:val="18"/>
                      <w:highlight w:val="none"/>
                    </w:rPr>
                    <w:t>要求</w:t>
                  </w:r>
                </w:p>
              </w:tc>
              <w:tc>
                <w:tcPr>
                  <w:tcW w:w="19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空间布局约束</w:t>
                  </w:r>
                </w:p>
              </w:tc>
              <w:tc>
                <w:tcPr>
                  <w:tcW w:w="2630" w:type="pct"/>
                  <w:gridSpan w:val="2"/>
                  <w:tcBorders>
                    <w:tl2br w:val="nil"/>
                    <w:tr2bl w:val="nil"/>
                  </w:tcBorders>
                  <w:noWrap w:val="0"/>
                  <w:vAlign w:val="center"/>
                </w:tcPr>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rPr>
                    <w:t>集中供暖区禁止新</w:t>
                  </w:r>
                  <w:r>
                    <w:rPr>
                      <w:rFonts w:hint="default" w:ascii="Times New Roman" w:hAnsi="Times New Roman" w:eastAsia="宋体" w:cs="Times New Roman"/>
                      <w:color w:val="auto"/>
                      <w:sz w:val="18"/>
                      <w:szCs w:val="18"/>
                      <w:highlight w:val="none"/>
                      <w:lang w:eastAsia="zh-CN"/>
                    </w:rPr>
                    <w:t>改</w:t>
                  </w:r>
                  <w:r>
                    <w:rPr>
                      <w:rFonts w:hint="default" w:ascii="Times New Roman" w:hAnsi="Times New Roman" w:eastAsia="宋体" w:cs="Times New Roman"/>
                      <w:color w:val="auto"/>
                      <w:sz w:val="18"/>
                      <w:szCs w:val="18"/>
                      <w:highlight w:val="none"/>
                    </w:rPr>
                    <w:t>扩分散燃煤供热锅炉</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已建成的不能达标排放的燃煤供热锅炉，应当期限内拆除</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在保证电力、热力、天然气供应前提下，加快推进热电联产机组供热半径30公里范围内燃煤锅炉及落后燃煤小热电关停整合</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城市建成区生物质锅炉实施超低排放改造，燃气锅炉</w:t>
                  </w:r>
                  <w:r>
                    <w:rPr>
                      <w:rFonts w:hint="default" w:ascii="Times New Roman" w:hAnsi="Times New Roman" w:eastAsia="宋体" w:cs="Times New Roman"/>
                      <w:color w:val="auto"/>
                      <w:sz w:val="18"/>
                      <w:szCs w:val="18"/>
                      <w:highlight w:val="none"/>
                      <w:lang w:eastAsia="zh-Hans"/>
                    </w:rPr>
                    <w:t>实施</w:t>
                  </w:r>
                  <w:r>
                    <w:rPr>
                      <w:rFonts w:hint="default" w:ascii="Times New Roman" w:hAnsi="Times New Roman" w:eastAsia="宋体" w:cs="Times New Roman"/>
                      <w:color w:val="auto"/>
                      <w:sz w:val="18"/>
                      <w:szCs w:val="18"/>
                      <w:highlight w:val="none"/>
                    </w:rPr>
                    <w:t>低氮改造</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对不能稳定达标排放、改造升级无望的污染企业，依法依规停产限产、关停退出。</w:t>
                  </w:r>
                </w:p>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rPr>
                    <w:t>不符合城市建设规划、行业发展规划、生态环境功能定位的重点污染企业退出城市建成区</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城市建成区、人群密集区的重污染企业和危险化学品等环境风险大的企业搬迁改造、关停退出</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重点地区要严格限制石化、化工、包装印刷、工业涂装等高VOCs排放建设项目</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新建涉VOCs排放的工业企业要入园区</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实行区域内VOCs排放等量或倍量削减替代。</w:t>
                  </w:r>
                </w:p>
              </w:tc>
              <w:tc>
                <w:tcPr>
                  <w:tcW w:w="1977" w:type="pct"/>
                  <w:tcBorders>
                    <w:tl2br w:val="nil"/>
                    <w:tr2bl w:val="nil"/>
                  </w:tcBorders>
                  <w:noWrap w:val="0"/>
                  <w:vAlign w:val="center"/>
                </w:tcPr>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1、项目不新增锅炉等设施；</w:t>
                  </w:r>
                </w:p>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cyan"/>
                      <w:lang w:val="en-US" w:eastAsia="zh-CN"/>
                    </w:rPr>
                  </w:pPr>
                  <w:r>
                    <w:rPr>
                      <w:rFonts w:hint="default" w:ascii="Times New Roman" w:hAnsi="Times New Roman" w:eastAsia="宋体" w:cs="Times New Roman"/>
                      <w:color w:val="auto"/>
                      <w:sz w:val="18"/>
                      <w:szCs w:val="18"/>
                      <w:highlight w:val="none"/>
                      <w:lang w:val="en-US" w:eastAsia="zh-CN"/>
                    </w:rPr>
                    <w:t>2、项目属于</w:t>
                  </w:r>
                  <w:r>
                    <w:rPr>
                      <w:rFonts w:hint="eastAsia" w:ascii="Times New Roman" w:hAnsi="Times New Roman" w:eastAsia="宋体" w:cs="Times New Roman"/>
                      <w:color w:val="auto"/>
                      <w:sz w:val="18"/>
                      <w:szCs w:val="18"/>
                      <w:highlight w:val="none"/>
                      <w:lang w:val="en-US" w:eastAsia="zh-CN"/>
                    </w:rPr>
                    <w:t>光学玻璃制造</w:t>
                  </w:r>
                  <w:r>
                    <w:rPr>
                      <w:rFonts w:hint="default" w:ascii="Times New Roman" w:hAnsi="Times New Roman" w:eastAsia="宋体" w:cs="Times New Roman"/>
                      <w:color w:val="auto"/>
                      <w:sz w:val="18"/>
                      <w:szCs w:val="18"/>
                      <w:highlight w:val="none"/>
                      <w:lang w:val="en-US" w:eastAsia="zh-CN"/>
                    </w:rPr>
                    <w:t>项目，选址位于新乡市新乡县新乡经济开发区玉龙路西段，生产过程不涉及废气排放。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污染物排放</w:t>
                  </w:r>
                </w:p>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管控</w:t>
                  </w:r>
                </w:p>
              </w:tc>
              <w:tc>
                <w:tcPr>
                  <w:tcW w:w="2630" w:type="pct"/>
                  <w:gridSpan w:val="2"/>
                  <w:tcBorders>
                    <w:tl2br w:val="nil"/>
                    <w:tr2bl w:val="nil"/>
                  </w:tcBorders>
                  <w:noWrap w:val="0"/>
                  <w:vAlign w:val="center"/>
                </w:tcPr>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rPr>
                    <w:t>实施工业低碳行动</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推进钢铁、水泥、铝加工、</w:t>
                  </w:r>
                  <w:r>
                    <w:rPr>
                      <w:rFonts w:hint="default" w:ascii="Times New Roman" w:hAnsi="Times New Roman" w:eastAsia="宋体" w:cs="Times New Roman"/>
                      <w:color w:val="auto"/>
                      <w:sz w:val="18"/>
                      <w:szCs w:val="18"/>
                      <w:highlight w:val="none"/>
                      <w:lang w:eastAsia="zh-CN"/>
                    </w:rPr>
                    <w:t>平板</w:t>
                  </w:r>
                  <w:r>
                    <w:rPr>
                      <w:rFonts w:hint="default" w:ascii="Times New Roman" w:hAnsi="Times New Roman" w:eastAsia="宋体" w:cs="Times New Roman"/>
                      <w:color w:val="auto"/>
                      <w:sz w:val="18"/>
                      <w:szCs w:val="18"/>
                      <w:highlight w:val="none"/>
                    </w:rPr>
                    <w:t>玻璃、煤化工、煤电</w:t>
                  </w:r>
                  <w:r>
                    <w:rPr>
                      <w:rFonts w:hint="default" w:ascii="Times New Roman" w:hAnsi="Times New Roman" w:eastAsia="宋体" w:cs="Times New Roman"/>
                      <w:color w:val="auto"/>
                      <w:sz w:val="18"/>
                      <w:szCs w:val="18"/>
                      <w:highlight w:val="none"/>
                      <w:lang w:eastAsia="zh-CN"/>
                    </w:rPr>
                    <w:t>、有色金属</w:t>
                  </w:r>
                  <w:r>
                    <w:rPr>
                      <w:rFonts w:hint="default" w:ascii="Times New Roman" w:hAnsi="Times New Roman" w:eastAsia="宋体" w:cs="Times New Roman"/>
                      <w:color w:val="auto"/>
                      <w:sz w:val="18"/>
                      <w:szCs w:val="18"/>
                      <w:highlight w:val="none"/>
                    </w:rPr>
                    <w:t>等产业绿色、减量、提质发展，开展全流程清洁化、循环化、低碳化改造，加快建设绿色制造体系</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对具有一定规模、符合条件的钢铁企业实施超低排放改造</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煤化工企业全面完成VOCs治理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水泥企业生产工序达到超低排放标准。</w:t>
                  </w:r>
                </w:p>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rPr>
                    <w:t>重点行业二氧化硫、氮氧化物、颗粒物、VOCs全面执行大气污染物特别排放限值</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综合整治VOCs排放，新改扩建涉VOCs排放项目，应加强废气收集，安装高效治理设施</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对确有必要新建或改造升级的高端铸造建设项目，原则上应使用天然气或电力等清洁能源</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所有产生颗粒物或VOCs的工序应配备高效收集和处理装置</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县级以上建成区餐饮企业全部安装油烟净化设施并符合</w:t>
                  </w:r>
                  <w:r>
                    <w:rPr>
                      <w:rFonts w:hint="default" w:ascii="Times New Roman" w:hAnsi="Times New Roman" w:eastAsia="宋体" w:cs="Times New Roman"/>
                      <w:color w:val="auto"/>
                      <w:sz w:val="18"/>
                      <w:szCs w:val="18"/>
                      <w:highlight w:val="none"/>
                      <w:lang w:eastAsia="zh-CN"/>
                    </w:rPr>
                    <w:t>河</w:t>
                  </w:r>
                  <w:r>
                    <w:rPr>
                      <w:rFonts w:hint="default" w:ascii="Times New Roman" w:hAnsi="Times New Roman" w:eastAsia="宋体" w:cs="Times New Roman"/>
                      <w:color w:val="auto"/>
                      <w:sz w:val="18"/>
                      <w:szCs w:val="18"/>
                      <w:highlight w:val="none"/>
                    </w:rPr>
                    <w:t>南省《餐饮业油烟污染物排放标准》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DB41/1604-2018</w:t>
                  </w:r>
                  <w:r>
                    <w:rPr>
                      <w:rFonts w:hint="default" w:ascii="Times New Roman" w:hAnsi="Times New Roman" w:eastAsia="宋体" w:cs="Times New Roman"/>
                      <w:color w:val="auto"/>
                      <w:sz w:val="18"/>
                      <w:szCs w:val="18"/>
                      <w:highlight w:val="none"/>
                      <w:lang w:eastAsia="zh-CN"/>
                    </w:rPr>
                    <w:t>）</w:t>
                  </w:r>
                </w:p>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rPr>
                    <w:t>强化项目环评及“三同时”管理，国家、省绩效分级重点行业的新改扩建项目达到B级以上要求。</w:t>
                  </w:r>
                </w:p>
              </w:tc>
              <w:tc>
                <w:tcPr>
                  <w:tcW w:w="1977" w:type="pct"/>
                  <w:tcBorders>
                    <w:tl2br w:val="nil"/>
                    <w:tr2bl w:val="nil"/>
                  </w:tcBorders>
                  <w:noWrap w:val="0"/>
                  <w:vAlign w:val="center"/>
                </w:tcPr>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3、项目不属于</w:t>
                  </w:r>
                  <w:r>
                    <w:rPr>
                      <w:rFonts w:hint="default" w:ascii="Times New Roman" w:hAnsi="Times New Roman" w:eastAsia="宋体" w:cs="Times New Roman"/>
                      <w:color w:val="auto"/>
                      <w:sz w:val="18"/>
                      <w:szCs w:val="18"/>
                      <w:highlight w:val="none"/>
                    </w:rPr>
                    <w:t>钢铁、水泥、铝加工、</w:t>
                  </w:r>
                  <w:r>
                    <w:rPr>
                      <w:rFonts w:hint="default" w:ascii="Times New Roman" w:hAnsi="Times New Roman" w:eastAsia="宋体" w:cs="Times New Roman"/>
                      <w:color w:val="auto"/>
                      <w:sz w:val="18"/>
                      <w:szCs w:val="18"/>
                      <w:highlight w:val="none"/>
                      <w:lang w:eastAsia="zh-CN"/>
                    </w:rPr>
                    <w:t>平板</w:t>
                  </w:r>
                  <w:r>
                    <w:rPr>
                      <w:rFonts w:hint="default" w:ascii="Times New Roman" w:hAnsi="Times New Roman" w:eastAsia="宋体" w:cs="Times New Roman"/>
                      <w:color w:val="auto"/>
                      <w:sz w:val="18"/>
                      <w:szCs w:val="18"/>
                      <w:highlight w:val="none"/>
                    </w:rPr>
                    <w:t>玻璃、煤化工、煤电</w:t>
                  </w:r>
                  <w:r>
                    <w:rPr>
                      <w:rFonts w:hint="default" w:ascii="Times New Roman" w:hAnsi="Times New Roman" w:eastAsia="宋体" w:cs="Times New Roman"/>
                      <w:color w:val="auto"/>
                      <w:sz w:val="18"/>
                      <w:szCs w:val="18"/>
                      <w:highlight w:val="none"/>
                      <w:lang w:eastAsia="zh-CN"/>
                    </w:rPr>
                    <w:t>、有色金属等行业。</w:t>
                  </w:r>
                </w:p>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4、项目生产过程不涉及废气排放</w:t>
                  </w:r>
                  <w:r>
                    <w:rPr>
                      <w:rFonts w:hint="default" w:ascii="Times New Roman" w:hAnsi="Times New Roman" w:eastAsia="宋体" w:cs="Times New Roman"/>
                      <w:color w:val="auto"/>
                      <w:sz w:val="18"/>
                      <w:szCs w:val="18"/>
                      <w:highlight w:val="none"/>
                      <w:lang w:eastAsia="zh-CN"/>
                    </w:rPr>
                    <w:t>。</w:t>
                  </w:r>
                </w:p>
                <w:p>
                  <w:pPr>
                    <w:pStyle w:val="56"/>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cyan"/>
                      <w:lang w:val="en-US" w:eastAsia="zh-CN"/>
                    </w:rPr>
                  </w:pPr>
                  <w:r>
                    <w:rPr>
                      <w:rFonts w:hint="default" w:ascii="Times New Roman" w:hAnsi="Times New Roman" w:eastAsia="宋体"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lang w:eastAsia="zh-CN"/>
                    </w:rPr>
                    <w:t>项目建成后</w:t>
                  </w:r>
                  <w:r>
                    <w:rPr>
                      <w:rFonts w:hint="default" w:ascii="Times New Roman" w:hAnsi="Times New Roman" w:eastAsia="宋体" w:cs="Times New Roman"/>
                      <w:color w:val="auto"/>
                      <w:sz w:val="18"/>
                      <w:szCs w:val="18"/>
                      <w:highlight w:val="none"/>
                    </w:rPr>
                    <w:t>能达到生态环境部《重污染天气重点行业应急减排措施制定技术指南》（2020年修订版）中</w:t>
                  </w:r>
                  <w:r>
                    <w:rPr>
                      <w:rFonts w:hint="default" w:ascii="Times New Roman" w:hAnsi="Times New Roman" w:eastAsia="宋体" w:cs="Times New Roman"/>
                      <w:color w:val="auto"/>
                      <w:sz w:val="18"/>
                      <w:szCs w:val="18"/>
                      <w:highlight w:val="none"/>
                      <w:lang w:eastAsia="zh-CN"/>
                    </w:rPr>
                    <w:t>“十九</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z w:val="18"/>
                      <w:szCs w:val="18"/>
                      <w:highlight w:val="none"/>
                      <w:lang w:eastAsia="zh-CN"/>
                    </w:rPr>
                    <w:t>玻璃”中玻璃后加工企业绩效引领性指标</w:t>
                  </w:r>
                  <w:r>
                    <w:rPr>
                      <w:rFonts w:hint="default" w:ascii="Times New Roman" w:hAnsi="Times New Roman" w:eastAsia="宋体" w:cs="Times New Roman"/>
                      <w:color w:val="auto"/>
                      <w:sz w:val="18"/>
                      <w:szCs w:val="18"/>
                      <w:highlight w:val="none"/>
                    </w:rPr>
                    <w:t>引领性指标要求。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4"/>
                  <w:tcBorders>
                    <w:tl2br w:val="nil"/>
                    <w:tr2bl w:val="nil"/>
                  </w:tcBorders>
                  <w:noWrap w:val="0"/>
                  <w:vAlign w:val="center"/>
                </w:tcPr>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20" w:lineRule="exact"/>
                    <w:ind w:left="0" w:leftChars="0" w:right="0" w:right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黑体" w:cs="Times New Roman"/>
                      <w:b/>
                      <w:bCs/>
                      <w:color w:val="auto"/>
                      <w:sz w:val="18"/>
                      <w:szCs w:val="18"/>
                      <w:highlight w:val="none"/>
                      <w:lang w:val="en-US" w:eastAsia="zh-CN"/>
                    </w:rPr>
                    <w:t>4、与河南省水生态环境总体准入要求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管控维度</w:t>
                  </w:r>
                </w:p>
              </w:tc>
              <w:tc>
                <w:tcPr>
                  <w:tcW w:w="263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eastAsia="zh-CN"/>
                    </w:rPr>
                    <w:t>准入</w:t>
                  </w:r>
                  <w:r>
                    <w:rPr>
                      <w:rFonts w:hint="default" w:ascii="Times New Roman" w:hAnsi="Times New Roman" w:eastAsia="宋体" w:cs="Times New Roman"/>
                      <w:b w:val="0"/>
                      <w:bCs/>
                      <w:color w:val="auto"/>
                      <w:sz w:val="18"/>
                      <w:szCs w:val="18"/>
                      <w:highlight w:val="none"/>
                    </w:rPr>
                    <w:t>控要求</w:t>
                  </w:r>
                </w:p>
              </w:tc>
              <w:tc>
                <w:tcPr>
                  <w:tcW w:w="19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空间布局约束</w:t>
                  </w:r>
                </w:p>
              </w:tc>
              <w:tc>
                <w:tcPr>
                  <w:tcW w:w="2630" w:type="pct"/>
                  <w:gridSpan w:val="2"/>
                  <w:tcBorders>
                    <w:tl2br w:val="nil"/>
                    <w:tr2bl w:val="nil"/>
                  </w:tcBorders>
                  <w:noWrap w:val="0"/>
                  <w:vAlign w:val="center"/>
                </w:tcPr>
                <w:p>
                  <w:pPr>
                    <w:keepNext w:val="0"/>
                    <w:keepLines w:val="0"/>
                    <w:pageBreakBefore w:val="0"/>
                    <w:widowControl w:val="0"/>
                    <w:numPr>
                      <w:ilvl w:val="0"/>
                      <w:numId w:val="5"/>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在属于水污染防治重点控制单元的区域内，不予审批耗水量大、废水排放量大的煤化工、化学原料药及生物发酵制药、制浆造纸、制革及毛皮鞣制、印染等行业单纯新建和单纯扩大产能的项目。</w:t>
                  </w:r>
                </w:p>
                <w:p>
                  <w:pPr>
                    <w:keepNext w:val="0"/>
                    <w:keepLines w:val="0"/>
                    <w:pageBreakBefore w:val="0"/>
                    <w:widowControl w:val="0"/>
                    <w:numPr>
                      <w:ilvl w:val="0"/>
                      <w:numId w:val="5"/>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在省辖黄河和淮河流域干流沿岸，严格控制石油化工、化学原料和化学制品制造、制浆造纸、医药制造、化学纤维制造、有色金属冶炼、纺织印染等项目环境风险，合理布局生产装置及危险化学品仓储等设施。</w:t>
                  </w:r>
                </w:p>
                <w:p>
                  <w:pPr>
                    <w:keepNext w:val="0"/>
                    <w:keepLines w:val="0"/>
                    <w:pageBreakBefore w:val="0"/>
                    <w:widowControl w:val="0"/>
                    <w:numPr>
                      <w:ilvl w:val="0"/>
                      <w:numId w:val="5"/>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城市建成区内现有的钢铁、有色金属、造纸、印染、原料药制造、化工等污染较重的企业，应有序搬迁改造或依法关闭。</w:t>
                  </w:r>
                </w:p>
              </w:tc>
              <w:tc>
                <w:tcPr>
                  <w:tcW w:w="197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项目选址位于</w:t>
                  </w:r>
                  <w:r>
                    <w:rPr>
                      <w:rFonts w:hint="default" w:ascii="Times New Roman" w:hAnsi="Times New Roman" w:eastAsia="宋体" w:cs="Times New Roman"/>
                      <w:color w:val="auto"/>
                      <w:sz w:val="18"/>
                      <w:szCs w:val="18"/>
                      <w:highlight w:val="none"/>
                      <w:lang w:val="en-US" w:eastAsia="zh-CN"/>
                    </w:rPr>
                    <w:t>新乡市新乡县新乡经济开发区玉龙路西段</w:t>
                  </w:r>
                  <w:r>
                    <w:rPr>
                      <w:rFonts w:hint="default" w:ascii="Times New Roman" w:hAnsi="Times New Roman" w:cs="Times New Roman"/>
                      <w:color w:val="auto"/>
                      <w:sz w:val="18"/>
                      <w:szCs w:val="18"/>
                      <w:highlight w:val="none"/>
                      <w:lang w:val="en-US" w:eastAsia="zh-CN"/>
                    </w:rPr>
                    <w:t>，不属于</w:t>
                  </w:r>
                  <w:r>
                    <w:rPr>
                      <w:rFonts w:hint="default" w:ascii="Times New Roman" w:hAnsi="Times New Roman" w:eastAsia="宋体" w:cs="Times New Roman"/>
                      <w:color w:val="auto"/>
                      <w:sz w:val="18"/>
                      <w:szCs w:val="18"/>
                      <w:highlight w:val="none"/>
                    </w:rPr>
                    <w:t>黄河流域干流沿岸</w:t>
                  </w:r>
                  <w:r>
                    <w:rPr>
                      <w:rFonts w:hint="default" w:ascii="Times New Roman" w:hAnsi="Times New Roman" w:cs="Times New Roman"/>
                      <w:color w:val="auto"/>
                      <w:sz w:val="18"/>
                      <w:szCs w:val="18"/>
                      <w:highlight w:val="none"/>
                      <w:lang w:val="en-US" w:eastAsia="zh-CN"/>
                    </w:rPr>
                    <w:t>，不属于</w:t>
                  </w:r>
                  <w:r>
                    <w:rPr>
                      <w:rFonts w:hint="default" w:ascii="Times New Roman" w:hAnsi="Times New Roman" w:eastAsia="宋体" w:cs="Times New Roman"/>
                      <w:color w:val="auto"/>
                      <w:sz w:val="18"/>
                      <w:szCs w:val="18"/>
                      <w:highlight w:val="none"/>
                    </w:rPr>
                    <w:t>煤化工、化学原料药及生物发酵制药、制浆造纸、制革及毛皮鞣制、印染</w:t>
                  </w:r>
                  <w:r>
                    <w:rPr>
                      <w:rFonts w:hint="default" w:ascii="Times New Roman" w:hAnsi="Times New Roman" w:cs="Times New Roman"/>
                      <w:color w:val="auto"/>
                      <w:sz w:val="18"/>
                      <w:szCs w:val="18"/>
                      <w:highlight w:val="none"/>
                      <w:lang w:eastAsia="zh-CN"/>
                    </w:rPr>
                    <w:t>等项目，不属于</w:t>
                  </w:r>
                  <w:r>
                    <w:rPr>
                      <w:rFonts w:hint="default" w:ascii="Times New Roman" w:hAnsi="Times New Roman" w:eastAsia="宋体" w:cs="Times New Roman"/>
                      <w:color w:val="auto"/>
                      <w:sz w:val="18"/>
                      <w:szCs w:val="18"/>
                      <w:highlight w:val="none"/>
                    </w:rPr>
                    <w:t>石油化工、化学原料和化学制品制造、制浆造纸、医药制造、化学纤维制造、有色金属冶炼、纺织印染</w:t>
                  </w:r>
                  <w:r>
                    <w:rPr>
                      <w:rFonts w:hint="default" w:ascii="Times New Roman" w:hAnsi="Times New Roman" w:cs="Times New Roman"/>
                      <w:color w:val="auto"/>
                      <w:sz w:val="18"/>
                      <w:szCs w:val="18"/>
                      <w:highlight w:val="none"/>
                      <w:lang w:eastAsia="zh-CN"/>
                    </w:rPr>
                    <w:t>等项目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污染物排放管控</w:t>
                  </w:r>
                </w:p>
              </w:tc>
              <w:tc>
                <w:tcPr>
                  <w:tcW w:w="2630" w:type="pct"/>
                  <w:gridSpan w:val="2"/>
                  <w:tcBorders>
                    <w:tl2br w:val="nil"/>
                    <w:tr2bl w:val="nil"/>
                  </w:tcBorders>
                  <w:noWrap w:val="0"/>
                  <w:vAlign w:val="center"/>
                </w:tcPr>
                <w:p>
                  <w:pPr>
                    <w:keepNext w:val="0"/>
                    <w:keepLines w:val="0"/>
                    <w:pageBreakBefore w:val="0"/>
                    <w:widowControl w:val="0"/>
                    <w:numPr>
                      <w:ilvl w:val="0"/>
                      <w:numId w:val="5"/>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新改扩建造纸、焦化、氮肥、农副食品加工、毛皮制革、印染、有色金属、原料药制造、电镀等重点水污染物排放行业建设项目实行主要污染物排放等量或减量置换。</w:t>
                  </w:r>
                </w:p>
                <w:p>
                  <w:pPr>
                    <w:keepNext w:val="0"/>
                    <w:keepLines w:val="0"/>
                    <w:pageBreakBefore w:val="0"/>
                    <w:widowControl w:val="0"/>
                    <w:numPr>
                      <w:ilvl w:val="0"/>
                      <w:numId w:val="5"/>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新建城区的污水处理设施和污水管网，要与城市发展同步规划、同步建设，做到雨污分流</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新建或提升改造的城镇污水处理厂须达到或优于一级A排放标准；具备条件的污水处理厂应建设尾水人工湿地</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限制含重金属工业废水进入</w:t>
                  </w:r>
                  <w:r>
                    <w:rPr>
                      <w:rFonts w:hint="default" w:ascii="Times New Roman" w:hAnsi="Times New Roman" w:eastAsia="宋体" w:cs="Times New Roman"/>
                      <w:color w:val="auto"/>
                      <w:sz w:val="18"/>
                      <w:szCs w:val="18"/>
                      <w:highlight w:val="none"/>
                      <w:u w:val="none"/>
                    </w:rPr>
                    <w:t>城市</w:t>
                  </w:r>
                  <w:r>
                    <w:rPr>
                      <w:rFonts w:hint="default" w:ascii="Times New Roman" w:hAnsi="Times New Roman" w:eastAsia="宋体" w:cs="Times New Roman"/>
                      <w:color w:val="auto"/>
                      <w:sz w:val="18"/>
                      <w:szCs w:val="18"/>
                      <w:highlight w:val="none"/>
                    </w:rPr>
                    <w:t>生活污水处理厂。</w:t>
                  </w:r>
                </w:p>
              </w:tc>
              <w:tc>
                <w:tcPr>
                  <w:tcW w:w="197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jc w:val="both"/>
                    <w:textAlignment w:val="auto"/>
                    <w:rPr>
                      <w:rFonts w:hint="default" w:ascii="Times New Roman" w:hAnsi="Times New Roman" w:eastAsia="宋体" w:cs="Times New Roman"/>
                      <w:color w:val="auto"/>
                      <w:sz w:val="18"/>
                      <w:szCs w:val="18"/>
                      <w:highlight w:val="cyan"/>
                      <w:lang w:val="en-US" w:eastAsia="zh-CN"/>
                    </w:rPr>
                  </w:pPr>
                  <w:r>
                    <w:rPr>
                      <w:rFonts w:hint="default" w:ascii="Times New Roman" w:hAnsi="Times New Roman" w:cs="Times New Roman"/>
                      <w:color w:val="auto"/>
                      <w:sz w:val="18"/>
                      <w:szCs w:val="18"/>
                      <w:highlight w:val="none"/>
                      <w:lang w:val="en-US" w:eastAsia="zh-CN"/>
                    </w:rPr>
                    <w:t>项目不属于</w:t>
                  </w:r>
                  <w:r>
                    <w:rPr>
                      <w:rFonts w:hint="default" w:ascii="Times New Roman" w:hAnsi="Times New Roman" w:eastAsia="宋体" w:cs="Times New Roman"/>
                      <w:color w:val="auto"/>
                      <w:sz w:val="18"/>
                      <w:szCs w:val="18"/>
                      <w:highlight w:val="none"/>
                    </w:rPr>
                    <w:t>造纸、焦化、氮肥、农副食品加工、毛皮制革、印染、有色金属、原料药制造、电镀等重点水污染物排放行业</w:t>
                  </w:r>
                  <w:r>
                    <w:rPr>
                      <w:rFonts w:hint="default" w:ascii="Times New Roman" w:hAnsi="Times New Roman" w:cs="Times New Roman"/>
                      <w:color w:val="auto"/>
                      <w:sz w:val="18"/>
                      <w:szCs w:val="18"/>
                      <w:highlight w:val="none"/>
                      <w:lang w:eastAsia="zh-CN"/>
                    </w:rPr>
                    <w:t>，项目外排废水主要为生产废水和生活污水，生活污水经设置</w:t>
                  </w:r>
                  <w:r>
                    <w:rPr>
                      <w:rFonts w:hint="default" w:ascii="Times New Roman" w:hAnsi="Times New Roman" w:cs="Times New Roman"/>
                      <w:color w:val="auto"/>
                      <w:sz w:val="18"/>
                      <w:szCs w:val="18"/>
                      <w:highlight w:val="none"/>
                      <w:lang w:val="en-US" w:eastAsia="zh-CN"/>
                    </w:rPr>
                    <w:t>化粪池</w:t>
                  </w:r>
                  <w:r>
                    <w:rPr>
                      <w:rFonts w:hint="default" w:ascii="Times New Roman" w:hAnsi="Times New Roman" w:cs="Times New Roman"/>
                      <w:color w:val="auto"/>
                      <w:sz w:val="18"/>
                      <w:szCs w:val="18"/>
                      <w:highlight w:val="none"/>
                      <w:lang w:eastAsia="zh-CN"/>
                    </w:rPr>
                    <w:t>处理，生产废水经设置“沉淀池</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eastAsia="zh-CN"/>
                    </w:rPr>
                    <w:t>混凝沉淀池”处理，废水</w:t>
                  </w:r>
                  <w:r>
                    <w:rPr>
                      <w:rFonts w:hint="eastAsia" w:ascii="Times New Roman" w:hAnsi="Times New Roman" w:cs="Times New Roman"/>
                      <w:color w:val="auto"/>
                      <w:sz w:val="18"/>
                      <w:szCs w:val="18"/>
                      <w:highlight w:val="none"/>
                      <w:lang w:eastAsia="zh-CN"/>
                    </w:rPr>
                    <w:t>均</w:t>
                  </w:r>
                  <w:r>
                    <w:rPr>
                      <w:rFonts w:hint="default" w:ascii="Times New Roman" w:hAnsi="Times New Roman" w:cs="Times New Roman"/>
                      <w:color w:val="auto"/>
                      <w:sz w:val="18"/>
                      <w:szCs w:val="18"/>
                      <w:highlight w:val="none"/>
                      <w:lang w:eastAsia="zh-CN"/>
                    </w:rPr>
                    <w:t>通过</w:t>
                  </w:r>
                  <w:r>
                    <w:rPr>
                      <w:rFonts w:hint="eastAsia" w:ascii="Times New Roman" w:hAnsi="Times New Roman" w:cs="Times New Roman"/>
                      <w:color w:val="auto"/>
                      <w:sz w:val="18"/>
                      <w:szCs w:val="18"/>
                      <w:highlight w:val="none"/>
                      <w:lang w:eastAsia="zh-CN"/>
                    </w:rPr>
                    <w:t>厂区总排口排入区域污水管网，后经</w:t>
                  </w:r>
                  <w:r>
                    <w:rPr>
                      <w:rFonts w:hint="default" w:ascii="Times New Roman" w:hAnsi="Times New Roman" w:cs="Times New Roman"/>
                      <w:color w:val="auto"/>
                      <w:sz w:val="18"/>
                      <w:szCs w:val="18"/>
                      <w:highlight w:val="none"/>
                      <w:lang w:eastAsia="zh-CN"/>
                    </w:rPr>
                    <w:t>新乡县综合污水处理厂处理，不会对周围水环境造成影响。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环境风险防控</w:t>
                  </w:r>
                </w:p>
              </w:tc>
              <w:tc>
                <w:tcPr>
                  <w:tcW w:w="2630" w:type="pct"/>
                  <w:gridSpan w:val="2"/>
                  <w:tcBorders>
                    <w:tl2br w:val="nil"/>
                    <w:tr2bl w:val="nil"/>
                  </w:tcBorders>
                  <w:noWrap w:val="0"/>
                  <w:vAlign w:val="center"/>
                </w:tcPr>
                <w:p>
                  <w:pPr>
                    <w:keepNext w:val="0"/>
                    <w:keepLines w:val="0"/>
                    <w:pageBreakBefore w:val="0"/>
                    <w:widowControl w:val="0"/>
                    <w:numPr>
                      <w:ilvl w:val="0"/>
                      <w:numId w:val="5"/>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严格限制并逐步淘汰、替代高风险化学品生产、使用（涉及高风险化学品生产、使用的行业包括石油加工、炼焦、化学原料及化学制品制造、医药制造、有色金属冶炼及压延加工、毛皮皮革、有色金属矿采选、铅蓄电池制造等）。</w:t>
                  </w:r>
                </w:p>
              </w:tc>
              <w:tc>
                <w:tcPr>
                  <w:tcW w:w="197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w:t>
                  </w:r>
                  <w:r>
                    <w:rPr>
                      <w:rFonts w:hint="default" w:ascii="Times New Roman" w:hAnsi="Times New Roman" w:cs="Times New Roman"/>
                      <w:color w:val="auto"/>
                      <w:sz w:val="18"/>
                      <w:szCs w:val="18"/>
                      <w:highlight w:val="none"/>
                      <w:lang w:eastAsia="zh-CN"/>
                    </w:rPr>
                    <w:t>项目属于C3052光学玻璃制造和C3057制镜及类似品加工</w:t>
                  </w:r>
                  <w:r>
                    <w:rPr>
                      <w:rFonts w:hint="eastAsia" w:cs="Times New Roman"/>
                      <w:color w:val="auto"/>
                      <w:sz w:val="18"/>
                      <w:szCs w:val="18"/>
                      <w:highlight w:val="none"/>
                      <w:lang w:eastAsia="zh-CN"/>
                    </w:rPr>
                    <w:t>项目</w:t>
                  </w:r>
                  <w:r>
                    <w:rPr>
                      <w:rFonts w:hint="default" w:ascii="Times New Roman" w:hAnsi="Times New Roman" w:cs="Times New Roman"/>
                      <w:color w:val="auto"/>
                      <w:sz w:val="18"/>
                      <w:szCs w:val="18"/>
                      <w:highlight w:val="none"/>
                      <w:lang w:eastAsia="zh-CN"/>
                    </w:rPr>
                    <w:t>，不涉及使用</w:t>
                  </w:r>
                  <w:r>
                    <w:rPr>
                      <w:rFonts w:hint="default" w:ascii="Times New Roman" w:hAnsi="Times New Roman" w:eastAsia="宋体" w:cs="Times New Roman"/>
                      <w:color w:val="auto"/>
                      <w:sz w:val="18"/>
                      <w:szCs w:val="18"/>
                      <w:highlight w:val="none"/>
                    </w:rPr>
                    <w:t>高风险化学品生产、使用</w:t>
                  </w:r>
                  <w:r>
                    <w:rPr>
                      <w:rFonts w:hint="default" w:ascii="Times New Roman" w:hAnsi="Times New Roman" w:cs="Times New Roman"/>
                      <w:color w:val="auto"/>
                      <w:sz w:val="18"/>
                      <w:szCs w:val="18"/>
                      <w:highlight w:val="non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4"/>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b/>
                      <w:bCs/>
                      <w:color w:val="auto"/>
                      <w:sz w:val="18"/>
                      <w:szCs w:val="18"/>
                      <w:highlight w:val="none"/>
                      <w:lang w:val="en-US" w:eastAsia="zh-CN"/>
                    </w:rPr>
                    <w:t>4、</w:t>
                  </w:r>
                  <w:r>
                    <w:rPr>
                      <w:rFonts w:hint="default" w:ascii="Times New Roman" w:hAnsi="Times New Roman" w:eastAsia="宋体" w:cs="Times New Roman"/>
                      <w:b/>
                      <w:bCs/>
                      <w:color w:val="auto"/>
                      <w:sz w:val="18"/>
                      <w:szCs w:val="18"/>
                      <w:highlight w:val="none"/>
                    </w:rPr>
                    <w:t>与河南省土壤生态环境总体准入要求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分区</w:t>
                  </w:r>
                </w:p>
              </w:tc>
              <w:tc>
                <w:tcPr>
                  <w:tcW w:w="263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hanging="358" w:hangingChars="199"/>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eastAsia="zh-CN"/>
                    </w:rPr>
                    <w:t>准入</w:t>
                  </w:r>
                  <w:r>
                    <w:rPr>
                      <w:rFonts w:hint="default" w:ascii="Times New Roman" w:hAnsi="Times New Roman" w:eastAsia="宋体" w:cs="Times New Roman"/>
                      <w:b w:val="0"/>
                      <w:bCs/>
                      <w:color w:val="auto"/>
                      <w:sz w:val="18"/>
                      <w:szCs w:val="18"/>
                      <w:highlight w:val="none"/>
                    </w:rPr>
                    <w:t>要求</w:t>
                  </w:r>
                </w:p>
              </w:tc>
              <w:tc>
                <w:tcPr>
                  <w:tcW w:w="19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hanging="358" w:hangingChars="199"/>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农用地</w:t>
                  </w:r>
                </w:p>
              </w:tc>
              <w:tc>
                <w:tcPr>
                  <w:tcW w:w="2630" w:type="pct"/>
                  <w:gridSpan w:val="2"/>
                  <w:tcBorders>
                    <w:tl2br w:val="nil"/>
                    <w:tr2bl w:val="nil"/>
                  </w:tcBorders>
                  <w:noWrap w:val="0"/>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在永久基本农田集中区域，不得新建可能造成土壤污染的建设项目</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已经建成的，应当限期关闭拆除</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禁止向耕地及农田沟渠中排放有毒有害工业、生活废水和未经处理的养殖小区畜禽粪便；禁止占用耕地倾倒、堆放城乡生活垃圾、建筑垃圾、医疗垃圾、工业废料及废渣等废弃物</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禁止违反法律、法规的规定向农产品产地排放或者倾倒废水、废气、固体废物或者其他有毒有害物质。</w:t>
                  </w:r>
                </w:p>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不得在优先保护类耕地集中区域新建有色金属冶炼、石油化工、化工、焦化、电镀、制革等行业企业以及可能造成耕地土壤污染的建设项目。</w:t>
                  </w:r>
                </w:p>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对涉铅锌采选、冶炼等有色金属企业，加强在采选、运输、堆存等环节监管，严防因矿石遗洒、碾压导致的重金属污染情况发生。</w:t>
                  </w:r>
                </w:p>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依法划定特定农产品禁止生产区域，严禁种植食用农产品</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在新乡市、济源示范区、安阳市、洛阳市、三门峡市等省辖市部分区域，以耕地重金属污染问题突出区域和铅、锌、黄金、铜等有色金属采选及冶炼集中区域为重点，严格执行镉、汞、砷、铅等重金属污染物排放标准，落实相关总量控制指标</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洛阳、三门峡、南阳、济源等矿产资源开发利用活动集中区域，实行重点重金属污染物特别排放限值。</w:t>
                  </w:r>
                </w:p>
              </w:tc>
              <w:tc>
                <w:tcPr>
                  <w:tcW w:w="1977" w:type="pct"/>
                  <w:tcBorders>
                    <w:tl2br w:val="nil"/>
                    <w:tr2bl w:val="nil"/>
                  </w:tcBorders>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ind w:left="0" w:right="0" w:rightChars="0"/>
                    <w:jc w:val="left"/>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选址位于新乡市新乡县新乡经济开发区玉龙路西段</w:t>
                  </w:r>
                  <w:r>
                    <w:rPr>
                      <w:rFonts w:hint="default" w:ascii="Times New Roman" w:hAnsi="Times New Roman" w:cs="Times New Roman"/>
                      <w:color w:val="auto"/>
                      <w:sz w:val="18"/>
                      <w:szCs w:val="18"/>
                      <w:highlight w:val="none"/>
                      <w:lang w:val="en-US" w:eastAsia="zh-CN"/>
                    </w:rPr>
                    <w:t>，对照《河南省新乡县城乡总体规划（2012-2030）—中心城区土地利用规划图》（详见附图</w:t>
                  </w:r>
                  <w:r>
                    <w:rPr>
                      <w:rFonts w:hint="eastAsia" w:cs="Times New Roman"/>
                      <w:color w:val="auto"/>
                      <w:sz w:val="18"/>
                      <w:szCs w:val="18"/>
                      <w:highlight w:val="none"/>
                      <w:lang w:val="en-US" w:eastAsia="zh-CN"/>
                    </w:rPr>
                    <w:t>五</w:t>
                  </w:r>
                  <w:r>
                    <w:rPr>
                      <w:rFonts w:hint="default" w:ascii="Times New Roman" w:hAnsi="Times New Roman" w:cs="Times New Roman"/>
                      <w:color w:val="auto"/>
                      <w:sz w:val="18"/>
                      <w:szCs w:val="18"/>
                      <w:highlight w:val="none"/>
                      <w:lang w:val="en-US" w:eastAsia="zh-CN"/>
                    </w:rPr>
                    <w:t>），项目用地属于工业用地，</w:t>
                  </w:r>
                  <w:r>
                    <w:rPr>
                      <w:rFonts w:hint="default" w:ascii="Times New Roman" w:hAnsi="Times New Roman" w:cs="Times New Roman"/>
                      <w:color w:val="auto"/>
                      <w:sz w:val="18"/>
                      <w:szCs w:val="18"/>
                      <w:highlight w:val="none"/>
                      <w:lang w:eastAsia="zh-CN"/>
                    </w:rPr>
                    <w:t>项目用地不属于农用地。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建设用地</w:t>
                  </w:r>
                </w:p>
              </w:tc>
              <w:tc>
                <w:tcPr>
                  <w:tcW w:w="2630" w:type="pct"/>
                  <w:gridSpan w:val="2"/>
                  <w:tcBorders>
                    <w:tl2br w:val="nil"/>
                    <w:tr2bl w:val="nil"/>
                  </w:tcBorders>
                  <w:noWrap w:val="0"/>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严控新增重金属污染物排放量，在重有色金属矿（含伴生矿）采选业（铜、铅锌、镍钴、锡、锑和汞矿采选业等）、重有色金属冶炼业（铜、铅锌、镍钴、锡、锑和汞冶炼等）、铅蓄电池制造业、皮革及其制品业（皮革鞣制加工等）、化学原料及化学制品制造业（电石法聚氯乙烯行业、铬盐行业等）、电镀行业等重点行业实施重点重金属减量替代。</w:t>
                  </w:r>
                </w:p>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污染地块未经治理与修复，或者经治理与修复但未达到相关规划用地土壤环境质量要求的，有关生态环境主管部门不予批准选址涉及该污染地块的建设项目</w:t>
                  </w:r>
                  <w:r>
                    <w:rPr>
                      <w:rFonts w:hint="default" w:ascii="Times New Roman" w:hAnsi="Times New Roman" w:eastAsia="宋体" w:cs="Times New Roman"/>
                      <w:color w:val="auto"/>
                      <w:sz w:val="18"/>
                      <w:szCs w:val="18"/>
                      <w:highlight w:val="none"/>
                      <w:lang w:eastAsia="zh-CN"/>
                    </w:rPr>
                    <w:t>环评</w:t>
                  </w:r>
                  <w:r>
                    <w:rPr>
                      <w:rFonts w:hint="default" w:ascii="Times New Roman" w:hAnsi="Times New Roman" w:eastAsia="宋体" w:cs="Times New Roman"/>
                      <w:color w:val="auto"/>
                      <w:sz w:val="18"/>
                      <w:szCs w:val="18"/>
                      <w:highlight w:val="none"/>
                    </w:rPr>
                    <w:t>，自然资源部门不得核发建设工程规划许可证</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列入建设用地土壤污染风险管控和修复名录的地块，禁止开工建设任何与风险管控、修复无关的项目。</w:t>
                  </w:r>
                </w:p>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对列入污染地块名录的地块，土地使用权人应当根据风险评估结果，并结合污染地块相关开发利用计划，有针对性地实施风险管控</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对暂不开发利用的污染地块，实施以防止污染扩散为目的的风险管控</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对拟开发利用为居住用地和商业、学校、医疗、养老机构等公共设施用地的污染地块，实施以安全利用为目的的风险管控</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对拟开发利用为居住用地和商业、学校、医疗、养老机构等公共设施用地的污染地块，经风险评估确认需要治理与修复的，土地使用权人应当开展治理与修复。</w:t>
                  </w:r>
                </w:p>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对列入污染地块名录的地块及时移除或者清理污染源；采取污染隔离、阻断等措施，防止污染扩散</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开展土壤、地表水、地下水、空气环境监测</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发现污染扩散的，及时采取有效补救措施</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污染地块治理与修复期间应当采取有效措施防止对地块及其周边环境造成二次污染，治理与修复过程中产生的废水、废气和固体废物按照国家有关规定进行处理或者处置，并达到相关环境标准和要求。</w:t>
                  </w:r>
                </w:p>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对列入疑似污染地块名单的地块，未经土壤污染状况调查确定为未污染地块的，不得进入用地程序。</w:t>
                  </w:r>
                </w:p>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鼓励土壤污染重点监管单位向工业园区集聚发展。重点单位新改扩建项目用地应当符合国家或者地方有关建设用地土壤污染风险管控标准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重点单位在隐患排查、监测等活动中发现工矿用地土壤和地下水存在污染迹象的，应当排查污染源，查明污染原因，采取措施防止新增污染</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重点单位拆除设施、设备或者建筑物、构筑物的，应当制定包括应急措施在内的土壤污染防治工作方案，报地方人民政府生态环境、工业和信息化主管部门备案并实施。</w:t>
                  </w:r>
                </w:p>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严格规范生活垃圾处理设施运行管理，坚决查处渗滤液直排和超标排放行为，完善生活垃圾填埋场防扬散等措施。</w:t>
                  </w:r>
                </w:p>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生产、使用、贮存、运输、回收、处置、排放有毒有害物质的单位和个人，应当采取有效措施，防止有毒有害物质渗漏、流失、扬散，避免土壤受到污染。</w:t>
                  </w:r>
                </w:p>
              </w:tc>
              <w:tc>
                <w:tcPr>
                  <w:tcW w:w="1977" w:type="pct"/>
                  <w:tcBorders>
                    <w:tl2br w:val="nil"/>
                    <w:tr2bl w:val="nil"/>
                  </w:tcBorders>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ind w:left="0" w:right="0" w:right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5、项目生产过程不涉及重金属污染物排放；</w:t>
                  </w:r>
                  <w:r>
                    <w:rPr>
                      <w:rFonts w:hint="default" w:ascii="Times New Roman" w:hAnsi="Times New Roman" w:cs="Times New Roman"/>
                      <w:color w:val="auto"/>
                      <w:sz w:val="18"/>
                      <w:szCs w:val="18"/>
                      <w:highlight w:val="none"/>
                      <w:lang w:val="en-US" w:eastAsia="zh-CN"/>
                    </w:rPr>
                    <w:br w:type="textWrapping"/>
                  </w:r>
                  <w:r>
                    <w:rPr>
                      <w:rFonts w:hint="default" w:ascii="Times New Roman" w:hAnsi="Times New Roman" w:cs="Times New Roman"/>
                      <w:color w:val="auto"/>
                      <w:sz w:val="18"/>
                      <w:szCs w:val="18"/>
                      <w:highlight w:val="none"/>
                      <w:lang w:val="en-US" w:eastAsia="zh-CN"/>
                    </w:rPr>
                    <w:t>6-9、项目选址位于对照《河南省新乡县城乡总体规划（2012-2030）—中心城区土地利用规划图》（详见附图</w:t>
                  </w:r>
                  <w:r>
                    <w:rPr>
                      <w:rFonts w:hint="eastAsia" w:cs="Times New Roman"/>
                      <w:color w:val="auto"/>
                      <w:sz w:val="18"/>
                      <w:szCs w:val="18"/>
                      <w:highlight w:val="none"/>
                      <w:lang w:val="en-US" w:eastAsia="zh-CN"/>
                    </w:rPr>
                    <w:t>五</w:t>
                  </w:r>
                  <w:r>
                    <w:rPr>
                      <w:rFonts w:hint="default" w:ascii="Times New Roman" w:hAnsi="Times New Roman" w:cs="Times New Roman"/>
                      <w:color w:val="auto"/>
                      <w:sz w:val="18"/>
                      <w:szCs w:val="18"/>
                      <w:highlight w:val="none"/>
                      <w:lang w:val="en-US" w:eastAsia="zh-CN"/>
                    </w:rPr>
                    <w:t>），项目用地属于工业用地，</w:t>
                  </w:r>
                  <w:r>
                    <w:rPr>
                      <w:rFonts w:hint="default" w:ascii="Times New Roman" w:hAnsi="Times New Roman" w:cs="Times New Roman"/>
                      <w:color w:val="auto"/>
                      <w:sz w:val="18"/>
                      <w:szCs w:val="18"/>
                      <w:highlight w:val="none"/>
                      <w:lang w:eastAsia="zh-CN"/>
                    </w:rPr>
                    <w:t>用地不属于污染地块。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一般管控区</w:t>
                  </w:r>
                </w:p>
              </w:tc>
              <w:tc>
                <w:tcPr>
                  <w:tcW w:w="2630" w:type="pct"/>
                  <w:gridSpan w:val="2"/>
                  <w:tcBorders>
                    <w:tl2br w:val="nil"/>
                    <w:tr2bl w:val="nil"/>
                  </w:tcBorders>
                  <w:noWrap w:val="0"/>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360" w:firstLineChars="20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禁止在基本农田集中区、居民区、学校、疗养和养老机构等敏感区域周边新建土壤污染风险行业企业。</w:t>
                  </w:r>
                </w:p>
                <w:p>
                  <w:pPr>
                    <w:keepNext w:val="0"/>
                    <w:keepLines w:val="0"/>
                    <w:pageBreakBefore w:val="0"/>
                    <w:widowControl w:val="0"/>
                    <w:numPr>
                      <w:ilvl w:val="0"/>
                      <w:numId w:val="6"/>
                    </w:numPr>
                    <w:kinsoku/>
                    <w:wordWrap/>
                    <w:overflowPunct/>
                    <w:topLinePunct w:val="0"/>
                    <w:autoSpaceDE/>
                    <w:autoSpaceDN/>
                    <w:bidi w:val="0"/>
                    <w:adjustRightInd/>
                    <w:snapToGrid/>
                    <w:spacing w:line="320" w:lineRule="exact"/>
                    <w:ind w:left="0" w:leftChars="0" w:right="0" w:rightChars="0" w:firstLine="360" w:firstLineChars="20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加强未利用地开发管理，合理确定开发用途和开发强度，严格项目准入。</w:t>
                  </w:r>
                </w:p>
              </w:tc>
              <w:tc>
                <w:tcPr>
                  <w:tcW w:w="197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left"/>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项目位于</w:t>
                  </w:r>
                  <w:r>
                    <w:rPr>
                      <w:rFonts w:hint="default" w:ascii="Times New Roman" w:hAnsi="Times New Roman" w:eastAsia="宋体" w:cs="Times New Roman"/>
                      <w:color w:val="auto"/>
                      <w:sz w:val="18"/>
                      <w:szCs w:val="18"/>
                      <w:highlight w:val="none"/>
                      <w:lang w:val="en-US" w:eastAsia="zh-CN"/>
                    </w:rPr>
                    <w:t>新乡市新乡县新乡经济开发区玉龙路西段</w:t>
                  </w:r>
                  <w:r>
                    <w:rPr>
                      <w:rFonts w:hint="default" w:ascii="Times New Roman" w:hAnsi="Times New Roman" w:cs="Times New Roman"/>
                      <w:color w:val="auto"/>
                      <w:sz w:val="18"/>
                      <w:szCs w:val="18"/>
                      <w:highlight w:val="none"/>
                      <w:lang w:eastAsia="zh-CN"/>
                    </w:rPr>
                    <w:t>，根据现场勘查，周边不存在</w:t>
                  </w:r>
                  <w:r>
                    <w:rPr>
                      <w:rFonts w:hint="default" w:ascii="Times New Roman" w:hAnsi="Times New Roman" w:eastAsia="宋体" w:cs="Times New Roman"/>
                      <w:color w:val="auto"/>
                      <w:sz w:val="18"/>
                      <w:szCs w:val="18"/>
                      <w:highlight w:val="none"/>
                    </w:rPr>
                    <w:t>基本农田集中区、居民区、学校、疗养和养老机构等敏感区域</w:t>
                  </w:r>
                  <w:r>
                    <w:rPr>
                      <w:rFonts w:hint="default" w:ascii="Times New Roman" w:hAnsi="Times New Roman" w:cs="Times New Roman"/>
                      <w:color w:val="auto"/>
                      <w:sz w:val="18"/>
                      <w:szCs w:val="18"/>
                      <w:highlight w:val="non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4"/>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b/>
                      <w:bCs/>
                      <w:color w:val="auto"/>
                      <w:sz w:val="18"/>
                      <w:szCs w:val="18"/>
                      <w:highlight w:val="none"/>
                      <w:lang w:val="en-US" w:eastAsia="zh-CN"/>
                    </w:rPr>
                    <w:t>5、</w:t>
                  </w:r>
                  <w:r>
                    <w:rPr>
                      <w:rFonts w:hint="default" w:ascii="Times New Roman" w:hAnsi="Times New Roman" w:eastAsia="宋体" w:cs="Times New Roman"/>
                      <w:b/>
                      <w:bCs/>
                      <w:color w:val="auto"/>
                      <w:sz w:val="18"/>
                      <w:szCs w:val="18"/>
                      <w:highlight w:val="none"/>
                    </w:rPr>
                    <w:t>与河南省资源利用效率总体准入要求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类型</w:t>
                  </w:r>
                </w:p>
              </w:tc>
              <w:tc>
                <w:tcPr>
                  <w:tcW w:w="263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eastAsia="zh-CN"/>
                    </w:rPr>
                    <w:t>准入</w:t>
                  </w:r>
                  <w:r>
                    <w:rPr>
                      <w:rFonts w:hint="default" w:ascii="Times New Roman" w:hAnsi="Times New Roman" w:eastAsia="宋体" w:cs="Times New Roman"/>
                      <w:b w:val="0"/>
                      <w:bCs/>
                      <w:color w:val="auto"/>
                      <w:sz w:val="18"/>
                      <w:szCs w:val="18"/>
                      <w:highlight w:val="none"/>
                    </w:rPr>
                    <w:t>要求</w:t>
                  </w:r>
                </w:p>
              </w:tc>
              <w:tc>
                <w:tcPr>
                  <w:tcW w:w="19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能源</w:t>
                  </w:r>
                </w:p>
              </w:tc>
              <w:tc>
                <w:tcPr>
                  <w:tcW w:w="2630" w:type="pct"/>
                  <w:gridSpan w:val="2"/>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rPr>
                    <w:t>控制高硫高灰煤开发和销售，推进煤炭清洁化利用，煤炭入选率提高到80%。</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rPr>
                    <w:t>新建高耗煤项目单位产品（产值）能耗要达到国内先进水平</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到2025年，通过实施节能降碳行动，钢铁、电解铝、水泥、平板玻璃行业能效达到标杆水平的产能比例超过30%，行业整体能效水平明显提升，碳排放强度明显下降，绿色低碳发展能力显著增强。</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rPr>
                    <w:t>禁燃区内，禁止销售、燃用高污染燃料</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禁止新建、扩建燃用高污染燃料的设施，已建成的，应当在城市人民政府规定的期限内改用天然气、页岩气、液化石油气、电或者其他清洁能源。</w:t>
                  </w:r>
                </w:p>
              </w:tc>
              <w:tc>
                <w:tcPr>
                  <w:tcW w:w="197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left"/>
                    <w:textAlignment w:val="auto"/>
                    <w:rPr>
                      <w:rFonts w:hint="default" w:ascii="Times New Roman" w:hAnsi="Times New Roman" w:eastAsia="宋体" w:cs="Times New Roman"/>
                      <w:color w:val="auto"/>
                      <w:sz w:val="18"/>
                      <w:szCs w:val="18"/>
                      <w:highlight w:val="cyan"/>
                      <w:lang w:val="en-US" w:eastAsia="zh-CN"/>
                    </w:rPr>
                  </w:pPr>
                  <w:r>
                    <w:rPr>
                      <w:rFonts w:hint="default" w:ascii="Times New Roman" w:hAnsi="Times New Roman" w:cs="Times New Roman"/>
                      <w:color w:val="auto"/>
                      <w:sz w:val="18"/>
                      <w:szCs w:val="18"/>
                      <w:highlight w:val="none"/>
                      <w:lang w:val="en-US" w:eastAsia="zh-CN"/>
                    </w:rPr>
                    <w:t>项目生产所用能源主要为电，本次</w:t>
                  </w:r>
                  <w:r>
                    <w:rPr>
                      <w:rFonts w:hint="eastAsia" w:cs="Times New Roman"/>
                      <w:color w:val="auto"/>
                      <w:sz w:val="18"/>
                      <w:szCs w:val="18"/>
                      <w:highlight w:val="none"/>
                      <w:lang w:val="en-US" w:eastAsia="zh-CN"/>
                    </w:rPr>
                    <w:t>技改</w:t>
                  </w:r>
                  <w:r>
                    <w:rPr>
                      <w:rFonts w:hint="default" w:ascii="Times New Roman" w:hAnsi="Times New Roman" w:cs="Times New Roman"/>
                      <w:color w:val="auto"/>
                      <w:sz w:val="18"/>
                      <w:szCs w:val="18"/>
                      <w:highlight w:val="none"/>
                      <w:lang w:val="en-US" w:eastAsia="zh-CN"/>
                    </w:rPr>
                    <w:t>后工程用电量约为50万kW‧h/a，来源由新乡县市政供电管网供电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Cs/>
                      <w:color w:val="auto"/>
                      <w:sz w:val="18"/>
                      <w:szCs w:val="18"/>
                      <w:highlight w:val="none"/>
                    </w:rPr>
                    <w:t>水资源</w:t>
                  </w:r>
                </w:p>
              </w:tc>
              <w:tc>
                <w:tcPr>
                  <w:tcW w:w="2630" w:type="pct"/>
                  <w:gridSpan w:val="2"/>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rPr>
                    <w:t>在生态脆弱、严重缺水和地下水超采地区，严格控制高耗水新改扩建项目。</w:t>
                  </w:r>
                </w:p>
              </w:tc>
              <w:tc>
                <w:tcPr>
                  <w:tcW w:w="197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项目用水均由市政供水厂提供，本项目不属于</w:t>
                  </w:r>
                  <w:r>
                    <w:rPr>
                      <w:rFonts w:hint="default" w:ascii="Times New Roman" w:hAnsi="Times New Roman" w:eastAsia="宋体" w:cs="Times New Roman"/>
                      <w:color w:val="auto"/>
                      <w:sz w:val="18"/>
                      <w:szCs w:val="18"/>
                      <w:highlight w:val="none"/>
                    </w:rPr>
                    <w:t>高耗水项目</w:t>
                  </w:r>
                  <w:r>
                    <w:rPr>
                      <w:rFonts w:hint="default" w:ascii="Times New Roman" w:hAnsi="Times New Roman" w:cs="Times New Roman"/>
                      <w:color w:val="auto"/>
                      <w:sz w:val="18"/>
                      <w:szCs w:val="18"/>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水资源</w:t>
                  </w:r>
                </w:p>
              </w:tc>
              <w:tc>
                <w:tcPr>
                  <w:tcW w:w="2630" w:type="pct"/>
                  <w:gridSpan w:val="2"/>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rPr>
                    <w:t>对取用水总量已经达到或超过控制指标的地方，暂停审批建设项目新增取水</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对取用水总量接近控制目标的地方，限制审批建设项目新增取水。</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rPr>
                    <w:t>严格控制开采深层承压水，地热水、矿泉水开发严格实施取水许可和采矿许可。</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6.</w:t>
                  </w:r>
                  <w:r>
                    <w:rPr>
                      <w:rFonts w:hint="default" w:ascii="Times New Roman" w:hAnsi="Times New Roman" w:eastAsia="宋体" w:cs="Times New Roman"/>
                      <w:color w:val="auto"/>
                      <w:sz w:val="18"/>
                      <w:szCs w:val="18"/>
                      <w:highlight w:val="none"/>
                    </w:rPr>
                    <w:t>在地下水禁采区内，除应急供水外严禁新凿取水井，停止新增地下水取水许可；对禁采区内已有地下水用户要加强取水许可管理，对取水许可证到期的，无特殊情况不再核发取水许可证，促进地下水用户转换水源。</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w:t>
                  </w:r>
                  <w:r>
                    <w:rPr>
                      <w:rFonts w:hint="default" w:ascii="Times New Roman" w:hAnsi="Times New Roman" w:eastAsia="宋体" w:cs="Times New Roman"/>
                      <w:color w:val="auto"/>
                      <w:sz w:val="18"/>
                      <w:szCs w:val="18"/>
                      <w:highlight w:val="none"/>
                    </w:rPr>
                    <w:t>在地下水限采区内，城市供水管网覆盖范围内除应急供水外，严禁新凿取水井</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对已批准开采地下水的用户，要根据超采程度逐步核减地下水开采总量和年度取水指标，逐步实现地下水采补平衡；对城市供水管网覆盖范围外，无其他替代水源、确需取用地下水的，要严格论证审批，加强日常监督管理，严控新增取用地下水。</w:t>
                  </w:r>
                </w:p>
              </w:tc>
              <w:tc>
                <w:tcPr>
                  <w:tcW w:w="197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项目用水由新乡县市政供水管网提供，项目属于</w:t>
                  </w:r>
                  <w:r>
                    <w:rPr>
                      <w:rFonts w:hint="eastAsia" w:cs="Times New Roman"/>
                      <w:color w:val="auto"/>
                      <w:sz w:val="18"/>
                      <w:szCs w:val="18"/>
                      <w:highlight w:val="none"/>
                      <w:lang w:val="en-US" w:eastAsia="zh-CN"/>
                    </w:rPr>
                    <w:t>光学玻璃制造</w:t>
                  </w:r>
                  <w:r>
                    <w:rPr>
                      <w:rFonts w:hint="default" w:ascii="Times New Roman" w:hAnsi="Times New Roman" w:cs="Times New Roman"/>
                      <w:color w:val="auto"/>
                      <w:sz w:val="18"/>
                      <w:szCs w:val="18"/>
                      <w:highlight w:val="none"/>
                      <w:lang w:val="en-US" w:eastAsia="zh-CN"/>
                    </w:rPr>
                    <w:t>项目，不属于高耗水项目。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土地资源</w:t>
                  </w:r>
                </w:p>
              </w:tc>
              <w:tc>
                <w:tcPr>
                  <w:tcW w:w="2630" w:type="pct"/>
                  <w:gridSpan w:val="2"/>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right="0" w:rightChars="0" w:firstLine="360" w:firstLineChars="20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lang w:eastAsia="zh-CN"/>
                    </w:rPr>
                    <w:t>禁止在国土空间规划确定的禁止开垦的范围内从事土地开发活动。</w:t>
                  </w:r>
                </w:p>
              </w:tc>
              <w:tc>
                <w:tcPr>
                  <w:tcW w:w="197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right="0" w:rightChars="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项目利用现有工程厂房进行技术改造，经</w:t>
                  </w:r>
                  <w:r>
                    <w:rPr>
                      <w:rFonts w:hint="default" w:ascii="Times New Roman" w:hAnsi="Times New Roman" w:eastAsia="宋体" w:cs="Times New Roman"/>
                      <w:color w:val="auto"/>
                      <w:sz w:val="18"/>
                      <w:szCs w:val="18"/>
                      <w:highlight w:val="none"/>
                      <w:lang w:val="en-US" w:eastAsia="zh-CN"/>
                    </w:rPr>
                    <w:t>对照《河南省新乡县城乡总体规划（2012-2030）—中心城区土地利用规划图》（详见附图</w:t>
                  </w:r>
                  <w:r>
                    <w:rPr>
                      <w:rFonts w:hint="eastAsia" w:cs="Times New Roman"/>
                      <w:color w:val="auto"/>
                      <w:sz w:val="18"/>
                      <w:szCs w:val="18"/>
                      <w:highlight w:val="none"/>
                      <w:lang w:val="en-US" w:eastAsia="zh-CN"/>
                    </w:rPr>
                    <w:t>五</w:t>
                  </w:r>
                  <w:r>
                    <w:rPr>
                      <w:rFonts w:hint="default" w:ascii="Times New Roman" w:hAnsi="Times New Roman" w:eastAsia="宋体" w:cs="Times New Roman"/>
                      <w:color w:val="auto"/>
                      <w:sz w:val="18"/>
                      <w:szCs w:val="18"/>
                      <w:highlight w:val="none"/>
                      <w:lang w:val="en-US" w:eastAsia="zh-CN"/>
                    </w:rPr>
                    <w:t>），项目用地属于工业用地</w:t>
                  </w:r>
                  <w:r>
                    <w:rPr>
                      <w:rFonts w:hint="default" w:ascii="Times New Roman" w:hAnsi="Times New Roman" w:cs="Times New Roman"/>
                      <w:color w:val="auto"/>
                      <w:sz w:val="18"/>
                      <w:szCs w:val="18"/>
                      <w:highlight w:val="none"/>
                      <w:lang w:val="en-US" w:eastAsia="zh-CN"/>
                    </w:rPr>
                    <w:t>不在禁止开垦范围</w:t>
                  </w: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fldChar w:fldCharType="begin"/>
            </w:r>
            <w:r>
              <w:rPr>
                <w:rFonts w:hint="default" w:ascii="Times New Roman" w:hAnsi="Times New Roman" w:cs="Times New Roman"/>
                <w:b/>
                <w:bCs/>
                <w:color w:val="auto"/>
                <w:highlight w:val="none"/>
                <w:lang w:eastAsia="zh-CN"/>
              </w:rPr>
              <w:instrText xml:space="preserve">=2\*GB3\*MERGEFORMAT</w:instrText>
            </w:r>
            <w:r>
              <w:rPr>
                <w:rFonts w:hint="default" w:ascii="Times New Roman" w:hAnsi="Times New Roman" w:cs="Times New Roman"/>
                <w:b/>
                <w:bCs/>
                <w:color w:val="auto"/>
                <w:highlight w:val="none"/>
                <w:lang w:eastAsia="zh-CN"/>
              </w:rPr>
              <w:fldChar w:fldCharType="separate"/>
            </w:r>
            <w:r>
              <w:rPr>
                <w:rFonts w:hint="default" w:ascii="Times New Roman" w:hAnsi="Times New Roman" w:cs="Times New Roman"/>
                <w:b/>
                <w:bCs/>
                <w:color w:val="auto"/>
                <w:highlight w:val="none"/>
              </w:rPr>
              <w:t>②</w:t>
            </w:r>
            <w:r>
              <w:rPr>
                <w:rFonts w:hint="default" w:ascii="Times New Roman" w:hAnsi="Times New Roman" w:cs="Times New Roman"/>
                <w:b/>
                <w:bCs/>
                <w:color w:val="auto"/>
                <w:highlight w:val="none"/>
                <w:lang w:eastAsia="zh-CN"/>
              </w:rPr>
              <w:fldChar w:fldCharType="end"/>
            </w:r>
            <w:r>
              <w:rPr>
                <w:rFonts w:hint="default" w:ascii="Times New Roman" w:hAnsi="Times New Roman" w:cs="Times New Roman"/>
                <w:b/>
                <w:bCs/>
                <w:color w:val="auto"/>
                <w:highlight w:val="none"/>
                <w:lang w:eastAsia="zh-CN"/>
              </w:rPr>
              <w:t>与《新乡市“三线一单”生态环境准入清单》（试行）对照情况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highlight w:val="none"/>
                <w:lang w:eastAsia="zh-CN"/>
              </w:rPr>
            </w:pPr>
            <w:r>
              <w:rPr>
                <w:rFonts w:hint="default" w:ascii="Times New Roman" w:hAnsi="Times New Roman" w:cs="Times New Roman"/>
                <w:b w:val="0"/>
                <w:bCs w:val="0"/>
                <w:color w:val="auto"/>
                <w:highlight w:val="none"/>
                <w:lang w:eastAsia="zh-CN"/>
              </w:rPr>
              <w:t>根据新乡市生态环境局关于发布《新乡市“三线一单”生态环境准入清单》（试行）的函，本项目与《新乡市“三线一单”生态环境准入清单》（试行）对照情况如下：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与新乡市生态环境总体准入要求对照</w:t>
            </w:r>
          </w:p>
          <w:tbl>
            <w:tblPr>
              <w:tblStyle w:val="22"/>
              <w:tblW w:w="4999"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607"/>
              <w:gridCol w:w="3157"/>
              <w:gridCol w:w="2417"/>
            </w:tblGrid>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491"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维度</w:t>
                  </w:r>
                </w:p>
              </w:tc>
              <w:tc>
                <w:tcPr>
                  <w:tcW w:w="2553"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sz w:val="18"/>
                      <w:szCs w:val="18"/>
                      <w:highlight w:val="none"/>
                      <w:lang w:val="en-US" w:eastAsia="zh-CN"/>
                    </w:rPr>
                    <w:t>管控要求</w:t>
                  </w:r>
                </w:p>
              </w:tc>
              <w:tc>
                <w:tcPr>
                  <w:tcW w:w="1955"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right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本项目情况</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491"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空间布局约束</w:t>
                  </w:r>
                </w:p>
              </w:tc>
              <w:tc>
                <w:tcPr>
                  <w:tcW w:w="2553"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firstLine="360" w:firstLineChars="20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1、</w:t>
                  </w:r>
                  <w:r>
                    <w:rPr>
                      <w:rFonts w:hint="default" w:ascii="Times New Roman" w:hAnsi="Times New Roman" w:eastAsia="宋体" w:cs="Times New Roman"/>
                      <w:i w:val="0"/>
                      <w:iCs w:val="0"/>
                      <w:color w:val="auto"/>
                      <w:kern w:val="0"/>
                      <w:sz w:val="18"/>
                      <w:szCs w:val="18"/>
                      <w:highlight w:val="none"/>
                      <w:u w:val="none"/>
                      <w:lang w:val="en-US" w:eastAsia="zh-CN" w:bidi="ar"/>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firstLine="360" w:firstLineChars="20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w:t>
                  </w:r>
                  <w:r>
                    <w:rPr>
                      <w:rFonts w:hint="eastAsia"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在风景名胜区内禁止进行下列活动：（一）开山、采石、开矿、开荒、修坟立碑等破坏景观、植被和地形地貌的活动；（二）修建储存爆炸性、易燃性、放射性、毒害性、腐蚀性物品的设施；（三）在景物或者设施上刻划、涂污；（四）乱扔垃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firstLine="360" w:firstLineChars="20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w:t>
                  </w:r>
                  <w:r>
                    <w:rPr>
                      <w:rFonts w:hint="eastAsia"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饮用水地表水源各级保护区必须遵守下列规定：一、禁止一切破坏水环境生态平衡的活动以及破坏水源林、护岸林、与水源保护相关植被的活动；二、禁止向水域倾倒工业废渣、城市垃圾、粪便及其它废弃物；三、运输有毒有害物质、油类、粪便的船舶和车辆一般不准进入保护区，必须进入者应事先申请并经有关部门批准、登记并设置防渗、防溢、防漏设施；四、禁止使用剧毒和高残留农药，不得滥用化肥，不得使用炸药、毒品捕杀鱼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firstLine="360" w:firstLineChars="20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一级保护区内禁止新建、扩建与供水设施和保护水源无关的建设项目；禁止向水域排放污水，已设置的排污口必须拆除；不得设置与供水需要无关的码头，禁止停靠船舶；禁止堆置和存放工业废渣、城市垃圾、粪便和其他废弃物；禁止设置油库；禁止从事种植、放养禽畜，严格控制网箱养殖活动；禁止可能污染水源的旅游活动和其他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firstLine="360" w:firstLineChars="20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二级保护区内不准新建、扩建向水体排放污染物的建设项目。改建项目必须削减污染物排放量；原有排污口必须削减污水排放量，保证保护区内水质满足规定的水质标准；禁止设立装卸垃圾、粪便、油类和有毒物品的码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饮用水地下水源各级保护区必须遵守下列规定：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firstLine="360" w:firstLineChars="20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一、禁止利用渗坑、渗井、裂隙、溶洞等排放污水和其它有害废弃物；二、禁止利用透水层孔隙、裂隙、溶洞及废弃矿坑储存石油、天然气、放射性物质、有毒有害化工原料、农药等；三、实行人工回灌地下水时不得污染当地地下水源。一级保护区内禁止建设与取水设施无关的建筑物；禁止从事农牧业活动；禁止倾倒、堆放工业废渣及城市垃圾、粪便和其它有害废弃物；禁止输送污水的渠道、管道及输油管道通过本区；禁止建设油库；禁止建立墓地。潜水含水层地下水水源地二级保护区内禁止建设化工、电镀、皮革、造纸、制浆、冶炼、放射性、印染、染料、炼焦、炼油及其它有严重污染的企业，已建成的要限期治理，转产或搬迁；禁止设置城市垃圾、粪便和易溶、有毒有害废弃物堆放场和转运站，已有的上述场站要限期搬迁；禁止利用未经净化的污水灌溉农田，已有的污灌农田要限期改用清水灌溉；化工原料、矿物油类及有毒有害矿产品的堆放场所必须有防雨、防渗措施。承压含水层地下水水源地二级保护区内禁止承压水和潜水的混合开采，作好潜水的止水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firstLine="360" w:firstLineChars="20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9</w:t>
                  </w:r>
                  <w:r>
                    <w:rPr>
                      <w:rFonts w:hint="eastAsia"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严格控制新增燃煤项目建设，燃煤发电项目严格按照政府工作部署落实。</w:t>
                  </w:r>
                </w:p>
              </w:tc>
              <w:tc>
                <w:tcPr>
                  <w:tcW w:w="1955"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cs="Times New Roman"/>
                      <w:i w:val="0"/>
                      <w:iCs w:val="0"/>
                      <w:color w:val="auto"/>
                      <w:kern w:val="0"/>
                      <w:sz w:val="18"/>
                      <w:szCs w:val="18"/>
                      <w:highlight w:val="cyan"/>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1、</w:t>
                  </w:r>
                  <w:r>
                    <w:rPr>
                      <w:rFonts w:hint="eastAsia" w:cs="Times New Roman"/>
                      <w:i w:val="0"/>
                      <w:iCs w:val="0"/>
                      <w:color w:val="auto"/>
                      <w:kern w:val="0"/>
                      <w:sz w:val="18"/>
                      <w:szCs w:val="18"/>
                      <w:highlight w:val="none"/>
                      <w:u w:val="none"/>
                      <w:lang w:val="en-US" w:eastAsia="zh-CN" w:bidi="ar"/>
                    </w:rPr>
                    <w:t>项目位于</w:t>
                  </w:r>
                  <w:r>
                    <w:rPr>
                      <w:rFonts w:hint="default" w:ascii="Times New Roman" w:hAnsi="Times New Roman" w:cs="Times New Roman"/>
                      <w:i w:val="0"/>
                      <w:iCs w:val="0"/>
                      <w:color w:val="auto"/>
                      <w:kern w:val="0"/>
                      <w:sz w:val="18"/>
                      <w:szCs w:val="18"/>
                      <w:highlight w:val="none"/>
                      <w:u w:val="none"/>
                      <w:lang w:val="en-US" w:eastAsia="zh-CN" w:bidi="ar"/>
                    </w:rPr>
                    <w:t>新乡县新乡经济开发区玉龙路西段</w:t>
                  </w:r>
                  <w:r>
                    <w:rPr>
                      <w:rFonts w:hint="eastAsia" w:cs="Times New Roman"/>
                      <w:i w:val="0"/>
                      <w:iCs w:val="0"/>
                      <w:color w:val="auto"/>
                      <w:kern w:val="0"/>
                      <w:sz w:val="18"/>
                      <w:szCs w:val="18"/>
                      <w:highlight w:val="none"/>
                      <w:u w:val="none"/>
                      <w:lang w:val="en-US" w:eastAsia="zh-CN" w:bidi="ar"/>
                    </w:rPr>
                    <w:t>，</w:t>
                  </w:r>
                  <w:r>
                    <w:rPr>
                      <w:rFonts w:hint="default" w:ascii="Times New Roman" w:hAnsi="Times New Roman" w:cs="Times New Roman"/>
                      <w:i w:val="0"/>
                      <w:iCs w:val="0"/>
                      <w:color w:val="auto"/>
                      <w:kern w:val="0"/>
                      <w:sz w:val="18"/>
                      <w:szCs w:val="18"/>
                      <w:highlight w:val="none"/>
                      <w:u w:val="none"/>
                      <w:lang w:val="en-US" w:eastAsia="zh-CN" w:bidi="ar"/>
                    </w:rPr>
                    <w:t>根据现场勘查，项目选址不在</w:t>
                  </w:r>
                  <w:r>
                    <w:rPr>
                      <w:rFonts w:hint="default" w:ascii="Times New Roman" w:hAnsi="Times New Roman" w:eastAsia="宋体" w:cs="Times New Roman"/>
                      <w:i w:val="0"/>
                      <w:iCs w:val="0"/>
                      <w:color w:val="auto"/>
                      <w:kern w:val="0"/>
                      <w:sz w:val="18"/>
                      <w:szCs w:val="18"/>
                      <w:highlight w:val="none"/>
                      <w:u w:val="none"/>
                      <w:lang w:val="en-US" w:eastAsia="zh-CN" w:bidi="ar"/>
                    </w:rPr>
                    <w:t>自然保护区的核心区和缓冲区内</w:t>
                  </w:r>
                  <w:r>
                    <w:rPr>
                      <w:rFonts w:hint="default"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cs="Times New Roman"/>
                      <w:i w:val="0"/>
                      <w:iCs w:val="0"/>
                      <w:color w:val="auto"/>
                      <w:kern w:val="0"/>
                      <w:sz w:val="18"/>
                      <w:szCs w:val="18"/>
                      <w:highlight w:val="cyan"/>
                      <w:u w:val="none"/>
                      <w:lang w:val="en-US" w:eastAsia="zh-CN" w:bidi="ar"/>
                    </w:rPr>
                    <w:br w:type="textWrapping"/>
                  </w:r>
                  <w:r>
                    <w:rPr>
                      <w:rFonts w:hint="default" w:ascii="Times New Roman" w:hAnsi="Times New Roman" w:cs="Times New Roman"/>
                      <w:i w:val="0"/>
                      <w:iCs w:val="0"/>
                      <w:color w:val="auto"/>
                      <w:kern w:val="0"/>
                      <w:sz w:val="18"/>
                      <w:szCs w:val="18"/>
                      <w:highlight w:val="none"/>
                      <w:u w:val="none"/>
                      <w:lang w:val="en-US" w:eastAsia="zh-CN" w:bidi="ar"/>
                    </w:rPr>
                    <w:t>2、项目选址位于新乡县新乡经济开发区玉龙路西段，根据现场勘查，项目周边均为空地或农田，不存在</w:t>
                  </w:r>
                  <w:r>
                    <w:rPr>
                      <w:rFonts w:hint="default" w:ascii="Times New Roman" w:hAnsi="Times New Roman" w:eastAsia="宋体" w:cs="Times New Roman"/>
                      <w:i w:val="0"/>
                      <w:iCs w:val="0"/>
                      <w:color w:val="auto"/>
                      <w:kern w:val="0"/>
                      <w:sz w:val="18"/>
                      <w:szCs w:val="18"/>
                      <w:highlight w:val="none"/>
                      <w:u w:val="none"/>
                      <w:lang w:val="en-US" w:eastAsia="zh-CN" w:bidi="ar"/>
                    </w:rPr>
                    <w:t>风景名胜区</w:t>
                  </w:r>
                  <w:r>
                    <w:rPr>
                      <w:rFonts w:hint="default"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cs="Times New Roman"/>
                      <w:i w:val="0"/>
                      <w:iCs w:val="0"/>
                      <w:color w:val="auto"/>
                      <w:kern w:val="0"/>
                      <w:sz w:val="18"/>
                      <w:szCs w:val="18"/>
                      <w:highlight w:val="cyan"/>
                      <w:u w:val="none"/>
                      <w:lang w:val="en-US" w:eastAsia="zh-CN" w:bidi="ar"/>
                    </w:rPr>
                    <w:br w:type="textWrapping"/>
                  </w:r>
                  <w:r>
                    <w:rPr>
                      <w:rFonts w:hint="default" w:ascii="Times New Roman" w:hAnsi="Times New Roman" w:cs="Times New Roman"/>
                      <w:i w:val="0"/>
                      <w:iCs w:val="0"/>
                      <w:color w:val="auto"/>
                      <w:kern w:val="0"/>
                      <w:sz w:val="18"/>
                      <w:szCs w:val="18"/>
                      <w:highlight w:val="none"/>
                      <w:u w:val="none"/>
                      <w:lang w:val="en-US" w:eastAsia="zh-CN" w:bidi="ar"/>
                    </w:rPr>
                    <w:t>3、距离项目最近的地表水水源保护区为凤泉水厂地下水饮用水源保护区，本项目距离该饮用水源二级保护区边界约23km，不在其保护区范围内。</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default" w:ascii="Times New Roman" w:hAnsi="Times New Roman" w:cs="Times New Roman"/>
                      <w:color w:val="auto"/>
                      <w:sz w:val="18"/>
                      <w:szCs w:val="18"/>
                      <w:highlight w:val="none"/>
                      <w:lang w:val="en-US" w:eastAsia="zh-CN"/>
                    </w:rPr>
                    <w:t>9、项目不属于钢铁冶炼、水泥、有色金属冶炼、平板玻璃、化工、建筑陶瓷、耐火材料、砖瓦、矿山开采等行业的高排放、高污染项目；项目利用现有工程厂区内车间进行技术改造，选址不属于</w:t>
                  </w:r>
                  <w:r>
                    <w:rPr>
                      <w:rFonts w:hint="default" w:ascii="Times New Roman" w:hAnsi="Times New Roman" w:eastAsia="宋体" w:cs="Times New Roman"/>
                      <w:i w:val="0"/>
                      <w:iCs w:val="0"/>
                      <w:color w:val="auto"/>
                      <w:kern w:val="0"/>
                      <w:sz w:val="18"/>
                      <w:szCs w:val="18"/>
                      <w:highlight w:val="none"/>
                      <w:u w:val="none"/>
                      <w:lang w:val="en-US" w:eastAsia="zh-CN" w:bidi="ar"/>
                    </w:rPr>
                    <w:t>城市建成区内人口密集区、环境脆弱敏感区</w:t>
                  </w:r>
                  <w:r>
                    <w:rPr>
                      <w:rFonts w:hint="default"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color w:val="auto"/>
                      <w:sz w:val="18"/>
                      <w:szCs w:val="18"/>
                      <w:highlight w:val="none"/>
                      <w:lang w:eastAsia="zh-CN"/>
                    </w:rPr>
                    <w:t>经对照</w:t>
                  </w:r>
                  <w:r>
                    <w:rPr>
                      <w:rFonts w:hint="default" w:ascii="Times New Roman" w:hAnsi="Times New Roman" w:eastAsia="宋体" w:cs="Times New Roman"/>
                      <w:color w:val="auto"/>
                      <w:sz w:val="18"/>
                      <w:szCs w:val="18"/>
                      <w:highlight w:val="none"/>
                    </w:rPr>
                    <w:t>《关于加强高耗能、高排放建设项目生态环境源头防控的指导意见》</w:t>
                  </w:r>
                  <w:r>
                    <w:rPr>
                      <w:rFonts w:hint="default" w:ascii="Times New Roman" w:hAnsi="Times New Roman" w:eastAsia="宋体" w:cs="Times New Roman"/>
                      <w:color w:val="auto"/>
                      <w:sz w:val="18"/>
                      <w:szCs w:val="18"/>
                      <w:highlight w:val="none"/>
                      <w:lang w:eastAsia="zh-CN"/>
                    </w:rPr>
                    <w:t>、《河南关于建立“两高”项目会商联审机制的通知》，本项目不属于“两高”类项目</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491"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污染物排放管控</w:t>
                  </w:r>
                </w:p>
              </w:tc>
              <w:tc>
                <w:tcPr>
                  <w:tcW w:w="2553"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firstLine="360" w:firstLineChars="20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r>
                    <w:rPr>
                      <w:rFonts w:hint="eastAsia"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新、改、扩建项目主要污染物排放要求满足当地总量减排要求。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firstLine="360" w:firstLineChars="20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w:t>
                  </w:r>
                  <w:r>
                    <w:rPr>
                      <w:rFonts w:hint="eastAsia"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卫河、共产主义渠、文岩渠保持Ⅴ类指标，黄庄河、西柳青河达到Ⅳ类指标，天然渠、人民胜利渠达到Ⅲ类指标；城市集中式饮用水水源地取水水质达标率达到100%；地下水质量考核点位水质级别保持稳定；确保完成国家水质考核目标。全市建成区全面消除黑臭水体，县（市）建成区基本完成黑臭水体整治任务。重点治理市域内卫河、共产主义渠、东孟姜女河等海河流域河流，以及西柳青河、天然渠、文岩渠等黄河流域河流，全面开展清河行动、实施河道清淤、规范入河排污口管理，统筹推进水污染综合整治及水生态保护修复，提升河流自净能力，建立生态调水长效机制，保障河流水质稳定达标。禁止以任何方式直接向水功能区要求为Ⅱ类的水体和地表水型集中式生活饮用水水源保护区内的水体排放污水；污水排入黄河干流、黄河一级支流和涉及Ⅲ类水功能区要求的其它水体时，执行一级标准；污水排入除上述水体以外的其它河流、湖泊、水库、运河、渠道、湿地、坑塘、蓄滞洪区等地表水体时，执行二级标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firstLine="360" w:firstLineChars="20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eastAsia"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firstLine="360" w:firstLineChars="20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w:t>
                  </w:r>
                  <w:r>
                    <w:rPr>
                      <w:rFonts w:hint="eastAsia"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新建“两高”项目应按照《关于加强重点行业建设项目区域削减措施监督管理的通知》（环办环评〔2020〕36号）要求，依据区域环境质量改善目标，制定配套区域污染物削减方案，采取有效的污染物区域削减措施，腾出足够的环境容量。国家大气污染防治重点区域内新建耗煤项目还应严格按规定采取煤炭消费减量替代措施，不得使用高污染燃料作为煤炭减量替代措施。</w:t>
                  </w:r>
                </w:p>
              </w:tc>
              <w:tc>
                <w:tcPr>
                  <w:tcW w:w="1955"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1、项目属于</w:t>
                  </w:r>
                  <w:r>
                    <w:rPr>
                      <w:rFonts w:hint="eastAsia" w:cs="Times New Roman"/>
                      <w:i w:val="0"/>
                      <w:iCs w:val="0"/>
                      <w:color w:val="auto"/>
                      <w:kern w:val="0"/>
                      <w:sz w:val="18"/>
                      <w:szCs w:val="18"/>
                      <w:highlight w:val="none"/>
                      <w:u w:val="none"/>
                      <w:lang w:val="en-US" w:eastAsia="zh-CN" w:bidi="ar"/>
                    </w:rPr>
                    <w:t>技术改造项目</w:t>
                  </w:r>
                  <w:r>
                    <w:rPr>
                      <w:rFonts w:hint="default" w:ascii="Times New Roman" w:hAnsi="Times New Roman" w:cs="Times New Roman"/>
                      <w:i w:val="0"/>
                      <w:iCs w:val="0"/>
                      <w:color w:val="auto"/>
                      <w:kern w:val="0"/>
                      <w:sz w:val="18"/>
                      <w:szCs w:val="18"/>
                      <w:highlight w:val="none"/>
                      <w:u w:val="none"/>
                      <w:lang w:val="en-US" w:eastAsia="zh-CN" w:bidi="ar"/>
                    </w:rPr>
                    <w:t>，排放的污染物将按照《新乡市建设项目新增总量指标替代管理指导意见（试行）》的要求进行倍量消减替代。</w:t>
                  </w:r>
                  <w:r>
                    <w:rPr>
                      <w:rFonts w:hint="default" w:ascii="Times New Roman" w:hAnsi="Times New Roman" w:cs="Times New Roman"/>
                      <w:i w:val="0"/>
                      <w:iCs w:val="0"/>
                      <w:color w:val="auto"/>
                      <w:kern w:val="0"/>
                      <w:sz w:val="18"/>
                      <w:szCs w:val="18"/>
                      <w:highlight w:val="none"/>
                      <w:u w:val="none"/>
                      <w:lang w:val="en-US" w:eastAsia="zh-CN" w:bidi="ar"/>
                    </w:rPr>
                    <w:br w:type="textWrapping"/>
                  </w:r>
                  <w:r>
                    <w:rPr>
                      <w:rFonts w:hint="default" w:ascii="Times New Roman" w:hAnsi="Times New Roman" w:cs="Times New Roman"/>
                      <w:i w:val="0"/>
                      <w:iCs w:val="0"/>
                      <w:color w:val="auto"/>
                      <w:kern w:val="0"/>
                      <w:sz w:val="18"/>
                      <w:szCs w:val="18"/>
                      <w:highlight w:val="none"/>
                      <w:u w:val="none"/>
                      <w:lang w:val="en-US" w:eastAsia="zh-CN" w:bidi="ar"/>
                    </w:rPr>
                    <w:t>2、</w:t>
                  </w:r>
                  <w:r>
                    <w:rPr>
                      <w:rFonts w:hint="default" w:ascii="Times New Roman" w:hAnsi="Times New Roman" w:cs="Times New Roman"/>
                      <w:color w:val="auto"/>
                      <w:sz w:val="18"/>
                      <w:szCs w:val="18"/>
                      <w:highlight w:val="none"/>
                      <w:lang w:eastAsia="zh-CN"/>
                    </w:rPr>
                    <w:t>项目外排废水主要为生产废水和生活污水，生活污水经</w:t>
                  </w:r>
                  <w:r>
                    <w:rPr>
                      <w:rFonts w:hint="default" w:ascii="Times New Roman" w:hAnsi="Times New Roman" w:cs="Times New Roman"/>
                      <w:color w:val="auto"/>
                      <w:sz w:val="18"/>
                      <w:szCs w:val="18"/>
                      <w:highlight w:val="none"/>
                      <w:lang w:val="en-US" w:eastAsia="zh-CN"/>
                    </w:rPr>
                    <w:t>化粪池</w:t>
                  </w:r>
                  <w:r>
                    <w:rPr>
                      <w:rFonts w:hint="default" w:ascii="Times New Roman" w:hAnsi="Times New Roman" w:cs="Times New Roman"/>
                      <w:color w:val="auto"/>
                      <w:sz w:val="18"/>
                      <w:szCs w:val="18"/>
                      <w:highlight w:val="none"/>
                      <w:lang w:eastAsia="zh-CN"/>
                    </w:rPr>
                    <w:t>处理，生产废水经设置“沉淀池</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eastAsia="zh-CN"/>
                    </w:rPr>
                    <w:t>混凝沉淀池”处理，废水</w:t>
                  </w:r>
                  <w:r>
                    <w:rPr>
                      <w:rFonts w:hint="eastAsia" w:ascii="Times New Roman" w:hAnsi="Times New Roman" w:cs="Times New Roman"/>
                      <w:color w:val="auto"/>
                      <w:sz w:val="18"/>
                      <w:szCs w:val="18"/>
                      <w:highlight w:val="none"/>
                      <w:lang w:eastAsia="zh-CN"/>
                    </w:rPr>
                    <w:t>均</w:t>
                  </w:r>
                  <w:r>
                    <w:rPr>
                      <w:rFonts w:hint="default" w:ascii="Times New Roman" w:hAnsi="Times New Roman" w:cs="Times New Roman"/>
                      <w:color w:val="auto"/>
                      <w:sz w:val="18"/>
                      <w:szCs w:val="18"/>
                      <w:highlight w:val="none"/>
                      <w:lang w:eastAsia="zh-CN"/>
                    </w:rPr>
                    <w:t>通过</w:t>
                  </w:r>
                  <w:r>
                    <w:rPr>
                      <w:rFonts w:hint="eastAsia" w:ascii="Times New Roman" w:hAnsi="Times New Roman" w:cs="Times New Roman"/>
                      <w:color w:val="auto"/>
                      <w:sz w:val="18"/>
                      <w:szCs w:val="18"/>
                      <w:highlight w:val="none"/>
                      <w:lang w:eastAsia="zh-CN"/>
                    </w:rPr>
                    <w:t>厂区总排口排入区域污水管网，后经</w:t>
                  </w:r>
                  <w:r>
                    <w:rPr>
                      <w:rFonts w:hint="default" w:ascii="Times New Roman" w:hAnsi="Times New Roman" w:cs="Times New Roman"/>
                      <w:color w:val="auto"/>
                      <w:sz w:val="18"/>
                      <w:szCs w:val="18"/>
                      <w:highlight w:val="none"/>
                      <w:lang w:eastAsia="zh-CN"/>
                    </w:rPr>
                    <w:t>新乡县综合污水处理厂处理，不会对周围水环境造成影响</w:t>
                  </w:r>
                  <w:r>
                    <w:rPr>
                      <w:rFonts w:hint="default" w:ascii="Times New Roman" w:hAnsi="Times New Roman" w:cs="Times New Roman"/>
                      <w:color w:val="auto"/>
                      <w:sz w:val="18"/>
                      <w:szCs w:val="18"/>
                      <w:highlight w:val="none"/>
                      <w:lang w:val="en-US" w:eastAsia="zh-CN"/>
                    </w:rPr>
                    <w:t>。项目生产过程不会对周围地表水体造成较大影响；</w:t>
                  </w:r>
                  <w:r>
                    <w:rPr>
                      <w:rFonts w:hint="default" w:ascii="Times New Roman" w:hAnsi="Times New Roman" w:cs="Times New Roman"/>
                      <w:color w:val="auto"/>
                      <w:sz w:val="18"/>
                      <w:szCs w:val="18"/>
                      <w:highlight w:val="cyan"/>
                      <w:lang w:val="en-US" w:eastAsia="zh-CN"/>
                    </w:rPr>
                    <w:br w:type="textWrapping"/>
                  </w:r>
                  <w:r>
                    <w:rPr>
                      <w:rFonts w:hint="default" w:ascii="Times New Roman" w:hAnsi="Times New Roman" w:cs="Times New Roman"/>
                      <w:color w:val="auto"/>
                      <w:sz w:val="18"/>
                      <w:szCs w:val="18"/>
                      <w:highlight w:val="none"/>
                      <w:lang w:val="en-US" w:eastAsia="zh-CN"/>
                    </w:rPr>
                    <w:t>4、项目新增</w:t>
                  </w:r>
                  <w:r>
                    <w:rPr>
                      <w:rFonts w:hint="default" w:ascii="Times New Roman" w:hAnsi="Times New Roman" w:cs="Times New Roman"/>
                      <w:i w:val="0"/>
                      <w:iCs w:val="0"/>
                      <w:color w:val="auto"/>
                      <w:kern w:val="0"/>
                      <w:sz w:val="18"/>
                      <w:szCs w:val="18"/>
                      <w:highlight w:val="none"/>
                      <w:u w:val="none"/>
                      <w:lang w:val="en-US" w:eastAsia="zh-CN" w:bidi="ar"/>
                    </w:rPr>
                    <w:t>污染物将按照《新乡市建设项目新增总量指标替代管理指导意见（试行）》的要求进行倍量消减替代。</w:t>
                  </w:r>
                  <w:r>
                    <w:rPr>
                      <w:rFonts w:hint="default" w:ascii="Times New Roman" w:hAnsi="Times New Roman" w:cs="Times New Roman"/>
                      <w:i w:val="0"/>
                      <w:iCs w:val="0"/>
                      <w:color w:val="auto"/>
                      <w:kern w:val="0"/>
                      <w:sz w:val="18"/>
                      <w:szCs w:val="18"/>
                      <w:highlight w:val="none"/>
                      <w:u w:val="none"/>
                      <w:lang w:val="en-US" w:eastAsia="zh-CN" w:bidi="ar"/>
                    </w:rPr>
                    <w:br w:type="textWrapping"/>
                  </w:r>
                  <w:r>
                    <w:rPr>
                      <w:rFonts w:hint="default" w:ascii="Times New Roman" w:hAnsi="Times New Roman" w:cs="Times New Roman"/>
                      <w:i w:val="0"/>
                      <w:iCs w:val="0"/>
                      <w:color w:val="auto"/>
                      <w:kern w:val="0"/>
                      <w:sz w:val="18"/>
                      <w:szCs w:val="18"/>
                      <w:highlight w:val="none"/>
                      <w:u w:val="none"/>
                      <w:lang w:val="en-US" w:eastAsia="zh-CN" w:bidi="ar"/>
                    </w:rPr>
                    <w:t>6、</w:t>
                  </w:r>
                  <w:r>
                    <w:rPr>
                      <w:rFonts w:hint="default" w:ascii="Times New Roman" w:hAnsi="Times New Roman" w:eastAsia="宋体" w:cs="Times New Roman"/>
                      <w:color w:val="auto"/>
                      <w:sz w:val="18"/>
                      <w:szCs w:val="18"/>
                      <w:highlight w:val="none"/>
                      <w:lang w:eastAsia="zh-CN"/>
                    </w:rPr>
                    <w:t>经对照</w:t>
                  </w:r>
                  <w:r>
                    <w:rPr>
                      <w:rFonts w:hint="default" w:ascii="Times New Roman" w:hAnsi="Times New Roman" w:eastAsia="宋体" w:cs="Times New Roman"/>
                      <w:color w:val="auto"/>
                      <w:sz w:val="18"/>
                      <w:szCs w:val="18"/>
                      <w:highlight w:val="none"/>
                    </w:rPr>
                    <w:t>《关于加强高耗能、高排放建设项目生态环境源头防控的指导意见》</w:t>
                  </w:r>
                  <w:r>
                    <w:rPr>
                      <w:rFonts w:hint="default" w:ascii="Times New Roman" w:hAnsi="Times New Roman" w:eastAsia="宋体" w:cs="Times New Roman"/>
                      <w:color w:val="auto"/>
                      <w:sz w:val="18"/>
                      <w:szCs w:val="18"/>
                      <w:highlight w:val="none"/>
                      <w:lang w:eastAsia="zh-CN"/>
                    </w:rPr>
                    <w:t>、《河南关于建立“两高”项目会商联审机制的通知》，本项目不属于“两高”类项目</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54" w:hRule="atLeast"/>
                <w:jc w:val="center"/>
              </w:trPr>
              <w:tc>
                <w:tcPr>
                  <w:tcW w:w="491"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资源开发效率要求</w:t>
                  </w:r>
                </w:p>
              </w:tc>
              <w:tc>
                <w:tcPr>
                  <w:tcW w:w="2553"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firstLine="360" w:firstLineChars="20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r>
                    <w:rPr>
                      <w:rFonts w:hint="eastAsia"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“十四五”期间按照政府目标控制能耗增量指标。鼓励使用清洁燃料，重点区域建设项目原则上不新建燃煤自备锅炉。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firstLine="360" w:firstLineChars="20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2</w:t>
                  </w:r>
                  <w:r>
                    <w:rPr>
                      <w:rFonts w:hint="eastAsia"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开展高耗水工业行业节水技术改造，大力推广工业水循环利用，推进节水型企业、节水型工业园区建设。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Chars="0" w:firstLine="360" w:firstLineChars="200"/>
                    <w:jc w:val="left"/>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eastAsia"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按照合理有序使用地表水、控制使用地下水、积极利用非常规水源的要求，做好区域水资源统筹调配，逐步降低区域内的水资源开发利用强度，退减被挤占的生态用水，2030年全市浅层地下水开采控制在57390万立方米。</w:t>
                  </w:r>
                </w:p>
              </w:tc>
              <w:tc>
                <w:tcPr>
                  <w:tcW w:w="1955"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1、本项目无新增锅炉。</w:t>
                  </w:r>
                  <w:r>
                    <w:rPr>
                      <w:rFonts w:hint="default" w:ascii="Times New Roman" w:hAnsi="Times New Roman" w:cs="Times New Roman"/>
                      <w:i w:val="0"/>
                      <w:iCs w:val="0"/>
                      <w:color w:val="auto"/>
                      <w:kern w:val="0"/>
                      <w:sz w:val="18"/>
                      <w:szCs w:val="18"/>
                      <w:highlight w:val="none"/>
                      <w:u w:val="none"/>
                      <w:lang w:val="en-US" w:eastAsia="zh-CN" w:bidi="ar"/>
                    </w:rPr>
                    <w:br w:type="textWrapping"/>
                  </w:r>
                  <w:r>
                    <w:rPr>
                      <w:rFonts w:hint="default" w:ascii="Times New Roman" w:hAnsi="Times New Roman" w:cs="Times New Roman"/>
                      <w:i w:val="0"/>
                      <w:iCs w:val="0"/>
                      <w:color w:val="auto"/>
                      <w:kern w:val="0"/>
                      <w:sz w:val="18"/>
                      <w:szCs w:val="18"/>
                      <w:highlight w:val="none"/>
                      <w:u w:val="none"/>
                      <w:lang w:val="en-US" w:eastAsia="zh-CN" w:bidi="ar"/>
                    </w:rPr>
                    <w:t>2、本项目</w:t>
                  </w:r>
                  <w:r>
                    <w:rPr>
                      <w:rFonts w:hint="default" w:ascii="Times New Roman" w:hAnsi="Times New Roman" w:cs="Times New Roman"/>
                      <w:color w:val="auto"/>
                      <w:sz w:val="18"/>
                      <w:szCs w:val="18"/>
                      <w:highlight w:val="none"/>
                      <w:lang w:eastAsia="zh-CN"/>
                    </w:rPr>
                    <w:t>外排废水主要为生产废水和生活污水，生活污水经设置</w:t>
                  </w:r>
                  <w:r>
                    <w:rPr>
                      <w:rFonts w:hint="default" w:ascii="Times New Roman" w:hAnsi="Times New Roman" w:cs="Times New Roman"/>
                      <w:color w:val="auto"/>
                      <w:sz w:val="18"/>
                      <w:szCs w:val="18"/>
                      <w:highlight w:val="none"/>
                      <w:lang w:val="en-US" w:eastAsia="zh-CN"/>
                    </w:rPr>
                    <w:t>化粪池</w:t>
                  </w:r>
                  <w:r>
                    <w:rPr>
                      <w:rFonts w:hint="default" w:ascii="Times New Roman" w:hAnsi="Times New Roman" w:cs="Times New Roman"/>
                      <w:color w:val="auto"/>
                      <w:sz w:val="18"/>
                      <w:szCs w:val="18"/>
                      <w:highlight w:val="none"/>
                      <w:lang w:eastAsia="zh-CN"/>
                    </w:rPr>
                    <w:t>处理，</w:t>
                  </w:r>
                  <w:r>
                    <w:rPr>
                      <w:rFonts w:hint="eastAsia" w:cs="Times New Roman"/>
                      <w:color w:val="auto"/>
                      <w:sz w:val="18"/>
                      <w:szCs w:val="18"/>
                      <w:highlight w:val="none"/>
                      <w:lang w:eastAsia="zh-CN"/>
                    </w:rPr>
                    <w:t>生产过程中</w:t>
                  </w:r>
                  <w:r>
                    <w:rPr>
                      <w:rFonts w:hint="default" w:ascii="Times New Roman" w:hAnsi="Times New Roman" w:cs="Times New Roman"/>
                      <w:color w:val="auto"/>
                      <w:sz w:val="18"/>
                      <w:szCs w:val="18"/>
                      <w:highlight w:val="none"/>
                      <w:lang w:eastAsia="zh-CN"/>
                    </w:rPr>
                    <w:t>下料、磨边、粗磨、精磨冷加工工序冲洗废水经设置沉淀池处理后循环使用，沉淀池内废水每月定期排入混凝沉淀池处理，镀膜前后清洗废水直接排入混凝沉淀池处理，混凝沉淀池处理后废水同软水制备浓水一同经厂区总排口排入区域污水管网，后排入新乡县综合污水处理厂</w:t>
                  </w:r>
                  <w:r>
                    <w:rPr>
                      <w:rFonts w:hint="eastAsia" w:cs="Times New Roman"/>
                      <w:color w:val="auto"/>
                      <w:sz w:val="18"/>
                      <w:szCs w:val="18"/>
                      <w:highlight w:val="none"/>
                      <w:lang w:eastAsia="zh-CN"/>
                    </w:rPr>
                    <w:t>进一步处理</w:t>
                  </w:r>
                  <w:r>
                    <w:rPr>
                      <w:rFonts w:hint="default" w:ascii="Times New Roman" w:hAnsi="Times New Roman" w:cs="Times New Roman"/>
                      <w:color w:val="auto"/>
                      <w:sz w:val="18"/>
                      <w:szCs w:val="18"/>
                      <w:highlight w:val="none"/>
                      <w:lang w:eastAsia="zh-CN"/>
                    </w:rPr>
                    <w:t>，不会对周围水环境造成影响</w:t>
                  </w:r>
                  <w:r>
                    <w:rPr>
                      <w:rFonts w:hint="default" w:ascii="Times New Roman" w:hAnsi="Times New Roman" w:cs="Times New Roman"/>
                      <w:color w:val="auto"/>
                      <w:sz w:val="18"/>
                      <w:szCs w:val="18"/>
                      <w:highlight w:val="none"/>
                      <w:lang w:val="en-US" w:eastAsia="zh-CN"/>
                    </w:rPr>
                    <w:t>；</w:t>
                  </w:r>
                  <w:r>
                    <w:rPr>
                      <w:rFonts w:hint="eastAsia" w:cs="Times New Roman"/>
                      <w:color w:val="auto"/>
                      <w:sz w:val="18"/>
                      <w:szCs w:val="18"/>
                      <w:highlight w:val="none"/>
                      <w:lang w:val="en-US" w:eastAsia="zh-CN"/>
                    </w:rPr>
                    <w:t>项目</w:t>
                  </w:r>
                  <w:r>
                    <w:rPr>
                      <w:rFonts w:hint="eastAsia" w:cs="Times New Roman"/>
                      <w:color w:val="auto"/>
                      <w:sz w:val="18"/>
                      <w:szCs w:val="18"/>
                      <w:highlight w:val="none"/>
                      <w:lang w:eastAsia="zh-CN"/>
                    </w:rPr>
                    <w:t>抛光</w:t>
                  </w:r>
                  <w:r>
                    <w:rPr>
                      <w:rFonts w:hint="default" w:ascii="Times New Roman" w:hAnsi="Times New Roman" w:cs="Times New Roman"/>
                      <w:color w:val="auto"/>
                      <w:sz w:val="18"/>
                      <w:szCs w:val="18"/>
                      <w:highlight w:val="none"/>
                      <w:lang w:eastAsia="zh-CN"/>
                    </w:rPr>
                    <w:t>工序冲洗水均经设置</w:t>
                  </w:r>
                  <w:r>
                    <w:rPr>
                      <w:rFonts w:hint="eastAsia" w:cs="Times New Roman"/>
                      <w:color w:val="auto"/>
                      <w:sz w:val="18"/>
                      <w:szCs w:val="18"/>
                      <w:highlight w:val="none"/>
                      <w:lang w:eastAsia="zh-CN"/>
                    </w:rPr>
                    <w:t>循环储罐</w:t>
                  </w:r>
                  <w:r>
                    <w:rPr>
                      <w:rFonts w:hint="default" w:ascii="Times New Roman" w:hAnsi="Times New Roman" w:cs="Times New Roman"/>
                      <w:color w:val="auto"/>
                      <w:sz w:val="18"/>
                      <w:szCs w:val="18"/>
                      <w:highlight w:val="none"/>
                      <w:lang w:eastAsia="zh-CN"/>
                    </w:rPr>
                    <w:t>处理后，循环使用</w:t>
                  </w:r>
                  <w:r>
                    <w:rPr>
                      <w:rFonts w:hint="default" w:ascii="Times New Roman" w:hAnsi="Times New Roman" w:cs="Times New Roman"/>
                      <w:i w:val="0"/>
                      <w:iCs w:val="0"/>
                      <w:color w:val="auto"/>
                      <w:kern w:val="0"/>
                      <w:sz w:val="18"/>
                      <w:szCs w:val="18"/>
                      <w:highlight w:val="none"/>
                      <w:u w:val="none"/>
                      <w:lang w:val="en-US" w:eastAsia="zh-CN" w:bidi="ar"/>
                    </w:rPr>
                    <w:t>，</w:t>
                  </w:r>
                  <w:r>
                    <w:rPr>
                      <w:rFonts w:hint="eastAsia" w:cs="Times New Roman"/>
                      <w:i w:val="0"/>
                      <w:iCs w:val="0"/>
                      <w:color w:val="auto"/>
                      <w:kern w:val="0"/>
                      <w:sz w:val="18"/>
                      <w:szCs w:val="18"/>
                      <w:highlight w:val="none"/>
                      <w:u w:val="none"/>
                      <w:lang w:val="en-US" w:eastAsia="zh-CN" w:bidi="ar"/>
                    </w:rPr>
                    <w:t>项目</w:t>
                  </w:r>
                  <w:r>
                    <w:rPr>
                      <w:rFonts w:hint="default" w:ascii="Times New Roman" w:hAnsi="Times New Roman" w:cs="Times New Roman"/>
                      <w:i w:val="0"/>
                      <w:iCs w:val="0"/>
                      <w:color w:val="auto"/>
                      <w:kern w:val="0"/>
                      <w:sz w:val="18"/>
                      <w:szCs w:val="18"/>
                      <w:highlight w:val="none"/>
                      <w:u w:val="none"/>
                      <w:lang w:val="en-US" w:eastAsia="zh-CN" w:bidi="ar"/>
                    </w:rPr>
                    <w:t>不属于高耗水项目。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4、项目用水均通过新乡县市政供水管网提供。</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Cs w:val="21"/>
                <w:highlight w:val="cyan"/>
                <w:lang w:eastAsia="zh-CN"/>
              </w:rPr>
            </w:pPr>
            <w:r>
              <w:rPr>
                <w:rFonts w:hint="eastAsia" w:cs="Times New Roman"/>
                <w:color w:val="auto"/>
                <w:kern w:val="0"/>
                <w:szCs w:val="21"/>
                <w:highlight w:val="none"/>
                <w:lang w:eastAsia="zh-CN"/>
              </w:rPr>
              <w:t xml:space="preserve"> </w:t>
            </w:r>
            <w:r>
              <w:rPr>
                <w:rFonts w:hint="eastAsia" w:cs="Times New Roman"/>
                <w:color w:val="auto"/>
                <w:kern w:val="0"/>
                <w:szCs w:val="21"/>
                <w:highlight w:val="none"/>
                <w:lang w:eastAsia="zh-CN"/>
              </w:rPr>
              <w:br w:type="textWrapping"/>
            </w:r>
            <w:r>
              <w:rPr>
                <w:rFonts w:hint="eastAsia" w:cs="Times New Roman"/>
                <w:color w:val="auto"/>
                <w:kern w:val="0"/>
                <w:szCs w:val="21"/>
                <w:highlight w:val="none"/>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r>
              <w:rPr>
                <w:rFonts w:hint="eastAsia" w:cs="Times New Roman"/>
                <w:color w:val="auto"/>
                <w:kern w:val="0"/>
                <w:szCs w:val="21"/>
                <w:highlight w:val="cyan"/>
                <w:lang w:eastAsia="zh-CN"/>
              </w:rPr>
              <w:br w:type="textWrapping"/>
            </w:r>
          </w:p>
        </w:tc>
      </w:tr>
    </w:tbl>
    <w:p>
      <w:pPr>
        <w:spacing w:line="360" w:lineRule="auto"/>
        <w:outlineLvl w:val="0"/>
        <w:rPr>
          <w:rFonts w:hint="default" w:ascii="Times New Roman" w:hAnsi="Times New Roman" w:eastAsia="黑体" w:cs="Times New Roman"/>
          <w:color w:val="auto"/>
          <w:sz w:val="30"/>
          <w:highlight w:val="cyan"/>
        </w:rPr>
        <w:sectPr>
          <w:footerReference r:id="rId5" w:type="default"/>
          <w:pgSz w:w="11906"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eastAsia="黑体" w:cs="Times New Roman"/>
                <w:color w:val="auto"/>
                <w:sz w:val="18"/>
                <w:szCs w:val="18"/>
                <w:highlight w:val="none"/>
                <w:lang w:val="en-US" w:eastAsia="zh-CN"/>
              </w:rPr>
              <w:t>项目与新乡市各县区分区管控单元生态环境准入清单对照情况</w:t>
            </w:r>
          </w:p>
          <w:tbl>
            <w:tblPr>
              <w:tblStyle w:val="22"/>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600"/>
              <w:gridCol w:w="767"/>
              <w:gridCol w:w="609"/>
              <w:gridCol w:w="611"/>
              <w:gridCol w:w="987"/>
              <w:gridCol w:w="4244"/>
              <w:gridCol w:w="39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环境管控单元编码</w:t>
                  </w:r>
                </w:p>
              </w:tc>
              <w:tc>
                <w:tcPr>
                  <w:tcW w:w="22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管控单元分类</w:t>
                  </w:r>
                </w:p>
              </w:tc>
              <w:tc>
                <w:tcPr>
                  <w:tcW w:w="29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环境管控单元名称</w:t>
                  </w:r>
                </w:p>
              </w:tc>
              <w:tc>
                <w:tcPr>
                  <w:tcW w:w="461"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行政区划</w:t>
                  </w:r>
                </w:p>
              </w:tc>
              <w:tc>
                <w:tcPr>
                  <w:tcW w:w="1977" w:type="pct"/>
                  <w:gridSpan w:val="2"/>
                  <w:vMerge w:val="restar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center"/>
                    <w:textAlignment w:val="center"/>
                    <w:rPr>
                      <w:rStyle w:val="70"/>
                      <w:rFonts w:hint="default" w:ascii="Times New Roman" w:hAnsi="Times New Roman" w:eastAsia="宋体" w:cs="Times New Roman"/>
                      <w:b w:val="0"/>
                      <w:bCs w:val="0"/>
                      <w:color w:val="auto"/>
                      <w:sz w:val="18"/>
                      <w:szCs w:val="18"/>
                      <w:highlight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管控要求</w:t>
                  </w:r>
                </w:p>
              </w:tc>
              <w:tc>
                <w:tcPr>
                  <w:tcW w:w="1497" w:type="pct"/>
                  <w:vMerge w:val="restar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center"/>
                    <w:textAlignment w:val="center"/>
                    <w:rPr>
                      <w:rStyle w:val="70"/>
                      <w:rFonts w:hint="default" w:ascii="Times New Roman" w:hAnsi="Times New Roman" w:eastAsia="宋体" w:cs="Times New Roman"/>
                      <w:b w:val="0"/>
                      <w:bCs w:val="0"/>
                      <w:color w:val="auto"/>
                      <w:sz w:val="18"/>
                      <w:szCs w:val="18"/>
                      <w:highlight w:val="none"/>
                      <w:lang w:val="en-US" w:eastAsia="zh-CN" w:bidi="ar"/>
                    </w:rPr>
                  </w:pPr>
                  <w:r>
                    <w:rPr>
                      <w:rFonts w:hint="default" w:ascii="Times New Roman" w:hAnsi="Times New Roman" w:eastAsia="宋体" w:cs="Times New Roman"/>
                      <w:b w:val="0"/>
                      <w:bCs w:val="0"/>
                      <w:color w:val="auto"/>
                      <w:sz w:val="18"/>
                      <w:szCs w:val="18"/>
                      <w:highlight w:val="none"/>
                      <w:lang w:eastAsia="zh-CN"/>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p>
              </w:tc>
              <w:tc>
                <w:tcPr>
                  <w:tcW w:w="22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p>
              </w:tc>
              <w:tc>
                <w:tcPr>
                  <w:tcW w:w="29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p>
              </w:tc>
              <w:tc>
                <w:tcPr>
                  <w:tcW w:w="23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区县</w:t>
                  </w:r>
                </w:p>
              </w:tc>
              <w:tc>
                <w:tcPr>
                  <w:tcW w:w="23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乡镇</w:t>
                  </w:r>
                </w:p>
              </w:tc>
              <w:tc>
                <w:tcPr>
                  <w:tcW w:w="1977" w:type="pct"/>
                  <w:gridSpan w:val="2"/>
                  <w:vMerge w:val="continue"/>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p>
              </w:tc>
              <w:tc>
                <w:tcPr>
                  <w:tcW w:w="1497" w:type="pct"/>
                  <w:vMerge w:val="continue"/>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center"/>
                    <w:textAlignment w:val="center"/>
                    <w:rPr>
                      <w:rStyle w:val="70"/>
                      <w:rFonts w:hint="default" w:ascii="Times New Roman" w:hAnsi="Times New Roman" w:eastAsia="宋体" w:cs="Times New Roman"/>
                      <w:b w:val="0"/>
                      <w:bCs w:val="0"/>
                      <w:color w:val="auto"/>
                      <w:sz w:val="18"/>
                      <w:szCs w:val="18"/>
                      <w:highlight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ZH41072120003</w:t>
                  </w:r>
                </w:p>
              </w:tc>
              <w:tc>
                <w:tcPr>
                  <w:tcW w:w="22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重点管控单元3</w:t>
                  </w:r>
                </w:p>
              </w:tc>
              <w:tc>
                <w:tcPr>
                  <w:tcW w:w="29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新乡县城镇重点单元</w:t>
                  </w:r>
                </w:p>
              </w:tc>
              <w:tc>
                <w:tcPr>
                  <w:tcW w:w="23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新乡县</w:t>
                  </w:r>
                </w:p>
              </w:tc>
              <w:tc>
                <w:tcPr>
                  <w:tcW w:w="23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朗公庙镇、七里营镇、翟坡镇、小冀镇、新乡经济开发区</w:t>
                  </w:r>
                </w:p>
              </w:tc>
              <w:tc>
                <w:tcPr>
                  <w:tcW w:w="3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空间布</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局约束</w:t>
                  </w:r>
                </w:p>
              </w:tc>
              <w:tc>
                <w:tcPr>
                  <w:tcW w:w="1604"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both"/>
                    <w:textAlignment w:val="center"/>
                    <w:rPr>
                      <w:rStyle w:val="70"/>
                      <w:rFonts w:hint="default" w:ascii="Times New Roman" w:hAnsi="Times New Roman" w:eastAsia="宋体" w:cs="Times New Roman"/>
                      <w:color w:val="auto"/>
                      <w:sz w:val="18"/>
                      <w:szCs w:val="18"/>
                      <w:highlight w:val="none"/>
                      <w:lang w:val="en-US" w:eastAsia="zh-CN" w:bidi="ar"/>
                    </w:rPr>
                  </w:pPr>
                  <w:r>
                    <w:rPr>
                      <w:rStyle w:val="70"/>
                      <w:rFonts w:hint="default" w:ascii="Times New Roman" w:hAnsi="Times New Roman" w:eastAsia="宋体" w:cs="Times New Roman"/>
                      <w:color w:val="auto"/>
                      <w:sz w:val="18"/>
                      <w:szCs w:val="18"/>
                      <w:highlight w:val="none"/>
                      <w:lang w:val="en-US" w:eastAsia="zh-CN" w:bidi="ar"/>
                    </w:rPr>
                    <w:t>1、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both"/>
                    <w:textAlignment w:val="center"/>
                    <w:rPr>
                      <w:rStyle w:val="70"/>
                      <w:rFonts w:hint="default" w:ascii="Times New Roman" w:hAnsi="Times New Roman" w:eastAsia="宋体" w:cs="Times New Roman"/>
                      <w:color w:val="auto"/>
                      <w:sz w:val="18"/>
                      <w:szCs w:val="18"/>
                      <w:highlight w:val="none"/>
                      <w:lang w:val="en-US" w:eastAsia="zh-CN" w:bidi="ar"/>
                    </w:rPr>
                  </w:pPr>
                  <w:r>
                    <w:rPr>
                      <w:rStyle w:val="70"/>
                      <w:rFonts w:hint="default" w:ascii="Times New Roman" w:hAnsi="Times New Roman" w:eastAsia="宋体" w:cs="Times New Roman"/>
                      <w:color w:val="auto"/>
                      <w:sz w:val="18"/>
                      <w:szCs w:val="18"/>
                      <w:highlight w:val="none"/>
                      <w:lang w:val="en-US" w:eastAsia="zh-CN" w:bidi="ar"/>
                    </w:rPr>
                    <w:t>2、禁止新建、改建及扩建高排放、高污染项目，包括钢铁、有色、水泥、平板玻璃、建筑陶瓷等行业及其他排放重金属、持久性有机污染物的工业项目等。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both"/>
                    <w:textAlignment w:val="center"/>
                    <w:rPr>
                      <w:rStyle w:val="70"/>
                      <w:rFonts w:hint="default" w:ascii="Times New Roman" w:hAnsi="Times New Roman" w:eastAsia="宋体" w:cs="Times New Roman"/>
                      <w:color w:val="auto"/>
                      <w:sz w:val="18"/>
                      <w:szCs w:val="18"/>
                      <w:highlight w:val="none"/>
                      <w:lang w:val="en-US" w:eastAsia="zh-CN" w:bidi="ar"/>
                    </w:rPr>
                  </w:pPr>
                  <w:r>
                    <w:rPr>
                      <w:rStyle w:val="70"/>
                      <w:rFonts w:hint="default" w:ascii="Times New Roman" w:hAnsi="Times New Roman" w:eastAsia="宋体" w:cs="Times New Roman"/>
                      <w:color w:val="auto"/>
                      <w:sz w:val="18"/>
                      <w:szCs w:val="18"/>
                      <w:highlight w:val="none"/>
                      <w:lang w:val="en-US" w:eastAsia="zh-CN" w:bidi="ar"/>
                    </w:rPr>
                    <w:t>3、对列入疑似污染地块名单的地块，未经土壤污染状况调查确定为未污染地块的，不得进入用地程序，自然资源部门不得核发建设工程规划许可证。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Style w:val="70"/>
                      <w:rFonts w:hint="default" w:ascii="Times New Roman" w:hAnsi="Times New Roman" w:eastAsia="宋体" w:cs="Times New Roman"/>
                      <w:color w:val="auto"/>
                      <w:sz w:val="18"/>
                      <w:szCs w:val="18"/>
                      <w:highlight w:val="none"/>
                      <w:lang w:val="en-US" w:eastAsia="zh-CN" w:bidi="ar"/>
                    </w:rPr>
                    <w:t>4、禁止新、改、扩建“两高”项目。</w:t>
                  </w:r>
                </w:p>
              </w:tc>
              <w:tc>
                <w:tcPr>
                  <w:tcW w:w="1497" w:type="pct"/>
                  <w:tcBorders>
                    <w:tl2br w:val="nil"/>
                    <w:tr2bl w:val="nil"/>
                  </w:tcBorders>
                  <w:noWrap w:val="0"/>
                  <w:vAlign w:val="center"/>
                </w:tcPr>
                <w:p>
                  <w:pPr>
                    <w:pStyle w:val="21"/>
                    <w:keepNext w:val="0"/>
                    <w:keepLines w:val="0"/>
                    <w:pageBreakBefore w:val="0"/>
                    <w:kinsoku/>
                    <w:wordWrap/>
                    <w:overflowPunct/>
                    <w:topLinePunct w:val="0"/>
                    <w:autoSpaceDE/>
                    <w:autoSpaceDN/>
                    <w:bidi w:val="0"/>
                    <w:adjustRightInd/>
                    <w:snapToGrid/>
                    <w:spacing w:after="0" w:line="320" w:lineRule="exact"/>
                    <w:ind w:left="0" w:leftChars="0" w:firstLine="0" w:firstLineChars="0"/>
                    <w:jc w:val="both"/>
                    <w:rPr>
                      <w:rStyle w:val="70"/>
                      <w:rFonts w:hint="default" w:cs="Times New Roman"/>
                      <w:color w:val="auto"/>
                      <w:sz w:val="18"/>
                      <w:szCs w:val="18"/>
                      <w:highlight w:val="none"/>
                      <w:lang w:val="en-US" w:eastAsia="zh-CN" w:bidi="ar"/>
                    </w:rPr>
                  </w:pPr>
                  <w:r>
                    <w:rPr>
                      <w:rFonts w:hint="eastAsia"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lang w:val="en-US" w:eastAsia="zh-CN"/>
                    </w:rPr>
                    <w:t>项目属于</w:t>
                  </w:r>
                  <w:r>
                    <w:rPr>
                      <w:rFonts w:hint="eastAsia" w:cs="Times New Roman"/>
                      <w:color w:val="auto"/>
                      <w:sz w:val="18"/>
                      <w:szCs w:val="18"/>
                      <w:highlight w:val="none"/>
                      <w:lang w:val="en-US" w:eastAsia="zh-CN"/>
                    </w:rPr>
                    <w:t>光学玻璃制造</w:t>
                  </w:r>
                  <w:r>
                    <w:rPr>
                      <w:rFonts w:hint="default" w:ascii="Times New Roman" w:hAnsi="Times New Roman" w:eastAsia="宋体" w:cs="Times New Roman"/>
                      <w:color w:val="auto"/>
                      <w:sz w:val="18"/>
                      <w:szCs w:val="18"/>
                      <w:highlight w:val="none"/>
                      <w:lang w:val="en-US" w:eastAsia="zh-CN"/>
                    </w:rPr>
                    <w:t>项目，不属于</w:t>
                  </w:r>
                  <w:r>
                    <w:rPr>
                      <w:rStyle w:val="70"/>
                      <w:rFonts w:hint="default" w:ascii="Times New Roman" w:hAnsi="Times New Roman" w:eastAsia="宋体" w:cs="Times New Roman"/>
                      <w:color w:val="auto"/>
                      <w:sz w:val="18"/>
                      <w:szCs w:val="18"/>
                      <w:highlight w:val="none"/>
                      <w:lang w:val="en-US" w:eastAsia="zh-CN" w:bidi="ar"/>
                    </w:rPr>
                    <w:t>石化、焦化、制药、油漆、塑料、橡胶、造纸、饲料等易产生恶臭气体的生产项目或者从事其他产生恶臭气体的生产经营活动项目</w:t>
                  </w:r>
                  <w:r>
                    <w:rPr>
                      <w:rStyle w:val="70"/>
                      <w:rFonts w:hint="eastAsia" w:cs="Times New Roman"/>
                      <w:color w:val="auto"/>
                      <w:sz w:val="18"/>
                      <w:szCs w:val="18"/>
                      <w:highlight w:val="none"/>
                      <w:lang w:val="en-US" w:eastAsia="zh-CN" w:bidi="ar"/>
                    </w:rPr>
                    <w:t>；</w:t>
                  </w:r>
                </w:p>
                <w:p>
                  <w:pPr>
                    <w:pStyle w:val="21"/>
                    <w:keepNext w:val="0"/>
                    <w:keepLines w:val="0"/>
                    <w:pageBreakBefore w:val="0"/>
                    <w:kinsoku/>
                    <w:wordWrap/>
                    <w:overflowPunct/>
                    <w:topLinePunct w:val="0"/>
                    <w:autoSpaceDE/>
                    <w:autoSpaceDN/>
                    <w:bidi w:val="0"/>
                    <w:adjustRightInd/>
                    <w:snapToGrid/>
                    <w:spacing w:after="0" w:line="320" w:lineRule="exact"/>
                    <w:ind w:left="0" w:leftChars="0" w:firstLine="0" w:firstLineChars="0"/>
                    <w:jc w:val="both"/>
                    <w:rPr>
                      <w:rStyle w:val="70"/>
                      <w:rFonts w:hint="eastAsia" w:cs="Times New Roman"/>
                      <w:color w:val="auto"/>
                      <w:sz w:val="18"/>
                      <w:szCs w:val="18"/>
                      <w:highlight w:val="none"/>
                      <w:lang w:val="en-US" w:eastAsia="zh-CN" w:bidi="ar"/>
                    </w:rPr>
                  </w:pPr>
                  <w:r>
                    <w:rPr>
                      <w:rStyle w:val="70"/>
                      <w:rFonts w:hint="default" w:ascii="Times New Roman" w:hAnsi="Times New Roman" w:eastAsia="宋体" w:cs="Times New Roman"/>
                      <w:color w:val="auto"/>
                      <w:sz w:val="18"/>
                      <w:szCs w:val="18"/>
                      <w:highlight w:val="none"/>
                      <w:lang w:val="en-US" w:eastAsia="zh-CN" w:bidi="ar"/>
                    </w:rPr>
                    <w:t>2、项目不属于钢铁、有色、水泥、平板玻璃、建筑陶瓷等行业及其他排放重金属、持久性有机污染物的工业项目</w:t>
                  </w:r>
                  <w:r>
                    <w:rPr>
                      <w:rStyle w:val="70"/>
                      <w:rFonts w:hint="eastAsia" w:cs="Times New Roman"/>
                      <w:color w:val="auto"/>
                      <w:sz w:val="18"/>
                      <w:szCs w:val="18"/>
                      <w:highlight w:val="none"/>
                      <w:lang w:val="en-US" w:eastAsia="zh-CN" w:bidi="ar"/>
                    </w:rPr>
                    <w:t>；</w:t>
                  </w:r>
                </w:p>
                <w:p>
                  <w:pPr>
                    <w:pStyle w:val="21"/>
                    <w:keepNext w:val="0"/>
                    <w:keepLines w:val="0"/>
                    <w:pageBreakBefore w:val="0"/>
                    <w:kinsoku/>
                    <w:wordWrap/>
                    <w:overflowPunct/>
                    <w:topLinePunct w:val="0"/>
                    <w:autoSpaceDE/>
                    <w:autoSpaceDN/>
                    <w:bidi w:val="0"/>
                    <w:adjustRightInd/>
                    <w:snapToGrid/>
                    <w:spacing w:after="0" w:line="320" w:lineRule="exact"/>
                    <w:ind w:left="0" w:leftChars="0" w:firstLine="0" w:firstLineChars="0"/>
                    <w:jc w:val="both"/>
                    <w:rPr>
                      <w:rStyle w:val="70"/>
                      <w:rFonts w:hint="default" w:ascii="Times New Roman" w:hAnsi="Times New Roman" w:eastAsia="宋体" w:cs="Times New Roman"/>
                      <w:color w:val="auto"/>
                      <w:sz w:val="18"/>
                      <w:szCs w:val="18"/>
                      <w:highlight w:val="none"/>
                      <w:lang w:val="en-US" w:eastAsia="zh-CN" w:bidi="ar"/>
                    </w:rPr>
                  </w:pPr>
                  <w:r>
                    <w:rPr>
                      <w:rStyle w:val="70"/>
                      <w:rFonts w:hint="default" w:ascii="Times New Roman" w:hAnsi="Times New Roman" w:eastAsia="宋体" w:cs="Times New Roman"/>
                      <w:color w:val="auto"/>
                      <w:sz w:val="18"/>
                      <w:szCs w:val="18"/>
                      <w:highlight w:val="none"/>
                      <w:lang w:val="en-US" w:eastAsia="zh-CN" w:bidi="ar"/>
                    </w:rPr>
                    <w:t>3、项目于现有厂区内进行技术改造，不新增占地，用地不在污染地块之列；</w:t>
                  </w:r>
                </w:p>
                <w:p>
                  <w:pPr>
                    <w:pStyle w:val="21"/>
                    <w:keepNext w:val="0"/>
                    <w:keepLines w:val="0"/>
                    <w:pageBreakBefore w:val="0"/>
                    <w:kinsoku/>
                    <w:wordWrap/>
                    <w:overflowPunct/>
                    <w:topLinePunct w:val="0"/>
                    <w:autoSpaceDE/>
                    <w:autoSpaceDN/>
                    <w:bidi w:val="0"/>
                    <w:adjustRightInd/>
                    <w:snapToGrid/>
                    <w:spacing w:after="0" w:line="320" w:lineRule="exact"/>
                    <w:ind w:left="0" w:leftChars="0" w:firstLine="0" w:firstLineChars="0"/>
                    <w:jc w:val="both"/>
                    <w:rPr>
                      <w:rFonts w:hint="default" w:ascii="Times New Roman" w:hAnsi="Times New Roman" w:eastAsia="宋体" w:cs="Times New Roman"/>
                      <w:color w:val="auto"/>
                      <w:sz w:val="18"/>
                      <w:szCs w:val="18"/>
                      <w:highlight w:val="none"/>
                      <w:lang w:val="en-US" w:eastAsia="zh-CN"/>
                    </w:rPr>
                  </w:pPr>
                  <w:r>
                    <w:rPr>
                      <w:rStyle w:val="70"/>
                      <w:rFonts w:hint="default" w:ascii="Times New Roman" w:hAnsi="Times New Roman" w:eastAsia="宋体" w:cs="Times New Roman"/>
                      <w:color w:val="auto"/>
                      <w:sz w:val="18"/>
                      <w:szCs w:val="18"/>
                      <w:highlight w:val="none"/>
                      <w:lang w:val="en-US" w:eastAsia="zh-CN" w:bidi="ar"/>
                    </w:rPr>
                    <w:t>4、经对照《关于加强高耗能、高排放建设项目生态环境源头防控的指导意见》、《河南关于建立“两高”项目会商联审机制的通知》，本项目不属于“两高”类项目</w:t>
                  </w:r>
                  <w:r>
                    <w:rPr>
                      <w:rStyle w:val="70"/>
                      <w:rFonts w:hint="default" w:ascii="Times New Roman" w:hAnsi="Times New Roman" w:cs="Times New Roman"/>
                      <w:color w:val="auto"/>
                      <w:sz w:val="18"/>
                      <w:szCs w:val="18"/>
                      <w:highlight w:val="none"/>
                      <w:lang w:val="en-US" w:eastAsia="zh-CN"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i w:val="0"/>
                      <w:iCs w:val="0"/>
                      <w:color w:val="auto"/>
                      <w:sz w:val="18"/>
                      <w:szCs w:val="18"/>
                      <w:highlight w:val="none"/>
                      <w:u w:val="none"/>
                    </w:rPr>
                  </w:pPr>
                </w:p>
              </w:tc>
              <w:tc>
                <w:tcPr>
                  <w:tcW w:w="22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i w:val="0"/>
                      <w:iCs w:val="0"/>
                      <w:color w:val="auto"/>
                      <w:sz w:val="18"/>
                      <w:szCs w:val="18"/>
                      <w:highlight w:val="none"/>
                      <w:u w:val="none"/>
                    </w:rPr>
                  </w:pPr>
                </w:p>
              </w:tc>
              <w:tc>
                <w:tcPr>
                  <w:tcW w:w="29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i w:val="0"/>
                      <w:iCs w:val="0"/>
                      <w:color w:val="auto"/>
                      <w:sz w:val="18"/>
                      <w:szCs w:val="18"/>
                      <w:highlight w:val="none"/>
                      <w:u w:val="none"/>
                    </w:rPr>
                  </w:pPr>
                </w:p>
              </w:tc>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i w:val="0"/>
                      <w:iCs w:val="0"/>
                      <w:color w:val="auto"/>
                      <w:sz w:val="18"/>
                      <w:szCs w:val="18"/>
                      <w:highlight w:val="none"/>
                      <w:u w:val="none"/>
                    </w:rPr>
                  </w:pPr>
                </w:p>
              </w:tc>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i w:val="0"/>
                      <w:iCs w:val="0"/>
                      <w:color w:val="auto"/>
                      <w:sz w:val="18"/>
                      <w:szCs w:val="18"/>
                      <w:highlight w:val="none"/>
                      <w:u w:val="none"/>
                    </w:rPr>
                  </w:pPr>
                </w:p>
              </w:tc>
              <w:tc>
                <w:tcPr>
                  <w:tcW w:w="3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污染物</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排放管控</w:t>
                  </w:r>
                </w:p>
              </w:tc>
              <w:tc>
                <w:tcPr>
                  <w:tcW w:w="1604"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both"/>
                    <w:textAlignment w:val="center"/>
                    <w:rPr>
                      <w:rStyle w:val="70"/>
                      <w:rFonts w:hint="default" w:ascii="Times New Roman" w:hAnsi="Times New Roman" w:eastAsia="宋体" w:cs="Times New Roman"/>
                      <w:color w:val="auto"/>
                      <w:sz w:val="18"/>
                      <w:szCs w:val="18"/>
                      <w:highlight w:val="none"/>
                      <w:lang w:val="en-US" w:eastAsia="zh-CN" w:bidi="ar"/>
                    </w:rPr>
                  </w:pPr>
                  <w:r>
                    <w:rPr>
                      <w:rStyle w:val="70"/>
                      <w:rFonts w:hint="default" w:ascii="Times New Roman" w:hAnsi="Times New Roman" w:eastAsia="宋体" w:cs="Times New Roman"/>
                      <w:color w:val="auto"/>
                      <w:sz w:val="18"/>
                      <w:szCs w:val="18"/>
                      <w:highlight w:val="none"/>
                      <w:lang w:val="en-US" w:eastAsia="zh-CN" w:bidi="ar"/>
                    </w:rPr>
                    <w:t>1、二氧化硫、氮氧化物、颗粒物、VOCs全面执行大气污染物特别排放限值。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both"/>
                    <w:textAlignment w:val="center"/>
                    <w:rPr>
                      <w:rStyle w:val="70"/>
                      <w:rFonts w:hint="default" w:ascii="Times New Roman" w:hAnsi="Times New Roman" w:eastAsia="宋体" w:cs="Times New Roman"/>
                      <w:color w:val="auto"/>
                      <w:sz w:val="18"/>
                      <w:szCs w:val="18"/>
                      <w:highlight w:val="none"/>
                      <w:lang w:val="en-US" w:eastAsia="zh-CN" w:bidi="ar"/>
                    </w:rPr>
                  </w:pPr>
                  <w:r>
                    <w:rPr>
                      <w:rStyle w:val="70"/>
                      <w:rFonts w:hint="default" w:ascii="Times New Roman" w:hAnsi="Times New Roman" w:eastAsia="宋体" w:cs="Times New Roman"/>
                      <w:color w:val="auto"/>
                      <w:sz w:val="18"/>
                      <w:szCs w:val="18"/>
                      <w:highlight w:val="none"/>
                      <w:lang w:val="en-US" w:eastAsia="zh-CN" w:bidi="ar"/>
                    </w:rPr>
                    <w:t>2、加强柴油车NOx排放监管，严格实施非道路移动机械排放标准，推进重点场所清洁能源机械替代。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Style w:val="70"/>
                      <w:rFonts w:hint="default" w:ascii="Times New Roman" w:hAnsi="Times New Roman" w:eastAsia="宋体" w:cs="Times New Roman"/>
                      <w:color w:val="auto"/>
                      <w:sz w:val="18"/>
                      <w:szCs w:val="18"/>
                      <w:highlight w:val="none"/>
                      <w:lang w:val="en-US" w:eastAsia="zh-CN" w:bidi="ar"/>
                    </w:rPr>
                    <w:t>3、禁止含重金属废水进入城市生活污水处理厂。</w:t>
                  </w:r>
                </w:p>
              </w:tc>
              <w:tc>
                <w:tcPr>
                  <w:tcW w:w="1497" w:type="pct"/>
                  <w:tcBorders>
                    <w:tl2br w:val="nil"/>
                    <w:tr2bl w:val="nil"/>
                  </w:tcBorders>
                  <w:noWrap w:val="0"/>
                  <w:vAlign w:val="center"/>
                </w:tcPr>
                <w:p>
                  <w:pPr>
                    <w:pStyle w:val="21"/>
                    <w:keepNext w:val="0"/>
                    <w:keepLines w:val="0"/>
                    <w:pageBreakBefore w:val="0"/>
                    <w:kinsoku/>
                    <w:wordWrap/>
                    <w:overflowPunct/>
                    <w:topLinePunct w:val="0"/>
                    <w:autoSpaceDE/>
                    <w:autoSpaceDN/>
                    <w:bidi w:val="0"/>
                    <w:adjustRightInd/>
                    <w:snapToGrid/>
                    <w:spacing w:after="0" w:line="320" w:lineRule="exact"/>
                    <w:ind w:left="0" w:leftChars="0" w:firstLine="0" w:firstLineChars="0"/>
                    <w:jc w:val="left"/>
                    <w:rPr>
                      <w:rStyle w:val="70"/>
                      <w:rFonts w:hint="default" w:ascii="Times New Roman" w:hAnsi="Times New Roman" w:eastAsia="宋体" w:cs="Times New Roman"/>
                      <w:color w:val="auto"/>
                      <w:sz w:val="18"/>
                      <w:szCs w:val="18"/>
                      <w:highlight w:val="none"/>
                      <w:lang w:val="en-US" w:eastAsia="zh-CN" w:bidi="ar"/>
                    </w:rPr>
                  </w:pPr>
                  <w:r>
                    <w:rPr>
                      <w:rFonts w:hint="default" w:ascii="Times New Roman" w:hAnsi="Times New Roman" w:eastAsia="宋体" w:cs="Times New Roman"/>
                      <w:color w:val="auto"/>
                      <w:sz w:val="18"/>
                      <w:szCs w:val="18"/>
                      <w:highlight w:val="none"/>
                      <w:lang w:val="en-US" w:eastAsia="zh-CN"/>
                    </w:rPr>
                    <w:t>1、项目生产过程不涉及</w:t>
                  </w:r>
                  <w:r>
                    <w:rPr>
                      <w:rStyle w:val="70"/>
                      <w:rFonts w:hint="default" w:ascii="Times New Roman" w:hAnsi="Times New Roman" w:eastAsia="宋体" w:cs="Times New Roman"/>
                      <w:color w:val="auto"/>
                      <w:sz w:val="18"/>
                      <w:szCs w:val="18"/>
                      <w:highlight w:val="none"/>
                      <w:lang w:val="en-US" w:eastAsia="zh-CN" w:bidi="ar"/>
                    </w:rPr>
                    <w:t>二氧化硫、氮氧化物、颗粒物、VOCs废气排放；</w:t>
                  </w:r>
                </w:p>
                <w:p>
                  <w:pPr>
                    <w:pStyle w:val="21"/>
                    <w:keepNext w:val="0"/>
                    <w:keepLines w:val="0"/>
                    <w:pageBreakBefore w:val="0"/>
                    <w:kinsoku/>
                    <w:wordWrap/>
                    <w:overflowPunct/>
                    <w:topLinePunct w:val="0"/>
                    <w:autoSpaceDE/>
                    <w:autoSpaceDN/>
                    <w:bidi w:val="0"/>
                    <w:adjustRightInd/>
                    <w:snapToGrid/>
                    <w:spacing w:after="0" w:line="320" w:lineRule="exact"/>
                    <w:ind w:left="0" w:leftChars="0" w:firstLine="0" w:firstLineChars="0"/>
                    <w:jc w:val="left"/>
                    <w:rPr>
                      <w:rStyle w:val="70"/>
                      <w:rFonts w:hint="default" w:ascii="Times New Roman" w:hAnsi="Times New Roman" w:eastAsia="宋体" w:cs="Times New Roman"/>
                      <w:color w:val="auto"/>
                      <w:sz w:val="18"/>
                      <w:szCs w:val="18"/>
                      <w:highlight w:val="none"/>
                      <w:lang w:val="en-US" w:eastAsia="zh-CN" w:bidi="ar"/>
                    </w:rPr>
                  </w:pPr>
                  <w:r>
                    <w:rPr>
                      <w:rStyle w:val="70"/>
                      <w:rFonts w:hint="default" w:ascii="Times New Roman" w:hAnsi="Times New Roman" w:eastAsia="宋体" w:cs="Times New Roman"/>
                      <w:color w:val="auto"/>
                      <w:sz w:val="18"/>
                      <w:szCs w:val="18"/>
                      <w:highlight w:val="none"/>
                      <w:lang w:val="en-US" w:eastAsia="zh-CN" w:bidi="ar"/>
                    </w:rPr>
                    <w:t>2、厂区不涉及使用柴油车辆及非道路移动机械，项目不涉及重金属废水排放；</w:t>
                  </w:r>
                </w:p>
                <w:p>
                  <w:pPr>
                    <w:pStyle w:val="21"/>
                    <w:keepNext w:val="0"/>
                    <w:keepLines w:val="0"/>
                    <w:pageBreakBefore w:val="0"/>
                    <w:kinsoku/>
                    <w:wordWrap/>
                    <w:overflowPunct/>
                    <w:topLinePunct w:val="0"/>
                    <w:autoSpaceDE/>
                    <w:autoSpaceDN/>
                    <w:bidi w:val="0"/>
                    <w:adjustRightInd/>
                    <w:snapToGrid/>
                    <w:spacing w:after="0" w:line="320" w:lineRule="exact"/>
                    <w:ind w:left="0" w:leftChars="0" w:firstLine="0" w:firstLineChars="0"/>
                    <w:jc w:val="left"/>
                    <w:rPr>
                      <w:rFonts w:hint="default" w:ascii="Times New Roman" w:hAnsi="Times New Roman" w:eastAsia="宋体" w:cs="Times New Roman"/>
                      <w:color w:val="auto"/>
                      <w:sz w:val="18"/>
                      <w:szCs w:val="18"/>
                      <w:highlight w:val="none"/>
                      <w:lang w:val="en-US" w:eastAsia="zh-CN"/>
                    </w:rPr>
                  </w:pPr>
                  <w:r>
                    <w:rPr>
                      <w:rStyle w:val="70"/>
                      <w:rFonts w:hint="default" w:ascii="Times New Roman" w:hAnsi="Times New Roman" w:eastAsia="宋体" w:cs="Times New Roman"/>
                      <w:color w:val="auto"/>
                      <w:sz w:val="18"/>
                      <w:szCs w:val="18"/>
                      <w:highlight w:val="none"/>
                      <w:lang w:val="en-US" w:eastAsia="zh-CN" w:bidi="ar"/>
                    </w:rPr>
                    <w:t>3、项目废水不涉及金属污染物</w:t>
                  </w:r>
                  <w:r>
                    <w:rPr>
                      <w:rStyle w:val="70"/>
                      <w:rFonts w:hint="eastAsia" w:ascii="Times New Roman" w:hAnsi="Times New Roman" w:eastAsia="宋体" w:cs="Times New Roman"/>
                      <w:color w:val="auto"/>
                      <w:sz w:val="18"/>
                      <w:szCs w:val="18"/>
                      <w:highlight w:val="none"/>
                      <w:lang w:val="en-US" w:eastAsia="zh-CN"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i w:val="0"/>
                      <w:iCs w:val="0"/>
                      <w:color w:val="auto"/>
                      <w:sz w:val="18"/>
                      <w:szCs w:val="18"/>
                      <w:highlight w:val="none"/>
                      <w:u w:val="none"/>
                    </w:rPr>
                  </w:pPr>
                </w:p>
              </w:tc>
              <w:tc>
                <w:tcPr>
                  <w:tcW w:w="22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i w:val="0"/>
                      <w:iCs w:val="0"/>
                      <w:color w:val="auto"/>
                      <w:sz w:val="18"/>
                      <w:szCs w:val="18"/>
                      <w:highlight w:val="none"/>
                      <w:u w:val="none"/>
                    </w:rPr>
                  </w:pPr>
                </w:p>
              </w:tc>
              <w:tc>
                <w:tcPr>
                  <w:tcW w:w="29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i w:val="0"/>
                      <w:iCs w:val="0"/>
                      <w:color w:val="auto"/>
                      <w:sz w:val="18"/>
                      <w:szCs w:val="18"/>
                      <w:highlight w:val="none"/>
                      <w:u w:val="none"/>
                    </w:rPr>
                  </w:pPr>
                </w:p>
              </w:tc>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i w:val="0"/>
                      <w:iCs w:val="0"/>
                      <w:color w:val="auto"/>
                      <w:sz w:val="18"/>
                      <w:szCs w:val="18"/>
                      <w:highlight w:val="none"/>
                      <w:u w:val="none"/>
                    </w:rPr>
                  </w:pPr>
                </w:p>
              </w:tc>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i w:val="0"/>
                      <w:iCs w:val="0"/>
                      <w:color w:val="auto"/>
                      <w:sz w:val="18"/>
                      <w:szCs w:val="18"/>
                      <w:highlight w:val="none"/>
                      <w:u w:val="none"/>
                    </w:rPr>
                  </w:pPr>
                </w:p>
              </w:tc>
              <w:tc>
                <w:tcPr>
                  <w:tcW w:w="3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环境风</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险防控</w:t>
                  </w:r>
                </w:p>
              </w:tc>
              <w:tc>
                <w:tcPr>
                  <w:tcW w:w="16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Style w:val="70"/>
                      <w:rFonts w:hint="default" w:ascii="Times New Roman" w:hAnsi="Times New Roman" w:eastAsia="宋体" w:cs="Times New Roman"/>
                      <w:color w:val="auto"/>
                      <w:sz w:val="18"/>
                      <w:szCs w:val="18"/>
                      <w:highlight w:val="none"/>
                      <w:lang w:val="en-US" w:eastAsia="zh-CN" w:bidi="ar"/>
                    </w:rPr>
                    <w:t>高关注地块划分污染风险等级，纳入优先管控名录。</w:t>
                  </w:r>
                </w:p>
              </w:tc>
              <w:tc>
                <w:tcPr>
                  <w:tcW w:w="14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项目厂区不属于高关注地块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i w:val="0"/>
                      <w:iCs w:val="0"/>
                      <w:color w:val="auto"/>
                      <w:sz w:val="18"/>
                      <w:szCs w:val="18"/>
                      <w:highlight w:val="none"/>
                      <w:u w:val="none"/>
                    </w:rPr>
                  </w:pPr>
                </w:p>
              </w:tc>
              <w:tc>
                <w:tcPr>
                  <w:tcW w:w="22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i w:val="0"/>
                      <w:iCs w:val="0"/>
                      <w:color w:val="auto"/>
                      <w:sz w:val="18"/>
                      <w:szCs w:val="18"/>
                      <w:highlight w:val="none"/>
                      <w:u w:val="none"/>
                    </w:rPr>
                  </w:pPr>
                </w:p>
              </w:tc>
              <w:tc>
                <w:tcPr>
                  <w:tcW w:w="29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i w:val="0"/>
                      <w:iCs w:val="0"/>
                      <w:color w:val="auto"/>
                      <w:sz w:val="18"/>
                      <w:szCs w:val="18"/>
                      <w:highlight w:val="none"/>
                      <w:u w:val="none"/>
                    </w:rPr>
                  </w:pPr>
                </w:p>
              </w:tc>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i w:val="0"/>
                      <w:iCs w:val="0"/>
                      <w:color w:val="auto"/>
                      <w:sz w:val="18"/>
                      <w:szCs w:val="18"/>
                      <w:highlight w:val="none"/>
                      <w:u w:val="none"/>
                    </w:rPr>
                  </w:pPr>
                </w:p>
              </w:tc>
              <w:tc>
                <w:tcPr>
                  <w:tcW w:w="23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i w:val="0"/>
                      <w:iCs w:val="0"/>
                      <w:color w:val="auto"/>
                      <w:sz w:val="18"/>
                      <w:szCs w:val="18"/>
                      <w:highlight w:val="none"/>
                      <w:u w:val="none"/>
                    </w:rPr>
                  </w:pPr>
                </w:p>
              </w:tc>
              <w:tc>
                <w:tcPr>
                  <w:tcW w:w="3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资源利用效率要求</w:t>
                  </w:r>
                </w:p>
              </w:tc>
              <w:tc>
                <w:tcPr>
                  <w:tcW w:w="16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Style w:val="70"/>
                      <w:rFonts w:hint="default" w:ascii="Times New Roman" w:hAnsi="Times New Roman" w:eastAsia="宋体" w:cs="Times New Roman"/>
                      <w:color w:val="auto"/>
                      <w:sz w:val="18"/>
                      <w:szCs w:val="18"/>
                      <w:highlight w:val="none"/>
                      <w:lang w:val="en-US" w:eastAsia="zh-CN" w:bidi="ar"/>
                    </w:rPr>
                    <w:t>进一步优化能源结构，加快集中供热、供气及配套管网建设。不得新改扩建分散燃煤设施。</w:t>
                  </w:r>
                </w:p>
              </w:tc>
              <w:tc>
                <w:tcPr>
                  <w:tcW w:w="14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jc w:val="left"/>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项目生产工程所用能源为电</w:t>
                  </w:r>
                </w:p>
              </w:tc>
            </w:tr>
          </w:tbl>
          <w:p>
            <w:pPr>
              <w:pStyle w:val="33"/>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baseline"/>
              <w:rPr>
                <w:rFonts w:hint="default" w:ascii="Times New Roman" w:hAnsi="Times New Roman" w:cs="Times New Roman"/>
                <w:color w:val="auto"/>
                <w:highlight w:val="cyan"/>
                <w:lang w:val="en-US" w:eastAsia="zh-CN"/>
              </w:rPr>
            </w:pPr>
            <w:r>
              <w:rPr>
                <w:rFonts w:hint="default" w:ascii="Times New Roman" w:hAnsi="Times New Roman" w:cs="Times New Roman"/>
                <w:color w:val="auto"/>
                <w:sz w:val="21"/>
                <w:szCs w:val="21"/>
                <w:highlight w:val="none"/>
                <w:lang w:val="en-US" w:eastAsia="zh-CN"/>
              </w:rPr>
              <w:t>综上，本项目选址不在当地饮用水源、风景区、自然保护区等生态保护区内，不在环境功能区划等相关文件划定的生态保护红线范围内，满足生态保护红线要求，本项目符合生态环境分区管控要求。项目利用现有工程车间进行技术改造，不新增用地，用水、用电均市政管线提供，符合资源上线要求。</w:t>
            </w:r>
            <w:r>
              <w:rPr>
                <w:rFonts w:hint="default" w:ascii="Times New Roman" w:hAnsi="Times New Roman" w:cs="Times New Roman"/>
                <w:color w:val="auto"/>
                <w:sz w:val="21"/>
                <w:szCs w:val="21"/>
                <w:highlight w:val="none"/>
                <w:lang w:eastAsia="zh-CN"/>
              </w:rPr>
              <w:t>对照《新乡市“三线一单”生态环境准入清单》（试行）和《河南省生态环境分区管控总体要求（试行）》，本项目符合生态环境准入清单要求。综上，本项目符合“三线一单”控制要求。</w:t>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br w:type="textWrapping"/>
            </w:r>
          </w:p>
        </w:tc>
      </w:tr>
    </w:tbl>
    <w:p>
      <w:pPr>
        <w:pStyle w:val="32"/>
        <w:rPr>
          <w:rFonts w:hint="default" w:ascii="Times New Roman" w:hAnsi="Times New Roman" w:cs="Times New Roman"/>
          <w:color w:val="auto"/>
          <w:highlight w:val="cyan"/>
        </w:rPr>
        <w:sectPr>
          <w:pgSz w:w="16838" w:h="11906" w:orient="landscape"/>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18"/>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p>
    <w:tbl>
      <w:tblPr>
        <w:tblStyle w:val="2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3"/>
        <w:gridCol w:w="78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 w:type="pct"/>
            <w:noWrap w:val="0"/>
            <w:vAlign w:val="center"/>
          </w:tcPr>
          <w:p>
            <w:pPr>
              <w:pStyle w:val="18"/>
              <w:adjustRightInd w:val="0"/>
              <w:snapToGrid w:val="0"/>
              <w:spacing w:before="0" w:beforeAutospacing="0" w:after="0" w:afterAutospacing="0"/>
              <w:jc w:val="center"/>
              <w:rPr>
                <w:rFonts w:hint="default" w:ascii="Times New Roman" w:hAnsi="Times New Roman" w:cs="Times New Roman"/>
                <w:color w:val="auto"/>
                <w:sz w:val="21"/>
                <w:szCs w:val="21"/>
                <w:highlight w:val="cyan"/>
              </w:rPr>
            </w:pPr>
            <w:r>
              <w:rPr>
                <w:rFonts w:hint="default" w:ascii="Times New Roman" w:hAnsi="Times New Roman" w:cs="Times New Roman"/>
                <w:color w:val="auto"/>
                <w:sz w:val="21"/>
                <w:szCs w:val="21"/>
                <w:highlight w:val="none"/>
              </w:rPr>
              <w:t>建设内容</w:t>
            </w:r>
          </w:p>
        </w:tc>
        <w:tc>
          <w:tcPr>
            <w:tcW w:w="4610" w:type="pct"/>
            <w:noWrap w:val="0"/>
            <w:vAlign w:val="top"/>
          </w:tcPr>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本项目概况</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jc w:val="both"/>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eastAsia="zh-CN"/>
              </w:rPr>
              <w:t>新乡市百合光电有限公司位于新乡市新乡县新乡经济开发区玉龙路西段，现有工程占地</w:t>
            </w:r>
            <w:r>
              <w:rPr>
                <w:rFonts w:hint="default" w:ascii="Times New Roman" w:hAnsi="Times New Roman" w:cs="Times New Roman"/>
                <w:bCs/>
                <w:color w:val="auto"/>
                <w:kern w:val="0"/>
                <w:sz w:val="21"/>
                <w:szCs w:val="21"/>
                <w:highlight w:val="none"/>
                <w:lang w:val="en-US" w:eastAsia="zh-CN"/>
              </w:rPr>
              <w:t>15000平方米</w:t>
            </w:r>
            <w:r>
              <w:rPr>
                <w:rFonts w:hint="default" w:ascii="Times New Roman" w:hAnsi="Times New Roman" w:cs="Times New Roman"/>
                <w:bCs/>
                <w:color w:val="auto"/>
                <w:kern w:val="0"/>
                <w:sz w:val="21"/>
                <w:szCs w:val="21"/>
                <w:highlight w:val="none"/>
                <w:lang w:eastAsia="zh-CN"/>
              </w:rPr>
              <w:t>，劳动员工</w:t>
            </w:r>
            <w:r>
              <w:rPr>
                <w:rFonts w:hint="default" w:ascii="Times New Roman" w:hAnsi="Times New Roman" w:cs="Times New Roman"/>
                <w:bCs/>
                <w:color w:val="auto"/>
                <w:kern w:val="0"/>
                <w:sz w:val="21"/>
                <w:szCs w:val="21"/>
                <w:highlight w:val="none"/>
                <w:lang w:val="en-US" w:eastAsia="zh-CN"/>
              </w:rPr>
              <w:t>20余人</w:t>
            </w:r>
            <w:r>
              <w:rPr>
                <w:rFonts w:hint="default" w:ascii="Times New Roman" w:hAnsi="Times New Roman" w:cs="Times New Roman"/>
                <w:bCs/>
                <w:color w:val="auto"/>
                <w:kern w:val="0"/>
                <w:sz w:val="21"/>
                <w:szCs w:val="21"/>
                <w:highlight w:val="none"/>
                <w:lang w:eastAsia="zh-CN"/>
              </w:rPr>
              <w:t>，公司现有“年加工真空镀膜光学零件</w:t>
            </w:r>
            <w:r>
              <w:rPr>
                <w:rFonts w:hint="default" w:ascii="Times New Roman" w:hAnsi="Times New Roman" w:cs="Times New Roman"/>
                <w:bCs/>
                <w:color w:val="auto"/>
                <w:kern w:val="0"/>
                <w:sz w:val="21"/>
                <w:szCs w:val="21"/>
                <w:highlight w:val="none"/>
                <w:lang w:val="en-US" w:eastAsia="zh-CN"/>
              </w:rPr>
              <w:t>40万片</w:t>
            </w:r>
            <w:r>
              <w:rPr>
                <w:rFonts w:hint="default" w:ascii="Times New Roman" w:hAnsi="Times New Roman" w:cs="Times New Roman"/>
                <w:bCs/>
                <w:color w:val="auto"/>
                <w:kern w:val="0"/>
                <w:sz w:val="21"/>
                <w:szCs w:val="21"/>
                <w:highlight w:val="none"/>
                <w:lang w:eastAsia="zh-CN"/>
              </w:rPr>
              <w:t>”项目于</w:t>
            </w:r>
            <w:r>
              <w:rPr>
                <w:rFonts w:hint="default" w:ascii="Times New Roman" w:hAnsi="Times New Roman" w:cs="Times New Roman"/>
                <w:bCs/>
                <w:color w:val="auto"/>
                <w:kern w:val="0"/>
                <w:sz w:val="21"/>
                <w:szCs w:val="21"/>
                <w:highlight w:val="none"/>
                <w:lang w:val="en-US" w:eastAsia="zh-CN"/>
              </w:rPr>
              <w:t>2007年7月19日以“新环监（2007）247号”通过新乡市环境保护局审批，并于2007年10月22日以“新环验（2007）53号”完成验收，目前企业已于2020年5月23日进行排污许可登记，登记编号：91410700766208059P001X。公司现具备年产真空镀膜光学零件40万片生产能力。</w:t>
            </w:r>
          </w:p>
          <w:p>
            <w:pPr>
              <w:pStyle w:val="21"/>
              <w:keepNext w:val="0"/>
              <w:keepLines w:val="0"/>
              <w:pageBreakBefore w:val="0"/>
              <w:widowControl w:val="0"/>
              <w:kinsoku/>
              <w:wordWrap/>
              <w:overflowPunct/>
              <w:topLinePunct w:val="0"/>
              <w:bidi w:val="0"/>
              <w:adjustRightInd/>
              <w:snapToGrid/>
              <w:spacing w:after="0" w:line="360" w:lineRule="auto"/>
              <w:ind w:left="0" w:leftChars="0" w:firstLine="420" w:firstLineChars="200"/>
              <w:jc w:val="both"/>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随着各类光学仪器的不断研发和投入使用，配套所需的光学零部件的需求量也日益增大，更为</w:t>
            </w:r>
            <w:r>
              <w:rPr>
                <w:rFonts w:hint="eastAsia" w:cs="Times New Roman"/>
                <w:color w:val="auto"/>
                <w:sz w:val="21"/>
                <w:szCs w:val="21"/>
                <w:highlight w:val="none"/>
                <w:lang w:val="en-US" w:eastAsia="zh-CN"/>
              </w:rPr>
              <w:t>高效</w:t>
            </w:r>
            <w:r>
              <w:rPr>
                <w:rFonts w:hint="default" w:ascii="Times New Roman" w:hAnsi="Times New Roman" w:cs="Times New Roman"/>
                <w:color w:val="auto"/>
                <w:sz w:val="21"/>
                <w:szCs w:val="21"/>
                <w:highlight w:val="none"/>
                <w:lang w:val="en-US" w:eastAsia="zh-CN"/>
              </w:rPr>
              <w:t>的光学仪器对所使用的光学零件的</w:t>
            </w:r>
            <w:r>
              <w:rPr>
                <w:rFonts w:hint="eastAsia" w:cs="Times New Roman"/>
                <w:color w:val="auto"/>
                <w:sz w:val="21"/>
                <w:szCs w:val="21"/>
                <w:highlight w:val="none"/>
                <w:lang w:val="en-US" w:eastAsia="zh-CN"/>
              </w:rPr>
              <w:t>异形结构、光学</w:t>
            </w:r>
            <w:r>
              <w:rPr>
                <w:rFonts w:hint="default" w:ascii="Times New Roman" w:hAnsi="Times New Roman" w:cs="Times New Roman"/>
                <w:color w:val="auto"/>
                <w:sz w:val="21"/>
                <w:szCs w:val="21"/>
                <w:highlight w:val="none"/>
                <w:lang w:val="en-US" w:eastAsia="zh-CN"/>
              </w:rPr>
              <w:t>功能、精准度等要求也进一步调高。为此，</w:t>
            </w:r>
            <w:r>
              <w:rPr>
                <w:rFonts w:hint="default" w:ascii="Times New Roman" w:hAnsi="Times New Roman" w:cs="Times New Roman"/>
                <w:bCs/>
                <w:color w:val="auto"/>
                <w:kern w:val="0"/>
                <w:sz w:val="21"/>
                <w:szCs w:val="21"/>
                <w:highlight w:val="none"/>
                <w:lang w:eastAsia="zh-CN"/>
              </w:rPr>
              <w:t>新乡市百合光电有限公司拟投资</w:t>
            </w:r>
            <w:r>
              <w:rPr>
                <w:rFonts w:hint="default" w:ascii="Times New Roman" w:hAnsi="Times New Roman" w:cs="Times New Roman"/>
                <w:bCs/>
                <w:color w:val="auto"/>
                <w:kern w:val="0"/>
                <w:sz w:val="21"/>
                <w:szCs w:val="21"/>
                <w:highlight w:val="none"/>
                <w:lang w:val="en-US" w:eastAsia="zh-CN"/>
              </w:rPr>
              <w:t>100万元对现有工程进行升级改造，主要改造</w:t>
            </w:r>
            <w:r>
              <w:rPr>
                <w:rFonts w:hint="eastAsia" w:cs="Times New Roman"/>
                <w:bCs/>
                <w:color w:val="auto"/>
                <w:kern w:val="0"/>
                <w:sz w:val="21"/>
                <w:szCs w:val="21"/>
                <w:highlight w:val="none"/>
                <w:lang w:val="en-US" w:eastAsia="zh-CN"/>
              </w:rPr>
              <w:t>内容介绍如下</w:t>
            </w:r>
            <w:r>
              <w:rPr>
                <w:rFonts w:hint="default" w:ascii="Times New Roman" w:hAnsi="Times New Roman" w:cs="Times New Roman"/>
                <w:bCs/>
                <w:color w:val="auto"/>
                <w:kern w:val="0"/>
                <w:sz w:val="21"/>
                <w:szCs w:val="21"/>
                <w:highlight w:val="none"/>
                <w:lang w:val="en-US" w:eastAsia="zh-CN"/>
              </w:rPr>
              <w:t>：</w:t>
            </w:r>
          </w:p>
          <w:p>
            <w:pPr>
              <w:pStyle w:val="21"/>
              <w:keepNext w:val="0"/>
              <w:keepLines w:val="0"/>
              <w:pageBreakBefore w:val="0"/>
              <w:widowControl w:val="0"/>
              <w:numPr>
                <w:ilvl w:val="0"/>
                <w:numId w:val="8"/>
              </w:numPr>
              <w:kinsoku/>
              <w:wordWrap/>
              <w:overflowPunct/>
              <w:topLinePunct w:val="0"/>
              <w:bidi w:val="0"/>
              <w:adjustRightInd/>
              <w:snapToGrid/>
              <w:spacing w:after="0" w:line="360" w:lineRule="auto"/>
              <w:ind w:left="0" w:leftChars="0" w:firstLine="420" w:firstLineChars="200"/>
              <w:jc w:val="both"/>
              <w:textAlignment w:val="auto"/>
              <w:rPr>
                <w:rFonts w:hint="eastAsia" w:cs="Times New Roman"/>
                <w:bCs/>
                <w:color w:val="auto"/>
                <w:kern w:val="0"/>
                <w:sz w:val="21"/>
                <w:szCs w:val="21"/>
                <w:highlight w:val="none"/>
                <w:lang w:eastAsia="zh-CN"/>
              </w:rPr>
            </w:pPr>
            <w:r>
              <w:rPr>
                <w:rFonts w:hint="eastAsia" w:cs="Times New Roman"/>
                <w:bCs/>
                <w:color w:val="auto"/>
                <w:kern w:val="0"/>
                <w:sz w:val="21"/>
                <w:szCs w:val="21"/>
                <w:highlight w:val="none"/>
                <w:lang w:eastAsia="zh-CN"/>
              </w:rPr>
              <w:t>现有工程下料工序采用手工划片下料，且现有抛光工序设备抛光角度单一，加工时需人工调整抛光面，现有下料、抛光工序的自动化程度较低，因此本次技改新增</w:t>
            </w:r>
            <w:r>
              <w:rPr>
                <w:rFonts w:hint="eastAsia" w:cs="Times New Roman"/>
                <w:bCs/>
                <w:color w:val="auto"/>
                <w:kern w:val="0"/>
                <w:sz w:val="21"/>
                <w:szCs w:val="21"/>
                <w:highlight w:val="none"/>
                <w:lang w:val="en-US" w:eastAsia="zh-CN"/>
              </w:rPr>
              <w:t>2台内圆切割机用于自动化下料，新增2台高速抛光机、2台</w:t>
            </w:r>
            <w:r>
              <w:rPr>
                <w:rFonts w:hint="eastAsia" w:cs="Times New Roman"/>
                <w:bCs/>
                <w:color w:val="auto"/>
                <w:kern w:val="0"/>
                <w:sz w:val="21"/>
                <w:szCs w:val="21"/>
                <w:highlight w:val="none"/>
                <w:lang w:eastAsia="zh-CN"/>
              </w:rPr>
              <w:t>灯杯</w:t>
            </w:r>
            <w:r>
              <w:rPr>
                <w:rFonts w:hint="default" w:ascii="Times New Roman" w:hAnsi="Times New Roman" w:cs="Times New Roman"/>
                <w:bCs/>
                <w:color w:val="auto"/>
                <w:kern w:val="0"/>
                <w:sz w:val="21"/>
                <w:szCs w:val="21"/>
                <w:highlight w:val="none"/>
                <w:lang w:eastAsia="zh-CN"/>
              </w:rPr>
              <w:t>抛光</w:t>
            </w:r>
            <w:r>
              <w:rPr>
                <w:rFonts w:hint="eastAsia" w:cs="Times New Roman"/>
                <w:bCs/>
                <w:color w:val="auto"/>
                <w:kern w:val="0"/>
                <w:sz w:val="21"/>
                <w:szCs w:val="21"/>
                <w:highlight w:val="none"/>
                <w:lang w:eastAsia="zh-CN"/>
              </w:rPr>
              <w:t>机和</w:t>
            </w:r>
            <w:r>
              <w:rPr>
                <w:rFonts w:hint="eastAsia" w:cs="Times New Roman"/>
                <w:bCs/>
                <w:color w:val="auto"/>
                <w:kern w:val="0"/>
                <w:sz w:val="21"/>
                <w:szCs w:val="21"/>
                <w:highlight w:val="none"/>
                <w:lang w:val="en-US" w:eastAsia="zh-CN"/>
              </w:rPr>
              <w:t>2台全自动抛光机提高</w:t>
            </w:r>
            <w:r>
              <w:rPr>
                <w:rFonts w:hint="eastAsia" w:cs="Times New Roman"/>
                <w:bCs/>
                <w:color w:val="auto"/>
                <w:kern w:val="0"/>
                <w:sz w:val="21"/>
                <w:szCs w:val="21"/>
                <w:highlight w:val="none"/>
                <w:lang w:eastAsia="zh-CN"/>
              </w:rPr>
              <w:t>抛光工序的</w:t>
            </w:r>
            <w:r>
              <w:rPr>
                <w:rFonts w:hint="default" w:ascii="Times New Roman" w:hAnsi="Times New Roman" w:eastAsia="宋体" w:cs="Times New Roman"/>
                <w:bCs/>
                <w:color w:val="auto"/>
                <w:kern w:val="0"/>
                <w:sz w:val="21"/>
                <w:szCs w:val="21"/>
                <w:highlight w:val="none"/>
                <w:lang w:eastAsia="zh-CN"/>
              </w:rPr>
              <w:t>自动化水平</w:t>
            </w:r>
            <w:r>
              <w:rPr>
                <w:rFonts w:hint="eastAsia" w:cs="Times New Roman"/>
                <w:bCs/>
                <w:color w:val="auto"/>
                <w:kern w:val="0"/>
                <w:sz w:val="21"/>
                <w:szCs w:val="21"/>
                <w:highlight w:val="none"/>
                <w:lang w:eastAsia="zh-CN"/>
              </w:rPr>
              <w:t>；</w:t>
            </w:r>
          </w:p>
          <w:p>
            <w:pPr>
              <w:pStyle w:val="21"/>
              <w:keepNext w:val="0"/>
              <w:keepLines w:val="0"/>
              <w:pageBreakBefore w:val="0"/>
              <w:widowControl w:val="0"/>
              <w:numPr>
                <w:ilvl w:val="0"/>
                <w:numId w:val="8"/>
              </w:numPr>
              <w:kinsoku/>
              <w:wordWrap/>
              <w:overflowPunct/>
              <w:topLinePunct w:val="0"/>
              <w:bidi w:val="0"/>
              <w:adjustRightInd/>
              <w:snapToGrid/>
              <w:spacing w:after="0" w:line="360" w:lineRule="auto"/>
              <w:ind w:left="0" w:lef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Cs/>
                <w:color w:val="auto"/>
                <w:kern w:val="0"/>
                <w:sz w:val="21"/>
                <w:szCs w:val="21"/>
                <w:highlight w:val="none"/>
                <w:lang w:val="en-US" w:eastAsia="zh-CN"/>
              </w:rPr>
              <w:t>现有工程仅采用抛光方式加工产品至所需尺寸、形状，加工精度无法满足目前市场上部分高精度仪器设备需求，本次技改工程</w:t>
            </w:r>
            <w:r>
              <w:rPr>
                <w:rFonts w:hint="default" w:ascii="Times New Roman" w:hAnsi="Times New Roman" w:eastAsia="宋体" w:cs="Times New Roman"/>
                <w:bCs/>
                <w:color w:val="auto"/>
                <w:kern w:val="0"/>
                <w:sz w:val="21"/>
                <w:szCs w:val="21"/>
                <w:highlight w:val="none"/>
                <w:lang w:eastAsia="zh-CN"/>
              </w:rPr>
              <w:t>增加</w:t>
            </w:r>
            <w:r>
              <w:rPr>
                <w:rFonts w:hint="eastAsia" w:cs="Times New Roman"/>
                <w:bCs/>
                <w:color w:val="auto"/>
                <w:kern w:val="0"/>
                <w:sz w:val="21"/>
                <w:szCs w:val="21"/>
                <w:highlight w:val="none"/>
                <w:lang w:val="en-US" w:eastAsia="zh-CN"/>
              </w:rPr>
              <w:t>1台灯杯数控机用于精磨处理，增加2台磨砂机用于粗磨处理，</w:t>
            </w:r>
            <w:r>
              <w:rPr>
                <w:rFonts w:hint="eastAsia" w:cs="Times New Roman"/>
                <w:bCs/>
                <w:color w:val="auto"/>
                <w:kern w:val="0"/>
                <w:sz w:val="21"/>
                <w:szCs w:val="21"/>
                <w:highlight w:val="none"/>
                <w:lang w:eastAsia="zh-CN"/>
              </w:rPr>
              <w:t>提高产品加工精度和自动化加工水平；</w:t>
            </w:r>
          </w:p>
          <w:p>
            <w:pPr>
              <w:pStyle w:val="21"/>
              <w:keepNext w:val="0"/>
              <w:keepLines w:val="0"/>
              <w:pageBreakBefore w:val="0"/>
              <w:widowControl w:val="0"/>
              <w:numPr>
                <w:ilvl w:val="0"/>
                <w:numId w:val="8"/>
              </w:numPr>
              <w:kinsoku/>
              <w:wordWrap/>
              <w:overflowPunct/>
              <w:topLinePunct w:val="0"/>
              <w:bidi w:val="0"/>
              <w:adjustRightInd/>
              <w:snapToGrid/>
              <w:spacing w:after="0" w:line="360" w:lineRule="auto"/>
              <w:ind w:left="0" w:lef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Cs/>
                <w:color w:val="auto"/>
                <w:kern w:val="0"/>
                <w:sz w:val="21"/>
                <w:szCs w:val="21"/>
                <w:highlight w:val="none"/>
                <w:lang w:eastAsia="zh-CN"/>
              </w:rPr>
              <w:t>现有工程反射镜类产品仅平面反射镜，产品种类单一，无法满足目前市场部分新型仪器的要求，本次技改增加</w:t>
            </w:r>
            <w:r>
              <w:rPr>
                <w:rFonts w:hint="eastAsia" w:cs="Times New Roman"/>
                <w:bCs/>
                <w:color w:val="auto"/>
                <w:kern w:val="0"/>
                <w:sz w:val="21"/>
                <w:szCs w:val="21"/>
                <w:highlight w:val="none"/>
                <w:lang w:val="en-US" w:eastAsia="zh-CN"/>
              </w:rPr>
              <w:t>5台</w:t>
            </w:r>
            <w:r>
              <w:rPr>
                <w:rFonts w:hint="eastAsia" w:cs="Times New Roman"/>
                <w:bCs/>
                <w:color w:val="auto"/>
                <w:kern w:val="0"/>
                <w:sz w:val="21"/>
                <w:szCs w:val="21"/>
                <w:highlight w:val="none"/>
                <w:lang w:eastAsia="zh-CN"/>
              </w:rPr>
              <w:t>间歇式热弯成型机，用于制作曲面反射镜类产品，扩宽产品适用范围；</w:t>
            </w:r>
          </w:p>
          <w:p>
            <w:pPr>
              <w:pStyle w:val="21"/>
              <w:keepNext w:val="0"/>
              <w:keepLines w:val="0"/>
              <w:pageBreakBefore w:val="0"/>
              <w:widowControl w:val="0"/>
              <w:numPr>
                <w:ilvl w:val="0"/>
                <w:numId w:val="8"/>
              </w:numPr>
              <w:kinsoku/>
              <w:wordWrap/>
              <w:overflowPunct/>
              <w:topLinePunct w:val="0"/>
              <w:bidi w:val="0"/>
              <w:adjustRightInd/>
              <w:snapToGrid/>
              <w:spacing w:after="0" w:line="360" w:lineRule="auto"/>
              <w:ind w:left="0" w:lef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Cs/>
                <w:color w:val="auto"/>
                <w:kern w:val="0"/>
                <w:sz w:val="21"/>
                <w:szCs w:val="21"/>
                <w:highlight w:val="none"/>
                <w:lang w:eastAsia="zh-CN"/>
              </w:rPr>
              <w:t>现有镀膜光学零件产品镀膜材料主要为二氧化钛、二氧化硅和二氧化锆，镀膜后产品具备防辐射、增加透光性等功能，但由于镀膜种类的单一，无法满足目前市场新增各类光学仪器的需求，本次技改增加三氧化二铝、氟化镁、氧化铟锡等新型镀膜材料，使镀膜后产品具备减少反射、导电等功能，同时技改后增加导电玻璃类产品。</w:t>
            </w:r>
          </w:p>
          <w:p>
            <w:pPr>
              <w:pStyle w:val="21"/>
              <w:keepNext w:val="0"/>
              <w:keepLines w:val="0"/>
              <w:pageBreakBefore w:val="0"/>
              <w:widowControl w:val="0"/>
              <w:numPr>
                <w:ilvl w:val="0"/>
                <w:numId w:val="8"/>
              </w:numPr>
              <w:kinsoku/>
              <w:wordWrap/>
              <w:overflowPunct/>
              <w:topLinePunct w:val="0"/>
              <w:bidi w:val="0"/>
              <w:adjustRightInd/>
              <w:snapToGrid/>
              <w:spacing w:after="0" w:line="360" w:lineRule="auto"/>
              <w:ind w:left="0" w:lef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Cs/>
                <w:color w:val="auto"/>
                <w:kern w:val="0"/>
                <w:sz w:val="21"/>
                <w:szCs w:val="21"/>
                <w:highlight w:val="none"/>
                <w:lang w:eastAsia="zh-CN"/>
              </w:rPr>
              <w:t>现有磨边工序冲洗废水经设置“</w:t>
            </w:r>
            <w:r>
              <w:rPr>
                <w:rFonts w:hint="eastAsia" w:cs="Times New Roman"/>
                <w:color w:val="auto"/>
                <w:sz w:val="21"/>
                <w:szCs w:val="21"/>
                <w:highlight w:val="none"/>
                <w:lang w:val="en-US" w:eastAsia="zh-CN"/>
              </w:rPr>
              <w:t>沉淀池+</w:t>
            </w:r>
            <w:r>
              <w:rPr>
                <w:rFonts w:hint="default" w:ascii="Times New Roman" w:hAnsi="Times New Roman" w:cs="Times New Roman"/>
                <w:color w:val="auto"/>
                <w:sz w:val="21"/>
                <w:szCs w:val="21"/>
                <w:highlight w:val="none"/>
                <w:lang w:val="en-US" w:eastAsia="zh-CN"/>
              </w:rPr>
              <w:t>混凝沉淀池</w:t>
            </w:r>
            <w:r>
              <w:rPr>
                <w:rFonts w:hint="eastAsia" w:cs="Times New Roman"/>
                <w:bCs/>
                <w:color w:val="auto"/>
                <w:kern w:val="0"/>
                <w:sz w:val="21"/>
                <w:szCs w:val="21"/>
                <w:highlight w:val="none"/>
                <w:lang w:eastAsia="zh-CN"/>
              </w:rPr>
              <w:t>”处理后直接排放，由于磨边工序冲洗用水要求不高，冲洗废水直接排放将造成水资源浪费，本次技改后现有磨边冲洗废水和新增下料、粗磨、精磨等工序冲洗废水均利用现有沉淀池处理后循环使用，沉淀池内循环水定期经混凝沉淀池处理后达标排放，技改后可最大程度节约水资源。</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2、</w:t>
            </w:r>
            <w:r>
              <w:rPr>
                <w:rFonts w:hint="default" w:ascii="Times New Roman" w:hAnsi="Times New Roman" w:cs="Times New Roman"/>
                <w:b/>
                <w:color w:val="auto"/>
                <w:kern w:val="0"/>
                <w:szCs w:val="21"/>
                <w:highlight w:val="none"/>
              </w:rPr>
              <w:t>本项目建设内容</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none"/>
              </w:rPr>
            </w:pPr>
            <w:r>
              <w:rPr>
                <w:rFonts w:hint="eastAsia" w:cs="Times New Roman"/>
                <w:bCs/>
                <w:color w:val="auto"/>
                <w:kern w:val="0"/>
                <w:szCs w:val="21"/>
                <w:highlight w:val="none"/>
                <w:lang w:eastAsia="zh-CN"/>
              </w:rPr>
              <w:t>现有工程</w:t>
            </w:r>
            <w:r>
              <w:rPr>
                <w:rFonts w:hint="default" w:ascii="Times New Roman" w:hAnsi="Times New Roman" w:cs="Times New Roman"/>
                <w:bCs/>
                <w:color w:val="auto"/>
                <w:kern w:val="0"/>
                <w:szCs w:val="21"/>
                <w:highlight w:val="none"/>
                <w:lang w:eastAsia="zh-CN"/>
              </w:rPr>
              <w:t>建设内容包括</w:t>
            </w:r>
            <w:r>
              <w:rPr>
                <w:rFonts w:hint="default" w:ascii="Times New Roman" w:hAnsi="Times New Roman" w:cs="Times New Roman"/>
                <w:bCs/>
                <w:color w:val="auto"/>
                <w:kern w:val="0"/>
                <w:szCs w:val="21"/>
                <w:highlight w:val="none"/>
              </w:rPr>
              <w:t>主体工程、</w:t>
            </w:r>
            <w:r>
              <w:rPr>
                <w:rFonts w:hint="default" w:ascii="Times New Roman" w:hAnsi="Times New Roman" w:cs="Times New Roman"/>
                <w:bCs/>
                <w:color w:val="auto"/>
                <w:kern w:val="0"/>
                <w:szCs w:val="21"/>
                <w:highlight w:val="none"/>
                <w:lang w:eastAsia="zh-CN"/>
              </w:rPr>
              <w:t>辅助工程、公用工程和</w:t>
            </w:r>
            <w:r>
              <w:rPr>
                <w:rFonts w:hint="default" w:ascii="Times New Roman" w:hAnsi="Times New Roman" w:cs="Times New Roman"/>
                <w:bCs/>
                <w:color w:val="auto"/>
                <w:kern w:val="0"/>
                <w:szCs w:val="21"/>
                <w:highlight w:val="none"/>
              </w:rPr>
              <w:t>环保工程等</w:t>
            </w:r>
            <w:r>
              <w:rPr>
                <w:rFonts w:hint="eastAsia" w:cs="Times New Roman"/>
                <w:bCs/>
                <w:color w:val="auto"/>
                <w:kern w:val="0"/>
                <w:szCs w:val="21"/>
                <w:highlight w:val="none"/>
                <w:lang w:eastAsia="zh-CN"/>
              </w:rPr>
              <w:t>，本次技改工程不改变现有建设内容，主要利用现有</w:t>
            </w:r>
            <w:r>
              <w:rPr>
                <w:rFonts w:hint="eastAsia" w:cs="Times New Roman"/>
                <w:bCs/>
                <w:color w:val="auto"/>
                <w:kern w:val="0"/>
                <w:szCs w:val="21"/>
                <w:highlight w:val="none"/>
                <w:lang w:val="en-US" w:eastAsia="zh-CN"/>
              </w:rPr>
              <w:t>2#生产车间进行建设，根据技改后工艺及设备功能进行重新布局</w:t>
            </w:r>
            <w:r>
              <w:rPr>
                <w:rFonts w:hint="default" w:ascii="Times New Roman" w:hAnsi="Times New Roman" w:cs="Times New Roman"/>
                <w:bCs/>
                <w:color w:val="auto"/>
                <w:kern w:val="0"/>
                <w:szCs w:val="21"/>
                <w:highlight w:val="none"/>
              </w:rPr>
              <w:t>。</w:t>
            </w:r>
            <w:r>
              <w:rPr>
                <w:rFonts w:hint="eastAsia" w:cs="Times New Roman"/>
                <w:bCs/>
                <w:color w:val="auto"/>
                <w:kern w:val="0"/>
                <w:szCs w:val="21"/>
                <w:highlight w:val="none"/>
                <w:lang w:eastAsia="zh-CN"/>
              </w:rPr>
              <w:t>技改前后</w:t>
            </w:r>
            <w:r>
              <w:rPr>
                <w:rFonts w:hint="default" w:ascii="Times New Roman" w:hAnsi="Times New Roman" w:cs="Times New Roman"/>
                <w:bCs/>
                <w:color w:val="auto"/>
                <w:kern w:val="0"/>
                <w:szCs w:val="21"/>
                <w:highlight w:val="none"/>
              </w:rPr>
              <w:t>主要工程组成见</w:t>
            </w:r>
            <w:r>
              <w:rPr>
                <w:rFonts w:hint="default" w:ascii="Times New Roman" w:hAnsi="Times New Roman" w:cs="Times New Roman"/>
                <w:bCs/>
                <w:color w:val="auto"/>
                <w:kern w:val="0"/>
                <w:szCs w:val="21"/>
                <w:highlight w:val="none"/>
                <w:lang w:eastAsia="zh-CN"/>
              </w:rPr>
              <w:t>下表</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项目主要建设内容一览表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181"/>
              <w:gridCol w:w="2454"/>
              <w:gridCol w:w="2455"/>
              <w:gridCol w:w="9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bookmarkStart w:id="1" w:name="OLE_LINK1"/>
                  <w:r>
                    <w:rPr>
                      <w:rFonts w:hint="default" w:ascii="Times New Roman" w:hAnsi="Times New Roman" w:cs="Times New Roman"/>
                      <w:snapToGrid w:val="0"/>
                      <w:color w:val="auto"/>
                      <w:kern w:val="0"/>
                      <w:sz w:val="18"/>
                      <w:szCs w:val="18"/>
                      <w:highlight w:val="none"/>
                    </w:rPr>
                    <w:t>类别</w:t>
                  </w:r>
                </w:p>
              </w:tc>
              <w:tc>
                <w:tcPr>
                  <w:tcW w:w="77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名称</w:t>
                  </w:r>
                </w:p>
              </w:tc>
              <w:tc>
                <w:tcPr>
                  <w:tcW w:w="321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内容或规模</w:t>
                  </w:r>
                </w:p>
              </w:tc>
              <w:tc>
                <w:tcPr>
                  <w:tcW w:w="61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7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16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eastAsia" w:cs="Times New Roman"/>
                      <w:snapToGrid w:val="0"/>
                      <w:color w:val="auto"/>
                      <w:kern w:val="0"/>
                      <w:sz w:val="18"/>
                      <w:szCs w:val="18"/>
                      <w:highlight w:val="none"/>
                      <w:lang w:eastAsia="zh-CN"/>
                    </w:rPr>
                    <w:t>技改前</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eastAsia" w:cs="Times New Roman"/>
                      <w:snapToGrid w:val="0"/>
                      <w:color w:val="auto"/>
                      <w:kern w:val="0"/>
                      <w:sz w:val="18"/>
                      <w:szCs w:val="18"/>
                      <w:highlight w:val="none"/>
                      <w:lang w:eastAsia="zh-CN"/>
                    </w:rPr>
                    <w:t>技改后</w:t>
                  </w:r>
                </w:p>
              </w:tc>
              <w:tc>
                <w:tcPr>
                  <w:tcW w:w="61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主体</w:t>
                  </w:r>
                </w:p>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工程</w:t>
                  </w:r>
                </w:p>
              </w:tc>
              <w:tc>
                <w:tcPr>
                  <w:tcW w:w="77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val="en-US" w:eastAsia="zh-CN"/>
                    </w:rPr>
                    <w:t>1#</w:t>
                  </w:r>
                  <w:r>
                    <w:rPr>
                      <w:rFonts w:hint="default" w:ascii="Times New Roman" w:hAnsi="Times New Roman" w:cs="Times New Roman"/>
                      <w:snapToGrid w:val="0"/>
                      <w:color w:val="auto"/>
                      <w:kern w:val="0"/>
                      <w:sz w:val="18"/>
                      <w:szCs w:val="18"/>
                      <w:highlight w:val="none"/>
                      <w:lang w:eastAsia="zh-CN"/>
                    </w:rPr>
                    <w:t>生产车间</w:t>
                  </w:r>
                </w:p>
              </w:tc>
              <w:tc>
                <w:tcPr>
                  <w:tcW w:w="160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1座1层，钢结构，1000m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，主要包括镀膜间、清洗区、检验室、仓储间、办公区</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1座1层，钢结构，1000m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，主要包括镀膜间、清洗区、检验室、仓储间、办公区</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77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2#</w:t>
                  </w:r>
                  <w:r>
                    <w:rPr>
                      <w:rFonts w:hint="default" w:ascii="Times New Roman" w:hAnsi="Times New Roman" w:cs="Times New Roman"/>
                      <w:snapToGrid w:val="0"/>
                      <w:color w:val="auto"/>
                      <w:kern w:val="0"/>
                      <w:sz w:val="18"/>
                      <w:szCs w:val="18"/>
                      <w:highlight w:val="none"/>
                      <w:lang w:eastAsia="zh-CN"/>
                    </w:rPr>
                    <w:t>生产车间</w:t>
                  </w:r>
                </w:p>
              </w:tc>
              <w:tc>
                <w:tcPr>
                  <w:tcW w:w="160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1座1层，钢结构，建筑面积600m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，主要为</w:t>
                  </w:r>
                  <w:r>
                    <w:rPr>
                      <w:rFonts w:hint="eastAsia" w:cs="Times New Roman"/>
                      <w:snapToGrid w:val="0"/>
                      <w:color w:val="auto"/>
                      <w:kern w:val="0"/>
                      <w:sz w:val="18"/>
                      <w:szCs w:val="18"/>
                      <w:highlight w:val="none"/>
                      <w:lang w:val="en-US" w:eastAsia="zh-CN"/>
                    </w:rPr>
                    <w:t>划片间、磨边间、抛光间</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1座1层，钢结构，建筑面积600m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w:t>
                  </w:r>
                  <w:r>
                    <w:rPr>
                      <w:rFonts w:hint="eastAsia" w:cs="Times New Roman"/>
                      <w:snapToGrid w:val="0"/>
                      <w:color w:val="auto"/>
                      <w:kern w:val="0"/>
                      <w:sz w:val="18"/>
                      <w:szCs w:val="18"/>
                      <w:highlight w:val="none"/>
                      <w:lang w:val="en-US" w:eastAsia="zh-CN"/>
                    </w:rPr>
                    <w:t>技改后车间内各功能区均进行重新划分，技改后车间根据功能区分为</w:t>
                  </w:r>
                  <w:r>
                    <w:rPr>
                      <w:rFonts w:hint="default" w:ascii="Times New Roman" w:hAnsi="Times New Roman" w:cs="Times New Roman"/>
                      <w:snapToGrid w:val="0"/>
                      <w:color w:val="auto"/>
                      <w:kern w:val="0"/>
                      <w:sz w:val="18"/>
                      <w:szCs w:val="18"/>
                      <w:highlight w:val="none"/>
                      <w:lang w:val="en-US" w:eastAsia="zh-CN"/>
                    </w:rPr>
                    <w:t>热弯间、</w:t>
                  </w:r>
                  <w:r>
                    <w:rPr>
                      <w:rFonts w:hint="eastAsia" w:cs="Times New Roman"/>
                      <w:snapToGrid w:val="0"/>
                      <w:color w:val="auto"/>
                      <w:kern w:val="0"/>
                      <w:sz w:val="18"/>
                      <w:szCs w:val="18"/>
                      <w:highlight w:val="none"/>
                      <w:lang w:val="en-US" w:eastAsia="zh-CN"/>
                    </w:rPr>
                    <w:t>抛光间、粗精磨间、下料磨边间</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本次技</w:t>
                  </w:r>
                </w:p>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改</w:t>
                  </w:r>
                  <w:r>
                    <w:rPr>
                      <w:rFonts w:hint="eastAsia" w:cs="Times New Roman"/>
                      <w:snapToGrid w:val="0"/>
                      <w:color w:val="auto"/>
                      <w:kern w:val="0"/>
                      <w:sz w:val="18"/>
                      <w:szCs w:val="18"/>
                      <w:highlight w:val="none"/>
                      <w:lang w:val="en-US" w:eastAsia="zh-CN"/>
                    </w:rPr>
                    <w:t>不改变构筑物结构，仅进行空间布局的重新划分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77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3#</w:t>
                  </w:r>
                  <w:r>
                    <w:rPr>
                      <w:rFonts w:hint="default" w:ascii="Times New Roman" w:hAnsi="Times New Roman" w:cs="Times New Roman"/>
                      <w:snapToGrid w:val="0"/>
                      <w:color w:val="auto"/>
                      <w:kern w:val="0"/>
                      <w:sz w:val="18"/>
                      <w:szCs w:val="18"/>
                      <w:highlight w:val="none"/>
                      <w:lang w:eastAsia="zh-CN"/>
                    </w:rPr>
                    <w:t>综合厂房</w:t>
                  </w:r>
                </w:p>
              </w:tc>
              <w:tc>
                <w:tcPr>
                  <w:tcW w:w="160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vertAlign w:val="baseline"/>
                      <w:lang w:val="en-US" w:eastAsia="zh-CN" w:bidi="ar-SA"/>
                    </w:rPr>
                  </w:pPr>
                  <w:r>
                    <w:rPr>
                      <w:rFonts w:hint="default" w:ascii="Times New Roman" w:hAnsi="Times New Roman" w:cs="Times New Roman"/>
                      <w:snapToGrid w:val="0"/>
                      <w:color w:val="auto"/>
                      <w:kern w:val="0"/>
                      <w:sz w:val="18"/>
                      <w:szCs w:val="18"/>
                      <w:highlight w:val="none"/>
                      <w:lang w:val="en-US" w:eastAsia="zh-CN"/>
                    </w:rPr>
                    <w:t>1座1层，钢结构，建筑面积400m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vertAlign w:val="baseline"/>
                      <w:lang w:val="en-US" w:eastAsia="zh-CN"/>
                    </w:rPr>
                    <w:t>，包括磨具间、维修间</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vertAlign w:val="baseline"/>
                      <w:lang w:val="en-US" w:eastAsia="zh-CN" w:bidi="ar-SA"/>
                    </w:rPr>
                  </w:pPr>
                  <w:r>
                    <w:rPr>
                      <w:rFonts w:hint="default" w:ascii="Times New Roman" w:hAnsi="Times New Roman" w:cs="Times New Roman"/>
                      <w:snapToGrid w:val="0"/>
                      <w:color w:val="auto"/>
                      <w:kern w:val="0"/>
                      <w:sz w:val="18"/>
                      <w:szCs w:val="18"/>
                      <w:highlight w:val="none"/>
                      <w:lang w:val="en-US" w:eastAsia="zh-CN"/>
                    </w:rPr>
                    <w:t>1座1层，钢结构，建筑面积400m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vertAlign w:val="baseline"/>
                      <w:lang w:val="en-US" w:eastAsia="zh-CN"/>
                    </w:rPr>
                    <w:t>，包括磨具间、维修间</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辅助工程</w:t>
                  </w:r>
                </w:p>
              </w:tc>
              <w:tc>
                <w:tcPr>
                  <w:tcW w:w="77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eastAsia="zh-CN"/>
                    </w:rPr>
                    <w:t>门卫室</w:t>
                  </w:r>
                </w:p>
              </w:tc>
              <w:tc>
                <w:tcPr>
                  <w:tcW w:w="160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1座1层，砖混结构，建筑面积20m</w:t>
                  </w:r>
                  <w:r>
                    <w:rPr>
                      <w:rFonts w:hint="default" w:ascii="Times New Roman" w:hAnsi="Times New Roman" w:cs="Times New Roman"/>
                      <w:snapToGrid w:val="0"/>
                      <w:color w:val="auto"/>
                      <w:kern w:val="0"/>
                      <w:sz w:val="18"/>
                      <w:szCs w:val="18"/>
                      <w:highlight w:val="none"/>
                      <w:vertAlign w:val="superscript"/>
                      <w:lang w:val="en-US" w:eastAsia="zh-CN"/>
                    </w:rPr>
                    <w:t>2</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vertAlign w:val="baseline"/>
                      <w:lang w:val="en-US" w:eastAsia="zh-CN" w:bidi="ar-SA"/>
                    </w:rPr>
                  </w:pPr>
                  <w:r>
                    <w:rPr>
                      <w:rFonts w:hint="default" w:ascii="Times New Roman" w:hAnsi="Times New Roman" w:cs="Times New Roman"/>
                      <w:snapToGrid w:val="0"/>
                      <w:color w:val="auto"/>
                      <w:kern w:val="0"/>
                      <w:sz w:val="18"/>
                      <w:szCs w:val="18"/>
                      <w:highlight w:val="none"/>
                      <w:lang w:val="en-US" w:eastAsia="zh-CN"/>
                    </w:rPr>
                    <w:t>1座1层，砖混结构，建筑面积20m</w:t>
                  </w:r>
                  <w:r>
                    <w:rPr>
                      <w:rFonts w:hint="default" w:ascii="Times New Roman" w:hAnsi="Times New Roman" w:cs="Times New Roman"/>
                      <w:snapToGrid w:val="0"/>
                      <w:color w:val="auto"/>
                      <w:kern w:val="0"/>
                      <w:sz w:val="18"/>
                      <w:szCs w:val="18"/>
                      <w:highlight w:val="none"/>
                      <w:vertAlign w:val="superscript"/>
                      <w:lang w:val="en-US" w:eastAsia="zh-CN"/>
                    </w:rPr>
                    <w:t>2</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p>
              </w:tc>
              <w:tc>
                <w:tcPr>
                  <w:tcW w:w="77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eastAsia="zh-CN"/>
                    </w:rPr>
                    <w:t>宿舍楼</w:t>
                  </w:r>
                </w:p>
              </w:tc>
              <w:tc>
                <w:tcPr>
                  <w:tcW w:w="160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vertAlign w:val="baseline"/>
                      <w:lang w:val="en-US" w:eastAsia="zh-CN" w:bidi="ar-SA"/>
                    </w:rPr>
                  </w:pPr>
                  <w:r>
                    <w:rPr>
                      <w:rFonts w:hint="default" w:ascii="Times New Roman" w:hAnsi="Times New Roman" w:cs="Times New Roman"/>
                      <w:snapToGrid w:val="0"/>
                      <w:color w:val="auto"/>
                      <w:kern w:val="0"/>
                      <w:sz w:val="18"/>
                      <w:szCs w:val="18"/>
                      <w:highlight w:val="none"/>
                      <w:lang w:val="en-US" w:eastAsia="zh-CN"/>
                    </w:rPr>
                    <w:t>1座2层，砖混结构，建筑面积800m</w:t>
                  </w:r>
                  <w:r>
                    <w:rPr>
                      <w:rFonts w:hint="default" w:ascii="Times New Roman" w:hAnsi="Times New Roman" w:cs="Times New Roman"/>
                      <w:snapToGrid w:val="0"/>
                      <w:color w:val="auto"/>
                      <w:kern w:val="0"/>
                      <w:sz w:val="18"/>
                      <w:szCs w:val="18"/>
                      <w:highlight w:val="none"/>
                      <w:vertAlign w:val="superscript"/>
                      <w:lang w:val="en-US" w:eastAsia="zh-CN"/>
                    </w:rPr>
                    <w:t>2</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vertAlign w:val="baseline"/>
                      <w:lang w:val="en-US" w:eastAsia="zh-CN" w:bidi="ar-SA"/>
                    </w:rPr>
                  </w:pPr>
                  <w:r>
                    <w:rPr>
                      <w:rFonts w:hint="default" w:ascii="Times New Roman" w:hAnsi="Times New Roman" w:cs="Times New Roman"/>
                      <w:snapToGrid w:val="0"/>
                      <w:color w:val="auto"/>
                      <w:kern w:val="0"/>
                      <w:sz w:val="18"/>
                      <w:szCs w:val="18"/>
                      <w:highlight w:val="none"/>
                      <w:lang w:val="en-US" w:eastAsia="zh-CN"/>
                    </w:rPr>
                    <w:t>1座2层，砖混结构，建筑面积800m</w:t>
                  </w:r>
                  <w:r>
                    <w:rPr>
                      <w:rFonts w:hint="default" w:ascii="Times New Roman" w:hAnsi="Times New Roman" w:cs="Times New Roman"/>
                      <w:snapToGrid w:val="0"/>
                      <w:color w:val="auto"/>
                      <w:kern w:val="0"/>
                      <w:sz w:val="18"/>
                      <w:szCs w:val="18"/>
                      <w:highlight w:val="none"/>
                      <w:vertAlign w:val="superscript"/>
                      <w:lang w:val="en-US" w:eastAsia="zh-CN"/>
                    </w:rPr>
                    <w:t>2</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p>
              </w:tc>
              <w:tc>
                <w:tcPr>
                  <w:tcW w:w="77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车棚</w:t>
                  </w:r>
                </w:p>
              </w:tc>
              <w:tc>
                <w:tcPr>
                  <w:tcW w:w="160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1座1层，钢结构棚，建筑面积100m</w:t>
                  </w:r>
                  <w:r>
                    <w:rPr>
                      <w:rFonts w:hint="default" w:ascii="Times New Roman" w:hAnsi="Times New Roman" w:cs="Times New Roman"/>
                      <w:snapToGrid w:val="0"/>
                      <w:color w:val="auto"/>
                      <w:kern w:val="0"/>
                      <w:sz w:val="18"/>
                      <w:szCs w:val="18"/>
                      <w:highlight w:val="none"/>
                      <w:vertAlign w:val="superscript"/>
                      <w:lang w:val="en-US" w:eastAsia="zh-CN"/>
                    </w:rPr>
                    <w:t>2</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1座1层，钢结构棚，建筑面积100m</w:t>
                  </w:r>
                  <w:r>
                    <w:rPr>
                      <w:rFonts w:hint="default" w:ascii="Times New Roman" w:hAnsi="Times New Roman" w:cs="Times New Roman"/>
                      <w:snapToGrid w:val="0"/>
                      <w:color w:val="auto"/>
                      <w:kern w:val="0"/>
                      <w:sz w:val="18"/>
                      <w:szCs w:val="18"/>
                      <w:highlight w:val="none"/>
                      <w:vertAlign w:val="superscript"/>
                      <w:lang w:val="en-US" w:eastAsia="zh-CN"/>
                    </w:rPr>
                    <w:t>2</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公用</w:t>
                  </w:r>
                </w:p>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工程</w:t>
                  </w:r>
                </w:p>
              </w:tc>
              <w:tc>
                <w:tcPr>
                  <w:tcW w:w="77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sz w:val="18"/>
                      <w:szCs w:val="18"/>
                      <w:highlight w:val="none"/>
                    </w:rPr>
                  </w:pPr>
                  <w:r>
                    <w:rPr>
                      <w:rFonts w:hint="default" w:ascii="Times New Roman" w:hAnsi="Times New Roman" w:cs="Times New Roman"/>
                      <w:snapToGrid w:val="0"/>
                      <w:color w:val="auto"/>
                      <w:sz w:val="18"/>
                      <w:szCs w:val="18"/>
                      <w:highlight w:val="none"/>
                    </w:rPr>
                    <w:t>供水</w:t>
                  </w:r>
                </w:p>
              </w:tc>
              <w:tc>
                <w:tcPr>
                  <w:tcW w:w="16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snapToGrid w:val="0"/>
                      <w:color w:val="auto"/>
                      <w:sz w:val="18"/>
                      <w:szCs w:val="18"/>
                      <w:highlight w:val="none"/>
                      <w:lang w:eastAsia="zh-CN"/>
                    </w:rPr>
                  </w:pPr>
                  <w:r>
                    <w:rPr>
                      <w:rFonts w:hint="default" w:ascii="Times New Roman" w:hAnsi="Times New Roman" w:cs="Times New Roman"/>
                      <w:snapToGrid w:val="0"/>
                      <w:color w:val="auto"/>
                      <w:sz w:val="18"/>
                      <w:szCs w:val="18"/>
                      <w:highlight w:val="none"/>
                      <w:lang w:eastAsia="zh-CN"/>
                    </w:rPr>
                    <w:t>新乡县市政供水管网</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cs="Times New Roman"/>
                      <w:snapToGrid w:val="0"/>
                      <w:color w:val="auto"/>
                      <w:sz w:val="18"/>
                      <w:szCs w:val="18"/>
                      <w:highlight w:val="none"/>
                      <w:lang w:eastAsia="zh-CN"/>
                    </w:rPr>
                    <w:t>新乡县市政供水管网</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snapToGrid w:val="0"/>
                      <w:color w:val="auto"/>
                      <w:sz w:val="18"/>
                      <w:szCs w:val="18"/>
                      <w:highlight w:val="none"/>
                      <w:lang w:eastAsia="zh-CN"/>
                    </w:rPr>
                  </w:pPr>
                  <w:r>
                    <w:rPr>
                      <w:rFonts w:hint="default" w:ascii="Times New Roman" w:hAnsi="Times New Roman" w:cs="Times New Roman"/>
                      <w:snapToGrid w:val="0"/>
                      <w:color w:val="auto"/>
                      <w:kern w:val="0"/>
                      <w:sz w:val="18"/>
                      <w:szCs w:val="18"/>
                      <w:highlight w:val="none"/>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77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排水</w:t>
                  </w:r>
                </w:p>
              </w:tc>
              <w:tc>
                <w:tcPr>
                  <w:tcW w:w="16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生活污水经化粪池处理后，经区域污水管网排入新乡县综合污水处理厂进一步处理</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eastAsia="zh-CN"/>
                    </w:rPr>
                    <w:t>生活污水经化粪池处理后，经区域污水管网排入新乡县综合污水处理厂进一步处理</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7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16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kern w:val="0"/>
                      <w:sz w:val="18"/>
                      <w:szCs w:val="18"/>
                      <w:highlight w:val="none"/>
                      <w:lang w:eastAsia="zh-CN"/>
                    </w:rPr>
                  </w:pPr>
                  <w:r>
                    <w:rPr>
                      <w:rFonts w:hint="eastAsia" w:cs="Times New Roman"/>
                      <w:snapToGrid w:val="0"/>
                      <w:color w:val="auto"/>
                      <w:kern w:val="0"/>
                      <w:sz w:val="18"/>
                      <w:szCs w:val="18"/>
                      <w:highlight w:val="none"/>
                      <w:lang w:eastAsia="zh-CN"/>
                    </w:rPr>
                    <w:t>磨边冲洗废水、镀膜前后清洗废水</w:t>
                  </w:r>
                  <w:r>
                    <w:rPr>
                      <w:rFonts w:hint="default" w:ascii="Times New Roman" w:hAnsi="Times New Roman" w:cs="Times New Roman"/>
                      <w:snapToGrid w:val="0"/>
                      <w:color w:val="auto"/>
                      <w:kern w:val="0"/>
                      <w:sz w:val="18"/>
                      <w:szCs w:val="18"/>
                      <w:highlight w:val="none"/>
                      <w:lang w:eastAsia="zh-CN"/>
                    </w:rPr>
                    <w:t>经设置</w:t>
                  </w:r>
                  <w:r>
                    <w:rPr>
                      <w:rFonts w:hint="eastAsia" w:cs="Times New Roman"/>
                      <w:snapToGrid w:val="0"/>
                      <w:color w:val="auto"/>
                      <w:kern w:val="0"/>
                      <w:sz w:val="18"/>
                      <w:szCs w:val="18"/>
                      <w:highlight w:val="none"/>
                      <w:lang w:eastAsia="zh-CN"/>
                    </w:rPr>
                    <w:t>“</w:t>
                  </w:r>
                  <w:r>
                    <w:rPr>
                      <w:rFonts w:hint="default" w:ascii="Times New Roman" w:hAnsi="Times New Roman" w:cs="Times New Roman"/>
                      <w:snapToGrid w:val="0"/>
                      <w:color w:val="auto"/>
                      <w:kern w:val="0"/>
                      <w:sz w:val="18"/>
                      <w:szCs w:val="18"/>
                      <w:highlight w:val="none"/>
                      <w:lang w:eastAsia="zh-CN"/>
                    </w:rPr>
                    <w:t>沉淀池</w:t>
                  </w:r>
                  <w:r>
                    <w:rPr>
                      <w:rFonts w:hint="eastAsia" w:cs="Times New Roman"/>
                      <w:snapToGrid w:val="0"/>
                      <w:color w:val="auto"/>
                      <w:kern w:val="0"/>
                      <w:sz w:val="18"/>
                      <w:szCs w:val="18"/>
                      <w:highlight w:val="none"/>
                      <w:lang w:eastAsia="zh-CN"/>
                    </w:rPr>
                    <w:t>（</w:t>
                  </w:r>
                  <w:r>
                    <w:rPr>
                      <w:rFonts w:hint="eastAsia" w:cs="Times New Roman"/>
                      <w:snapToGrid w:val="0"/>
                      <w:color w:val="auto"/>
                      <w:kern w:val="0"/>
                      <w:sz w:val="18"/>
                      <w:szCs w:val="18"/>
                      <w:highlight w:val="none"/>
                      <w:lang w:val="en-US" w:eastAsia="zh-CN"/>
                    </w:rPr>
                    <w:t>72m</w:t>
                  </w:r>
                  <w:r>
                    <w:rPr>
                      <w:rFonts w:hint="eastAsia" w:cs="Times New Roman"/>
                      <w:snapToGrid w:val="0"/>
                      <w:color w:val="auto"/>
                      <w:kern w:val="0"/>
                      <w:sz w:val="18"/>
                      <w:szCs w:val="18"/>
                      <w:highlight w:val="none"/>
                      <w:vertAlign w:val="superscript"/>
                      <w:lang w:val="en-US" w:eastAsia="zh-CN"/>
                    </w:rPr>
                    <w:t>3</w:t>
                  </w:r>
                  <w:r>
                    <w:rPr>
                      <w:rFonts w:hint="eastAsia" w:cs="Times New Roman"/>
                      <w:snapToGrid w:val="0"/>
                      <w:color w:val="auto"/>
                      <w:kern w:val="0"/>
                      <w:sz w:val="18"/>
                      <w:szCs w:val="18"/>
                      <w:highlight w:val="none"/>
                      <w:lang w:eastAsia="zh-CN"/>
                    </w:rPr>
                    <w:t>）</w:t>
                  </w:r>
                  <w:r>
                    <w:rPr>
                      <w:rFonts w:hint="default" w:ascii="Times New Roman" w:hAnsi="Times New Roman" w:cs="Times New Roman"/>
                      <w:snapToGrid w:val="0"/>
                      <w:color w:val="auto"/>
                      <w:kern w:val="0"/>
                      <w:sz w:val="18"/>
                      <w:szCs w:val="18"/>
                      <w:highlight w:val="none"/>
                      <w:lang w:val="en-US" w:eastAsia="zh-CN"/>
                    </w:rPr>
                    <w:t>+混凝沉淀池</w:t>
                  </w:r>
                  <w:r>
                    <w:rPr>
                      <w:rFonts w:hint="eastAsia" w:cs="Times New Roman"/>
                      <w:snapToGrid w:val="0"/>
                      <w:color w:val="auto"/>
                      <w:kern w:val="0"/>
                      <w:sz w:val="18"/>
                      <w:szCs w:val="18"/>
                      <w:highlight w:val="none"/>
                      <w:lang w:eastAsia="zh-CN"/>
                    </w:rPr>
                    <w:t>（</w:t>
                  </w:r>
                  <w:r>
                    <w:rPr>
                      <w:rFonts w:hint="eastAsia" w:cs="Times New Roman"/>
                      <w:snapToGrid w:val="0"/>
                      <w:color w:val="auto"/>
                      <w:kern w:val="0"/>
                      <w:sz w:val="18"/>
                      <w:szCs w:val="18"/>
                      <w:highlight w:val="none"/>
                      <w:lang w:val="en-US" w:eastAsia="zh-CN"/>
                    </w:rPr>
                    <w:t>5m</w:t>
                  </w:r>
                  <w:r>
                    <w:rPr>
                      <w:rFonts w:hint="eastAsia" w:cs="Times New Roman"/>
                      <w:snapToGrid w:val="0"/>
                      <w:color w:val="auto"/>
                      <w:kern w:val="0"/>
                      <w:sz w:val="18"/>
                      <w:szCs w:val="18"/>
                      <w:highlight w:val="none"/>
                      <w:vertAlign w:val="superscript"/>
                      <w:lang w:val="en-US" w:eastAsia="zh-CN"/>
                    </w:rPr>
                    <w:t>3</w:t>
                  </w:r>
                  <w:r>
                    <w:rPr>
                      <w:rFonts w:hint="eastAsia" w:cs="Times New Roman"/>
                      <w:snapToGrid w:val="0"/>
                      <w:color w:val="auto"/>
                      <w:kern w:val="0"/>
                      <w:sz w:val="18"/>
                      <w:szCs w:val="18"/>
                      <w:highlight w:val="none"/>
                      <w:lang w:eastAsia="zh-CN"/>
                    </w:rPr>
                    <w:t>）”</w:t>
                  </w:r>
                  <w:r>
                    <w:rPr>
                      <w:rFonts w:hint="default" w:ascii="Times New Roman" w:hAnsi="Times New Roman" w:cs="Times New Roman"/>
                      <w:snapToGrid w:val="0"/>
                      <w:color w:val="auto"/>
                      <w:kern w:val="0"/>
                      <w:sz w:val="18"/>
                      <w:szCs w:val="18"/>
                      <w:highlight w:val="none"/>
                      <w:lang w:eastAsia="zh-CN"/>
                    </w:rPr>
                    <w:t>处理后，</w:t>
                  </w:r>
                  <w:r>
                    <w:rPr>
                      <w:rFonts w:hint="eastAsia" w:cs="Times New Roman"/>
                      <w:snapToGrid w:val="0"/>
                      <w:color w:val="auto"/>
                      <w:kern w:val="0"/>
                      <w:sz w:val="18"/>
                      <w:szCs w:val="18"/>
                      <w:highlight w:val="none"/>
                      <w:lang w:eastAsia="zh-CN"/>
                    </w:rPr>
                    <w:t>同纯水制备浓水一同经厂区总排口排入区域污水管网，后排入新乡县综合污水处理厂</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下料、磨边、粗磨、精磨冷加工工序冲洗废水经设置沉淀池（72m</w:t>
                  </w:r>
                  <w:r>
                    <w:rPr>
                      <w:rFonts w:hint="default" w:ascii="Times New Roman" w:hAnsi="Times New Roman" w:cs="Times New Roman"/>
                      <w:snapToGrid w:val="0"/>
                      <w:color w:val="auto"/>
                      <w:kern w:val="0"/>
                      <w:sz w:val="18"/>
                      <w:szCs w:val="18"/>
                      <w:highlight w:val="none"/>
                      <w:vertAlign w:val="superscript"/>
                      <w:lang w:eastAsia="zh-CN"/>
                    </w:rPr>
                    <w:t>3</w:t>
                  </w:r>
                  <w:r>
                    <w:rPr>
                      <w:rFonts w:hint="default" w:ascii="Times New Roman" w:hAnsi="Times New Roman" w:cs="Times New Roman"/>
                      <w:snapToGrid w:val="0"/>
                      <w:color w:val="auto"/>
                      <w:kern w:val="0"/>
                      <w:sz w:val="18"/>
                      <w:szCs w:val="18"/>
                      <w:highlight w:val="none"/>
                      <w:lang w:eastAsia="zh-CN"/>
                    </w:rPr>
                    <w:t>）处理后循环使用，沉淀池内废水每月定期排入混凝沉淀池（5m</w:t>
                  </w:r>
                  <w:r>
                    <w:rPr>
                      <w:rFonts w:hint="default" w:ascii="Times New Roman" w:hAnsi="Times New Roman" w:cs="Times New Roman"/>
                      <w:snapToGrid w:val="0"/>
                      <w:color w:val="auto"/>
                      <w:kern w:val="0"/>
                      <w:sz w:val="18"/>
                      <w:szCs w:val="18"/>
                      <w:highlight w:val="none"/>
                      <w:vertAlign w:val="superscript"/>
                      <w:lang w:eastAsia="zh-CN"/>
                    </w:rPr>
                    <w:t>3</w:t>
                  </w:r>
                  <w:r>
                    <w:rPr>
                      <w:rFonts w:hint="default" w:ascii="Times New Roman" w:hAnsi="Times New Roman" w:cs="Times New Roman"/>
                      <w:snapToGrid w:val="0"/>
                      <w:color w:val="auto"/>
                      <w:kern w:val="0"/>
                      <w:sz w:val="18"/>
                      <w:szCs w:val="18"/>
                      <w:highlight w:val="none"/>
                      <w:lang w:eastAsia="zh-CN"/>
                    </w:rPr>
                    <w:t>）处理，镀膜前后清洗废水直接排入混凝沉淀池处理，混凝沉淀池处理后废水同软水制备浓水一同经厂区总排口排入区域污水管网，后排入新乡县综合污水处理厂</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eastAsia" w:cs="Times New Roman"/>
                      <w:snapToGrid w:val="0"/>
                      <w:color w:val="auto"/>
                      <w:kern w:val="0"/>
                      <w:sz w:val="18"/>
                      <w:szCs w:val="18"/>
                      <w:highlight w:val="none"/>
                      <w:lang w:eastAsia="zh-CN"/>
                    </w:rPr>
                    <w:t>废水设施利用现有，排放方式发生变化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7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16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纯水制备浓水直接经厂区总排口排入区域污水管网</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纯水制备浓水直接经厂区总排口排入区域污水管网</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eastAsia" w:cs="Times New Roman"/>
                      <w:snapToGrid w:val="0"/>
                      <w:color w:val="auto"/>
                      <w:kern w:val="0"/>
                      <w:sz w:val="18"/>
                      <w:szCs w:val="18"/>
                      <w:highlight w:val="none"/>
                      <w:lang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77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供电</w:t>
                  </w:r>
                </w:p>
              </w:tc>
              <w:tc>
                <w:tcPr>
                  <w:tcW w:w="16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sz w:val="18"/>
                      <w:szCs w:val="18"/>
                      <w:highlight w:val="none"/>
                      <w:lang w:eastAsia="zh-CN"/>
                    </w:rPr>
                    <w:t>新乡县市政供电管网</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sz w:val="18"/>
                      <w:szCs w:val="18"/>
                      <w:highlight w:val="none"/>
                      <w:lang w:eastAsia="zh-CN"/>
                    </w:rPr>
                    <w:t>新乡县市政供电管网</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eastAsia" w:cs="Times New Roman"/>
                      <w:snapToGrid w:val="0"/>
                      <w:color w:val="auto"/>
                      <w:kern w:val="0"/>
                      <w:sz w:val="18"/>
                      <w:szCs w:val="18"/>
                      <w:highlight w:val="none"/>
                      <w:lang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环保</w:t>
                  </w:r>
                </w:p>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工程</w:t>
                  </w:r>
                </w:p>
              </w:tc>
              <w:tc>
                <w:tcPr>
                  <w:tcW w:w="77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废水</w:t>
                  </w:r>
                </w:p>
              </w:tc>
              <w:tc>
                <w:tcPr>
                  <w:tcW w:w="16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cs="Times New Roman"/>
                      <w:snapToGrid w:val="0"/>
                      <w:color w:val="auto"/>
                      <w:kern w:val="2"/>
                      <w:sz w:val="18"/>
                      <w:szCs w:val="18"/>
                      <w:highlight w:val="none"/>
                      <w:lang w:val="en-US" w:eastAsia="zh-CN" w:bidi="ar-SA"/>
                    </w:rPr>
                    <w:t>化粪池</w:t>
                  </w:r>
                  <w:r>
                    <w:rPr>
                      <w:rFonts w:hint="eastAsia" w:cs="Times New Roman"/>
                      <w:snapToGrid w:val="0"/>
                      <w:color w:val="auto"/>
                      <w:kern w:val="2"/>
                      <w:sz w:val="18"/>
                      <w:szCs w:val="18"/>
                      <w:highlight w:val="none"/>
                      <w:lang w:val="en-US" w:eastAsia="zh-CN" w:bidi="ar-SA"/>
                    </w:rPr>
                    <w:t>（15</w:t>
                  </w:r>
                  <w:r>
                    <w:rPr>
                      <w:rFonts w:hint="default" w:ascii="Times New Roman" w:hAnsi="Times New Roman" w:cs="Times New Roman"/>
                      <w:snapToGrid w:val="0"/>
                      <w:color w:val="auto"/>
                      <w:kern w:val="2"/>
                      <w:sz w:val="18"/>
                      <w:szCs w:val="18"/>
                      <w:highlight w:val="none"/>
                      <w:lang w:val="en-US" w:eastAsia="zh-CN" w:bidi="ar-SA"/>
                    </w:rPr>
                    <w:t>m</w:t>
                  </w:r>
                  <w:r>
                    <w:rPr>
                      <w:rFonts w:hint="default" w:ascii="Times New Roman" w:hAnsi="Times New Roman" w:cs="Times New Roman"/>
                      <w:snapToGrid w:val="0"/>
                      <w:color w:val="auto"/>
                      <w:kern w:val="2"/>
                      <w:sz w:val="18"/>
                      <w:szCs w:val="18"/>
                      <w:highlight w:val="none"/>
                      <w:vertAlign w:val="superscript"/>
                      <w:lang w:val="en-US" w:eastAsia="zh-CN" w:bidi="ar-SA"/>
                    </w:rPr>
                    <w:t>3</w:t>
                  </w:r>
                  <w:r>
                    <w:rPr>
                      <w:rFonts w:hint="eastAsia" w:cs="Times New Roman"/>
                      <w:snapToGrid w:val="0"/>
                      <w:color w:val="auto"/>
                      <w:kern w:val="2"/>
                      <w:sz w:val="18"/>
                      <w:szCs w:val="18"/>
                      <w:highlight w:val="none"/>
                      <w:lang w:val="en-US" w:eastAsia="zh-CN" w:bidi="ar-SA"/>
                    </w:rPr>
                    <w:t>）</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cs="Times New Roman"/>
                      <w:snapToGrid w:val="0"/>
                      <w:color w:val="auto"/>
                      <w:kern w:val="2"/>
                      <w:sz w:val="18"/>
                      <w:szCs w:val="18"/>
                      <w:highlight w:val="none"/>
                      <w:lang w:val="en-US" w:eastAsia="zh-CN" w:bidi="ar-SA"/>
                    </w:rPr>
                    <w:t>化粪池</w:t>
                  </w:r>
                  <w:r>
                    <w:rPr>
                      <w:rFonts w:hint="eastAsia" w:cs="Times New Roman"/>
                      <w:snapToGrid w:val="0"/>
                      <w:color w:val="auto"/>
                      <w:kern w:val="2"/>
                      <w:sz w:val="18"/>
                      <w:szCs w:val="18"/>
                      <w:highlight w:val="none"/>
                      <w:lang w:val="en-US" w:eastAsia="zh-CN" w:bidi="ar-SA"/>
                    </w:rPr>
                    <w:t>（15</w:t>
                  </w:r>
                  <w:r>
                    <w:rPr>
                      <w:rFonts w:hint="default" w:ascii="Times New Roman" w:hAnsi="Times New Roman" w:cs="Times New Roman"/>
                      <w:snapToGrid w:val="0"/>
                      <w:color w:val="auto"/>
                      <w:kern w:val="2"/>
                      <w:sz w:val="18"/>
                      <w:szCs w:val="18"/>
                      <w:highlight w:val="none"/>
                      <w:lang w:val="en-US" w:eastAsia="zh-CN" w:bidi="ar-SA"/>
                    </w:rPr>
                    <w:t>m</w:t>
                  </w:r>
                  <w:r>
                    <w:rPr>
                      <w:rFonts w:hint="default" w:ascii="Times New Roman" w:hAnsi="Times New Roman" w:cs="Times New Roman"/>
                      <w:snapToGrid w:val="0"/>
                      <w:color w:val="auto"/>
                      <w:kern w:val="2"/>
                      <w:sz w:val="18"/>
                      <w:szCs w:val="18"/>
                      <w:highlight w:val="none"/>
                      <w:vertAlign w:val="superscript"/>
                      <w:lang w:val="en-US" w:eastAsia="zh-CN" w:bidi="ar-SA"/>
                    </w:rPr>
                    <w:t>3</w:t>
                  </w:r>
                  <w:r>
                    <w:rPr>
                      <w:rFonts w:hint="eastAsia" w:cs="Times New Roman"/>
                      <w:snapToGrid w:val="0"/>
                      <w:color w:val="auto"/>
                      <w:kern w:val="2"/>
                      <w:sz w:val="18"/>
                      <w:szCs w:val="18"/>
                      <w:highlight w:val="none"/>
                      <w:lang w:val="en-US" w:eastAsia="zh-CN" w:bidi="ar-SA"/>
                    </w:rPr>
                    <w:t>）</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2"/>
                      <w:sz w:val="18"/>
                      <w:szCs w:val="18"/>
                      <w:highlight w:val="none"/>
                      <w:lang w:val="en-US" w:eastAsia="zh-CN" w:bidi="ar-SA"/>
                    </w:rPr>
                  </w:pPr>
                  <w:r>
                    <w:rPr>
                      <w:rFonts w:hint="eastAsia" w:cs="Times New Roman"/>
                      <w:snapToGrid w:val="0"/>
                      <w:color w:val="auto"/>
                      <w:kern w:val="2"/>
                      <w:sz w:val="18"/>
                      <w:szCs w:val="18"/>
                      <w:highlight w:val="none"/>
                      <w:lang w:val="en-US" w:eastAsia="zh-CN" w:bidi="ar-SA"/>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7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p>
              </w:tc>
              <w:tc>
                <w:tcPr>
                  <w:tcW w:w="16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cs="Times New Roman"/>
                      <w:snapToGrid w:val="0"/>
                      <w:color w:val="auto"/>
                      <w:kern w:val="2"/>
                      <w:sz w:val="18"/>
                      <w:szCs w:val="18"/>
                      <w:highlight w:val="none"/>
                      <w:lang w:val="en-US" w:eastAsia="zh-CN" w:bidi="ar-SA"/>
                    </w:rPr>
                    <w:t>沉淀池（72m</w:t>
                  </w:r>
                  <w:r>
                    <w:rPr>
                      <w:rFonts w:hint="default" w:ascii="Times New Roman" w:hAnsi="Times New Roman" w:cs="Times New Roman"/>
                      <w:snapToGrid w:val="0"/>
                      <w:color w:val="auto"/>
                      <w:kern w:val="2"/>
                      <w:sz w:val="18"/>
                      <w:szCs w:val="18"/>
                      <w:highlight w:val="none"/>
                      <w:vertAlign w:val="superscript"/>
                      <w:lang w:val="en-US" w:eastAsia="zh-CN" w:bidi="ar-SA"/>
                    </w:rPr>
                    <w:t>3</w:t>
                  </w:r>
                  <w:r>
                    <w:rPr>
                      <w:rFonts w:hint="default" w:ascii="Times New Roman" w:hAnsi="Times New Roman" w:cs="Times New Roman"/>
                      <w:snapToGrid w:val="0"/>
                      <w:color w:val="auto"/>
                      <w:kern w:val="2"/>
                      <w:sz w:val="18"/>
                      <w:szCs w:val="18"/>
                      <w:highlight w:val="none"/>
                      <w:lang w:val="en-US" w:eastAsia="zh-CN" w:bidi="ar-SA"/>
                    </w:rPr>
                    <w:t>）+</w:t>
                  </w:r>
                  <w:r>
                    <w:rPr>
                      <w:rFonts w:hint="default" w:ascii="Times New Roman" w:hAnsi="Times New Roman" w:cs="Times New Roman"/>
                      <w:snapToGrid w:val="0"/>
                      <w:color w:val="auto"/>
                      <w:kern w:val="0"/>
                      <w:sz w:val="18"/>
                      <w:szCs w:val="18"/>
                      <w:highlight w:val="none"/>
                      <w:lang w:val="en-US" w:eastAsia="zh-CN"/>
                    </w:rPr>
                    <w:t>混凝沉淀池</w:t>
                  </w:r>
                  <w:r>
                    <w:rPr>
                      <w:rFonts w:hint="default" w:ascii="Times New Roman" w:hAnsi="Times New Roman" w:cs="Times New Roman"/>
                      <w:snapToGrid w:val="0"/>
                      <w:color w:val="auto"/>
                      <w:kern w:val="2"/>
                      <w:sz w:val="18"/>
                      <w:szCs w:val="18"/>
                      <w:highlight w:val="none"/>
                      <w:lang w:val="en-US" w:eastAsia="zh-CN" w:bidi="ar-SA"/>
                    </w:rPr>
                    <w:t>（5m</w:t>
                  </w:r>
                  <w:r>
                    <w:rPr>
                      <w:rFonts w:hint="default" w:ascii="Times New Roman" w:hAnsi="Times New Roman" w:cs="Times New Roman"/>
                      <w:snapToGrid w:val="0"/>
                      <w:color w:val="auto"/>
                      <w:kern w:val="2"/>
                      <w:sz w:val="18"/>
                      <w:szCs w:val="18"/>
                      <w:highlight w:val="none"/>
                      <w:vertAlign w:val="superscript"/>
                      <w:lang w:val="en-US" w:eastAsia="zh-CN" w:bidi="ar-SA"/>
                    </w:rPr>
                    <w:t>3</w:t>
                  </w:r>
                  <w:r>
                    <w:rPr>
                      <w:rFonts w:hint="default" w:ascii="Times New Roman" w:hAnsi="Times New Roman" w:cs="Times New Roman"/>
                      <w:snapToGrid w:val="0"/>
                      <w:color w:val="auto"/>
                      <w:kern w:val="2"/>
                      <w:sz w:val="18"/>
                      <w:szCs w:val="18"/>
                      <w:highlight w:val="none"/>
                      <w:lang w:val="en-US" w:eastAsia="zh-CN" w:bidi="ar-SA"/>
                    </w:rPr>
                    <w:t>）</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cs="Times New Roman"/>
                      <w:snapToGrid w:val="0"/>
                      <w:color w:val="auto"/>
                      <w:kern w:val="2"/>
                      <w:sz w:val="18"/>
                      <w:szCs w:val="18"/>
                      <w:highlight w:val="none"/>
                      <w:lang w:val="en-US" w:eastAsia="zh-CN" w:bidi="ar-SA"/>
                    </w:rPr>
                    <w:t>沉淀池（72m</w:t>
                  </w:r>
                  <w:r>
                    <w:rPr>
                      <w:rFonts w:hint="default" w:ascii="Times New Roman" w:hAnsi="Times New Roman" w:cs="Times New Roman"/>
                      <w:snapToGrid w:val="0"/>
                      <w:color w:val="auto"/>
                      <w:kern w:val="2"/>
                      <w:sz w:val="18"/>
                      <w:szCs w:val="18"/>
                      <w:highlight w:val="none"/>
                      <w:vertAlign w:val="superscript"/>
                      <w:lang w:val="en-US" w:eastAsia="zh-CN" w:bidi="ar-SA"/>
                    </w:rPr>
                    <w:t>3</w:t>
                  </w:r>
                  <w:r>
                    <w:rPr>
                      <w:rFonts w:hint="default" w:ascii="Times New Roman" w:hAnsi="Times New Roman" w:cs="Times New Roman"/>
                      <w:snapToGrid w:val="0"/>
                      <w:color w:val="auto"/>
                      <w:kern w:val="2"/>
                      <w:sz w:val="18"/>
                      <w:szCs w:val="18"/>
                      <w:highlight w:val="none"/>
                      <w:lang w:val="en-US" w:eastAsia="zh-CN" w:bidi="ar-SA"/>
                    </w:rPr>
                    <w:t>）+</w:t>
                  </w:r>
                  <w:r>
                    <w:rPr>
                      <w:rFonts w:hint="default" w:ascii="Times New Roman" w:hAnsi="Times New Roman" w:cs="Times New Roman"/>
                      <w:snapToGrid w:val="0"/>
                      <w:color w:val="auto"/>
                      <w:kern w:val="0"/>
                      <w:sz w:val="18"/>
                      <w:szCs w:val="18"/>
                      <w:highlight w:val="none"/>
                      <w:lang w:val="en-US" w:eastAsia="zh-CN"/>
                    </w:rPr>
                    <w:t>混凝沉淀池</w:t>
                  </w:r>
                  <w:r>
                    <w:rPr>
                      <w:rFonts w:hint="default" w:ascii="Times New Roman" w:hAnsi="Times New Roman" w:cs="Times New Roman"/>
                      <w:snapToGrid w:val="0"/>
                      <w:color w:val="auto"/>
                      <w:kern w:val="2"/>
                      <w:sz w:val="18"/>
                      <w:szCs w:val="18"/>
                      <w:highlight w:val="none"/>
                      <w:lang w:val="en-US" w:eastAsia="zh-CN" w:bidi="ar-SA"/>
                    </w:rPr>
                    <w:t>（5m</w:t>
                  </w:r>
                  <w:r>
                    <w:rPr>
                      <w:rFonts w:hint="default" w:ascii="Times New Roman" w:hAnsi="Times New Roman" w:cs="Times New Roman"/>
                      <w:snapToGrid w:val="0"/>
                      <w:color w:val="auto"/>
                      <w:kern w:val="2"/>
                      <w:sz w:val="18"/>
                      <w:szCs w:val="18"/>
                      <w:highlight w:val="none"/>
                      <w:vertAlign w:val="superscript"/>
                      <w:lang w:val="en-US" w:eastAsia="zh-CN" w:bidi="ar-SA"/>
                    </w:rPr>
                    <w:t>3</w:t>
                  </w:r>
                  <w:r>
                    <w:rPr>
                      <w:rFonts w:hint="default" w:ascii="Times New Roman" w:hAnsi="Times New Roman" w:cs="Times New Roman"/>
                      <w:snapToGrid w:val="0"/>
                      <w:color w:val="auto"/>
                      <w:kern w:val="2"/>
                      <w:sz w:val="18"/>
                      <w:szCs w:val="18"/>
                      <w:highlight w:val="none"/>
                      <w:lang w:val="en-US" w:eastAsia="zh-CN" w:bidi="ar-SA"/>
                    </w:rPr>
                    <w:t>）</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eastAsia" w:cs="Times New Roman"/>
                      <w:snapToGrid w:val="0"/>
                      <w:color w:val="auto"/>
                      <w:kern w:val="2"/>
                      <w:sz w:val="18"/>
                      <w:szCs w:val="18"/>
                      <w:highlight w:val="none"/>
                      <w:lang w:val="en-US" w:eastAsia="zh-CN" w:bidi="ar-SA"/>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77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固废</w:t>
                  </w:r>
                </w:p>
              </w:tc>
              <w:tc>
                <w:tcPr>
                  <w:tcW w:w="1606" w:type="pct"/>
                  <w:noWrap w:val="0"/>
                  <w:vAlign w:val="center"/>
                </w:tcPr>
                <w:p>
                  <w:pPr>
                    <w:adjustRightInd w:val="0"/>
                    <w:snapToGrid w:val="0"/>
                    <w:spacing w:line="240" w:lineRule="auto"/>
                    <w:jc w:val="both"/>
                    <w:rPr>
                      <w:rFonts w:hint="default" w:ascii="Times New Roman" w:hAnsi="Times New Roman" w:eastAsia="宋体"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zh-CN"/>
                    </w:rPr>
                    <w:t>一般固废暂存间（</w:t>
                  </w:r>
                  <w:r>
                    <w:rPr>
                      <w:rFonts w:hint="default" w:ascii="Times New Roman" w:hAnsi="Times New Roman" w:cs="Times New Roman"/>
                      <w:snapToGrid w:val="0"/>
                      <w:color w:val="auto"/>
                      <w:sz w:val="18"/>
                      <w:szCs w:val="18"/>
                      <w:highlight w:val="none"/>
                      <w:lang w:val="en-US" w:eastAsia="zh-CN"/>
                    </w:rPr>
                    <w:t>30</w:t>
                  </w:r>
                  <w:r>
                    <w:rPr>
                      <w:rFonts w:hint="default" w:ascii="Times New Roman" w:hAnsi="Times New Roman" w:cs="Times New Roman"/>
                      <w:snapToGrid w:val="0"/>
                      <w:color w:val="auto"/>
                      <w:sz w:val="18"/>
                      <w:szCs w:val="18"/>
                      <w:highlight w:val="none"/>
                    </w:rPr>
                    <w:t>m</w:t>
                  </w:r>
                  <w:r>
                    <w:rPr>
                      <w:rFonts w:hint="default" w:ascii="Times New Roman" w:hAnsi="Times New Roman" w:cs="Times New Roman"/>
                      <w:snapToGrid w:val="0"/>
                      <w:color w:val="auto"/>
                      <w:sz w:val="18"/>
                      <w:szCs w:val="18"/>
                      <w:highlight w:val="none"/>
                      <w:vertAlign w:val="superscript"/>
                    </w:rPr>
                    <w:t>2</w:t>
                  </w:r>
                  <w:r>
                    <w:rPr>
                      <w:rFonts w:hint="default" w:ascii="Times New Roman" w:hAnsi="Times New Roman" w:cs="Times New Roman"/>
                      <w:snapToGrid w:val="0"/>
                      <w:color w:val="auto"/>
                      <w:sz w:val="18"/>
                      <w:szCs w:val="18"/>
                      <w:highlight w:val="none"/>
                      <w:lang w:val="zh-CN"/>
                    </w:rPr>
                    <w:t>）</w:t>
                  </w:r>
                </w:p>
              </w:tc>
              <w:tc>
                <w:tcPr>
                  <w:tcW w:w="1607" w:type="pct"/>
                  <w:noWrap w:val="0"/>
                  <w:vAlign w:val="center"/>
                </w:tcPr>
                <w:p>
                  <w:pPr>
                    <w:adjustRightInd w:val="0"/>
                    <w:snapToGrid w:val="0"/>
                    <w:spacing w:line="240" w:lineRule="auto"/>
                    <w:jc w:val="both"/>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cs="Times New Roman"/>
                      <w:snapToGrid w:val="0"/>
                      <w:color w:val="auto"/>
                      <w:sz w:val="18"/>
                      <w:szCs w:val="18"/>
                      <w:highlight w:val="none"/>
                      <w:lang w:val="zh-CN"/>
                    </w:rPr>
                    <w:t>一般固废暂存间（</w:t>
                  </w:r>
                  <w:r>
                    <w:rPr>
                      <w:rFonts w:hint="default" w:ascii="Times New Roman" w:hAnsi="Times New Roman" w:cs="Times New Roman"/>
                      <w:snapToGrid w:val="0"/>
                      <w:color w:val="auto"/>
                      <w:sz w:val="18"/>
                      <w:szCs w:val="18"/>
                      <w:highlight w:val="none"/>
                      <w:lang w:val="en-US" w:eastAsia="zh-CN"/>
                    </w:rPr>
                    <w:t>30</w:t>
                  </w:r>
                  <w:r>
                    <w:rPr>
                      <w:rFonts w:hint="default" w:ascii="Times New Roman" w:hAnsi="Times New Roman" w:cs="Times New Roman"/>
                      <w:snapToGrid w:val="0"/>
                      <w:color w:val="auto"/>
                      <w:sz w:val="18"/>
                      <w:szCs w:val="18"/>
                      <w:highlight w:val="none"/>
                    </w:rPr>
                    <w:t>m</w:t>
                  </w:r>
                  <w:r>
                    <w:rPr>
                      <w:rFonts w:hint="default" w:ascii="Times New Roman" w:hAnsi="Times New Roman" w:cs="Times New Roman"/>
                      <w:snapToGrid w:val="0"/>
                      <w:color w:val="auto"/>
                      <w:sz w:val="18"/>
                      <w:szCs w:val="18"/>
                      <w:highlight w:val="none"/>
                      <w:vertAlign w:val="superscript"/>
                    </w:rPr>
                    <w:t>2</w:t>
                  </w:r>
                  <w:r>
                    <w:rPr>
                      <w:rFonts w:hint="default" w:ascii="Times New Roman" w:hAnsi="Times New Roman" w:cs="Times New Roman"/>
                      <w:snapToGrid w:val="0"/>
                      <w:color w:val="auto"/>
                      <w:sz w:val="18"/>
                      <w:szCs w:val="18"/>
                      <w:highlight w:val="none"/>
                      <w:lang w:val="zh-CN"/>
                    </w:rPr>
                    <w:t>）</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sz w:val="18"/>
                      <w:szCs w:val="18"/>
                      <w:highlight w:val="none"/>
                      <w:lang w:eastAsia="zh-CN"/>
                    </w:rPr>
                  </w:pPr>
                  <w:r>
                    <w:rPr>
                      <w:rFonts w:hint="eastAsia" w:cs="Times New Roman"/>
                      <w:snapToGrid w:val="0"/>
                      <w:color w:val="auto"/>
                      <w:kern w:val="2"/>
                      <w:sz w:val="18"/>
                      <w:szCs w:val="18"/>
                      <w:highlight w:val="none"/>
                      <w:lang w:val="en-US" w:eastAsia="zh-CN" w:bidi="ar-SA"/>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7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p>
              </w:tc>
              <w:tc>
                <w:tcPr>
                  <w:tcW w:w="1606" w:type="pct"/>
                  <w:noWrap w:val="0"/>
                  <w:vAlign w:val="center"/>
                </w:tcPr>
                <w:p>
                  <w:pPr>
                    <w:adjustRightInd w:val="0"/>
                    <w:snapToGrid w:val="0"/>
                    <w:spacing w:line="240" w:lineRule="auto"/>
                    <w:jc w:val="both"/>
                    <w:rPr>
                      <w:rFonts w:hint="default" w:ascii="Times New Roman" w:hAnsi="Times New Roman" w:eastAsia="宋体"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zh-CN"/>
                    </w:rPr>
                    <w:t>危险固废暂存间（</w:t>
                  </w:r>
                  <w:r>
                    <w:rPr>
                      <w:rFonts w:hint="default" w:ascii="Times New Roman" w:hAnsi="Times New Roman" w:cs="Times New Roman"/>
                      <w:snapToGrid w:val="0"/>
                      <w:color w:val="auto"/>
                      <w:sz w:val="18"/>
                      <w:szCs w:val="18"/>
                      <w:highlight w:val="none"/>
                    </w:rPr>
                    <w:t>10m</w:t>
                  </w:r>
                  <w:r>
                    <w:rPr>
                      <w:rFonts w:hint="default" w:ascii="Times New Roman" w:hAnsi="Times New Roman" w:cs="Times New Roman"/>
                      <w:snapToGrid w:val="0"/>
                      <w:color w:val="auto"/>
                      <w:sz w:val="18"/>
                      <w:szCs w:val="18"/>
                      <w:highlight w:val="none"/>
                      <w:vertAlign w:val="superscript"/>
                    </w:rPr>
                    <w:t>2</w:t>
                  </w:r>
                  <w:r>
                    <w:rPr>
                      <w:rFonts w:hint="default" w:ascii="Times New Roman" w:hAnsi="Times New Roman" w:cs="Times New Roman"/>
                      <w:snapToGrid w:val="0"/>
                      <w:color w:val="auto"/>
                      <w:sz w:val="18"/>
                      <w:szCs w:val="18"/>
                      <w:highlight w:val="none"/>
                      <w:lang w:val="zh-CN"/>
                    </w:rPr>
                    <w:t>）</w:t>
                  </w:r>
                </w:p>
              </w:tc>
              <w:tc>
                <w:tcPr>
                  <w:tcW w:w="1607" w:type="pct"/>
                  <w:noWrap w:val="0"/>
                  <w:vAlign w:val="center"/>
                </w:tcPr>
                <w:p>
                  <w:pPr>
                    <w:adjustRightInd w:val="0"/>
                    <w:snapToGrid w:val="0"/>
                    <w:spacing w:line="240" w:lineRule="auto"/>
                    <w:jc w:val="both"/>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cs="Times New Roman"/>
                      <w:snapToGrid w:val="0"/>
                      <w:color w:val="auto"/>
                      <w:sz w:val="18"/>
                      <w:szCs w:val="18"/>
                      <w:highlight w:val="none"/>
                      <w:lang w:val="zh-CN"/>
                    </w:rPr>
                    <w:t>危险固废暂存间（</w:t>
                  </w:r>
                  <w:r>
                    <w:rPr>
                      <w:rFonts w:hint="default" w:ascii="Times New Roman" w:hAnsi="Times New Roman" w:cs="Times New Roman"/>
                      <w:snapToGrid w:val="0"/>
                      <w:color w:val="auto"/>
                      <w:sz w:val="18"/>
                      <w:szCs w:val="18"/>
                      <w:highlight w:val="none"/>
                    </w:rPr>
                    <w:t>10m</w:t>
                  </w:r>
                  <w:r>
                    <w:rPr>
                      <w:rFonts w:hint="default" w:ascii="Times New Roman" w:hAnsi="Times New Roman" w:cs="Times New Roman"/>
                      <w:snapToGrid w:val="0"/>
                      <w:color w:val="auto"/>
                      <w:sz w:val="18"/>
                      <w:szCs w:val="18"/>
                      <w:highlight w:val="none"/>
                      <w:vertAlign w:val="superscript"/>
                    </w:rPr>
                    <w:t>2</w:t>
                  </w:r>
                  <w:r>
                    <w:rPr>
                      <w:rFonts w:hint="default" w:ascii="Times New Roman" w:hAnsi="Times New Roman" w:cs="Times New Roman"/>
                      <w:snapToGrid w:val="0"/>
                      <w:color w:val="auto"/>
                      <w:sz w:val="18"/>
                      <w:szCs w:val="18"/>
                      <w:highlight w:val="none"/>
                      <w:lang w:val="zh-CN"/>
                    </w:rPr>
                    <w:t>）</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val="en-US" w:eastAsia="zh-CN"/>
                    </w:rPr>
                    <w:t>不变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77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噪声</w:t>
                  </w:r>
                </w:p>
              </w:tc>
              <w:tc>
                <w:tcPr>
                  <w:tcW w:w="1606"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宋体"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机械设备噪声采用室内布置，设置减振基础等措施</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cs="Times New Roman"/>
                      <w:snapToGrid w:val="0"/>
                      <w:color w:val="auto"/>
                      <w:sz w:val="18"/>
                      <w:szCs w:val="18"/>
                      <w:highlight w:val="none"/>
                      <w:lang w:val="en-US" w:eastAsia="zh-CN"/>
                    </w:rPr>
                    <w:t>机械设备噪声采用室内布置，设置减振基础等措施</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default" w:ascii="Times New Roman" w:hAnsi="Times New Roman" w:cs="Times New Roman"/>
                      <w:snapToGrid w:val="0"/>
                      <w:color w:val="auto"/>
                      <w:kern w:val="0"/>
                      <w:sz w:val="18"/>
                      <w:szCs w:val="18"/>
                      <w:highlight w:val="none"/>
                    </w:rPr>
                  </w:pPr>
                </w:p>
              </w:tc>
              <w:tc>
                <w:tcPr>
                  <w:tcW w:w="7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16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both"/>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风机、空压机空气动力噪声采用室内布置，安装隔声罩等措施</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eastAsia="zh-CN"/>
                    </w:rPr>
                    <w:t>风机、空压机空气动力噪声采用室内布置，安装隔声罩等措施</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val="en-US" w:eastAsia="zh-CN"/>
                    </w:rPr>
                    <w:t>新建</w:t>
                  </w:r>
                </w:p>
              </w:tc>
            </w:tr>
            <w:bookmarkEnd w:id="1"/>
          </w:tbl>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本次</w:t>
            </w:r>
            <w:r>
              <w:rPr>
                <w:rFonts w:hint="eastAsia" w:ascii="Times New Roman" w:hAnsi="Times New Roman" w:eastAsia="黑体" w:cs="Times New Roman"/>
                <w:color w:val="auto"/>
                <w:sz w:val="18"/>
                <w:szCs w:val="18"/>
                <w:highlight w:val="none"/>
                <w:lang w:val="en-US" w:eastAsia="zh-CN"/>
              </w:rPr>
              <w:t>技改</w:t>
            </w:r>
            <w:r>
              <w:rPr>
                <w:rFonts w:hint="default" w:ascii="Times New Roman" w:hAnsi="Times New Roman" w:eastAsia="黑体" w:cs="Times New Roman"/>
                <w:color w:val="auto"/>
                <w:sz w:val="18"/>
                <w:szCs w:val="18"/>
                <w:highlight w:val="none"/>
                <w:lang w:val="en-US" w:eastAsia="zh-CN"/>
              </w:rPr>
              <w:t>依托工程内容一览表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39"/>
              <w:gridCol w:w="4831"/>
              <w:gridCol w:w="10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类别</w:t>
                  </w:r>
                </w:p>
              </w:tc>
              <w:tc>
                <w:tcPr>
                  <w:tcW w:w="7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名称</w:t>
                  </w:r>
                </w:p>
              </w:tc>
              <w:tc>
                <w:tcPr>
                  <w:tcW w:w="316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建设内容</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snapToGrid w:val="0"/>
                      <w:color w:val="auto"/>
                      <w:kern w:val="0"/>
                      <w:sz w:val="18"/>
                      <w:szCs w:val="18"/>
                      <w:highlight w:val="none"/>
                      <w:lang w:eastAsia="zh-CN"/>
                    </w:rPr>
                  </w:pPr>
                  <w:r>
                    <w:rPr>
                      <w:rFonts w:hint="eastAsia" w:cs="Times New Roman"/>
                      <w:snapToGrid w:val="0"/>
                      <w:color w:val="auto"/>
                      <w:kern w:val="0"/>
                      <w:sz w:val="18"/>
                      <w:szCs w:val="18"/>
                      <w:highlight w:val="none"/>
                      <w:lang w:eastAsia="zh-CN"/>
                    </w:rPr>
                    <w:t>公用工程</w:t>
                  </w:r>
                </w:p>
              </w:tc>
              <w:tc>
                <w:tcPr>
                  <w:tcW w:w="7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lang w:val="en-US" w:eastAsia="zh-CN"/>
                    </w:rPr>
                    <w:t>2#</w:t>
                  </w:r>
                  <w:r>
                    <w:rPr>
                      <w:rFonts w:hint="default" w:ascii="Times New Roman" w:hAnsi="Times New Roman" w:cs="Times New Roman"/>
                      <w:snapToGrid w:val="0"/>
                      <w:color w:val="auto"/>
                      <w:kern w:val="0"/>
                      <w:sz w:val="18"/>
                      <w:szCs w:val="18"/>
                      <w:highlight w:val="none"/>
                      <w:lang w:eastAsia="zh-CN"/>
                    </w:rPr>
                    <w:t>生产车间</w:t>
                  </w:r>
                </w:p>
              </w:tc>
              <w:tc>
                <w:tcPr>
                  <w:tcW w:w="316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1座1层，钢结构，建筑面积600m</w:t>
                  </w:r>
                  <w:r>
                    <w:rPr>
                      <w:rFonts w:hint="default" w:ascii="Times New Roman" w:hAnsi="Times New Roman" w:cs="Times New Roman"/>
                      <w:snapToGrid w:val="0"/>
                      <w:color w:val="auto"/>
                      <w:kern w:val="0"/>
                      <w:sz w:val="18"/>
                      <w:szCs w:val="18"/>
                      <w:highlight w:val="none"/>
                      <w:vertAlign w:val="superscript"/>
                      <w:lang w:eastAsia="zh-CN"/>
                    </w:rPr>
                    <w:t>2</w:t>
                  </w:r>
                  <w:r>
                    <w:rPr>
                      <w:rFonts w:hint="default" w:ascii="Times New Roman" w:hAnsi="Times New Roman" w:cs="Times New Roman"/>
                      <w:snapToGrid w:val="0"/>
                      <w:color w:val="auto"/>
                      <w:kern w:val="0"/>
                      <w:sz w:val="18"/>
                      <w:szCs w:val="18"/>
                      <w:highlight w:val="none"/>
                      <w:lang w:eastAsia="zh-CN"/>
                    </w:rPr>
                    <w:t>，</w:t>
                  </w:r>
                  <w:r>
                    <w:rPr>
                      <w:rFonts w:hint="eastAsia" w:cs="Times New Roman"/>
                      <w:snapToGrid w:val="0"/>
                      <w:color w:val="auto"/>
                      <w:kern w:val="0"/>
                      <w:sz w:val="18"/>
                      <w:szCs w:val="18"/>
                      <w:highlight w:val="none"/>
                      <w:lang w:eastAsia="zh-CN"/>
                    </w:rPr>
                    <w:t>本次技改对车间</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依托可行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7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sz w:val="18"/>
                      <w:szCs w:val="18"/>
                      <w:highlight w:val="none"/>
                    </w:rPr>
                    <w:t>供水</w:t>
                  </w:r>
                </w:p>
              </w:tc>
              <w:tc>
                <w:tcPr>
                  <w:tcW w:w="316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color w:val="auto"/>
                      <w:sz w:val="18"/>
                      <w:szCs w:val="18"/>
                      <w:highlight w:val="none"/>
                      <w:lang w:eastAsia="zh-CN"/>
                    </w:rPr>
                    <w:t>厂区供水来源由市政供水管网提供，目前现有供水能力可达到250m</w:t>
                  </w:r>
                  <w:r>
                    <w:rPr>
                      <w:rFonts w:hint="default" w:ascii="Times New Roman" w:hAnsi="Times New Roman" w:cs="Times New Roman"/>
                      <w:color w:val="auto"/>
                      <w:sz w:val="18"/>
                      <w:szCs w:val="18"/>
                      <w:highlight w:val="none"/>
                      <w:vertAlign w:val="superscript"/>
                      <w:lang w:eastAsia="zh-CN"/>
                    </w:rPr>
                    <w:t>3</w:t>
                  </w:r>
                  <w:r>
                    <w:rPr>
                      <w:rFonts w:hint="default" w:ascii="Times New Roman" w:hAnsi="Times New Roman" w:cs="Times New Roman"/>
                      <w:color w:val="auto"/>
                      <w:sz w:val="18"/>
                      <w:szCs w:val="18"/>
                      <w:highlight w:val="none"/>
                      <w:lang w:eastAsia="zh-CN"/>
                    </w:rPr>
                    <w:t>/d，本次</w:t>
                  </w:r>
                  <w:r>
                    <w:rPr>
                      <w:rFonts w:hint="eastAsia" w:ascii="Times New Roman" w:hAnsi="Times New Roman" w:cs="Times New Roman"/>
                      <w:color w:val="auto"/>
                      <w:sz w:val="18"/>
                      <w:szCs w:val="18"/>
                      <w:highlight w:val="none"/>
                      <w:lang w:eastAsia="zh-CN"/>
                    </w:rPr>
                    <w:t>技改</w:t>
                  </w:r>
                  <w:r>
                    <w:rPr>
                      <w:rFonts w:hint="default" w:ascii="Times New Roman" w:hAnsi="Times New Roman" w:cs="Times New Roman"/>
                      <w:color w:val="auto"/>
                      <w:sz w:val="18"/>
                      <w:szCs w:val="18"/>
                      <w:highlight w:val="none"/>
                      <w:lang w:eastAsia="zh-CN"/>
                    </w:rPr>
                    <w:t>完成后全厂用水量约为</w:t>
                  </w:r>
                  <w:r>
                    <w:rPr>
                      <w:rFonts w:hint="default" w:ascii="Times New Roman" w:hAnsi="Times New Roman" w:cs="Times New Roman"/>
                      <w:color w:val="auto"/>
                      <w:sz w:val="18"/>
                      <w:szCs w:val="18"/>
                      <w:highlight w:val="none"/>
                      <w:lang w:val="en-US" w:eastAsia="zh-CN"/>
                    </w:rPr>
                    <w:t>2.4</w:t>
                  </w:r>
                  <w:r>
                    <w:rPr>
                      <w:rFonts w:hint="default" w:ascii="Times New Roman" w:hAnsi="Times New Roman" w:cs="Times New Roman"/>
                      <w:color w:val="auto"/>
                      <w:sz w:val="18"/>
                      <w:szCs w:val="18"/>
                      <w:highlight w:val="none"/>
                      <w:lang w:eastAsia="zh-CN"/>
                    </w:rPr>
                    <w:t>m</w:t>
                  </w:r>
                  <w:r>
                    <w:rPr>
                      <w:rFonts w:hint="default" w:ascii="Times New Roman" w:hAnsi="Times New Roman" w:cs="Times New Roman"/>
                      <w:color w:val="auto"/>
                      <w:sz w:val="18"/>
                      <w:szCs w:val="18"/>
                      <w:highlight w:val="none"/>
                      <w:vertAlign w:val="superscript"/>
                      <w:lang w:eastAsia="zh-CN"/>
                    </w:rPr>
                    <w:t>3</w:t>
                  </w:r>
                  <w:r>
                    <w:rPr>
                      <w:rFonts w:hint="default" w:ascii="Times New Roman" w:hAnsi="Times New Roman" w:cs="Times New Roman"/>
                      <w:color w:val="auto"/>
                      <w:sz w:val="18"/>
                      <w:szCs w:val="18"/>
                      <w:highlight w:val="none"/>
                      <w:lang w:eastAsia="zh-CN"/>
                    </w:rPr>
                    <w:t>/d，可以满足项目生产需要</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依托可行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cyan"/>
                    </w:rPr>
                  </w:pPr>
                </w:p>
              </w:tc>
              <w:tc>
                <w:tcPr>
                  <w:tcW w:w="7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供电</w:t>
                  </w:r>
                </w:p>
              </w:tc>
              <w:tc>
                <w:tcPr>
                  <w:tcW w:w="316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color w:val="auto"/>
                      <w:sz w:val="18"/>
                      <w:szCs w:val="18"/>
                      <w:highlight w:val="none"/>
                      <w:lang w:eastAsia="zh-CN"/>
                    </w:rPr>
                    <w:t>工程厂区现有</w:t>
                  </w:r>
                  <w:r>
                    <w:rPr>
                      <w:rFonts w:hint="eastAsia" w:cs="Times New Roman"/>
                      <w:color w:val="auto"/>
                      <w:sz w:val="18"/>
                      <w:szCs w:val="18"/>
                      <w:highlight w:val="none"/>
                      <w:lang w:val="en-US" w:eastAsia="zh-CN"/>
                    </w:rPr>
                    <w:t>1</w:t>
                  </w:r>
                  <w:r>
                    <w:rPr>
                      <w:rFonts w:hint="default" w:ascii="Times New Roman" w:hAnsi="Times New Roman" w:cs="Times New Roman"/>
                      <w:color w:val="auto"/>
                      <w:sz w:val="18"/>
                      <w:szCs w:val="18"/>
                      <w:highlight w:val="none"/>
                      <w:lang w:val="en-US" w:eastAsia="zh-CN"/>
                    </w:rPr>
                    <w:t>座10/0.</w:t>
                  </w:r>
                  <w:r>
                    <w:rPr>
                      <w:rFonts w:hint="eastAsia" w:cs="Times New Roman"/>
                      <w:color w:val="auto"/>
                      <w:sz w:val="18"/>
                      <w:szCs w:val="18"/>
                      <w:highlight w:val="none"/>
                      <w:lang w:val="en-US" w:eastAsia="zh-CN"/>
                    </w:rPr>
                    <w:t>4</w:t>
                  </w:r>
                  <w:r>
                    <w:rPr>
                      <w:rFonts w:hint="default" w:ascii="Times New Roman" w:hAnsi="Times New Roman" w:cs="Times New Roman"/>
                      <w:color w:val="auto"/>
                      <w:sz w:val="18"/>
                      <w:szCs w:val="18"/>
                      <w:highlight w:val="none"/>
                      <w:lang w:val="en-US" w:eastAsia="zh-CN"/>
                    </w:rPr>
                    <w:t>kv变电室，</w:t>
                  </w:r>
                  <w:r>
                    <w:rPr>
                      <w:rFonts w:hint="default" w:ascii="Times New Roman" w:hAnsi="Times New Roman" w:cs="Times New Roman"/>
                      <w:color w:val="auto"/>
                      <w:sz w:val="18"/>
                      <w:szCs w:val="18"/>
                      <w:highlight w:val="none"/>
                      <w:lang w:eastAsia="zh-CN"/>
                    </w:rPr>
                    <w:t>用电由</w:t>
                  </w:r>
                  <w:r>
                    <w:rPr>
                      <w:rFonts w:hint="eastAsia" w:cs="Times New Roman"/>
                      <w:color w:val="auto"/>
                      <w:sz w:val="18"/>
                      <w:szCs w:val="18"/>
                      <w:highlight w:val="none"/>
                      <w:lang w:eastAsia="zh-CN"/>
                    </w:rPr>
                    <w:t>新乡县</w:t>
                  </w:r>
                  <w:r>
                    <w:rPr>
                      <w:rFonts w:hint="default" w:ascii="Times New Roman" w:hAnsi="Times New Roman" w:cs="Times New Roman"/>
                      <w:color w:val="auto"/>
                      <w:sz w:val="18"/>
                      <w:szCs w:val="18"/>
                      <w:highlight w:val="none"/>
                      <w:lang w:eastAsia="zh-CN"/>
                    </w:rPr>
                    <w:t>市政供电管网提供，能够满足</w:t>
                  </w:r>
                  <w:r>
                    <w:rPr>
                      <w:rFonts w:hint="default" w:ascii="Times New Roman" w:hAnsi="Times New Roman" w:cs="Times New Roman"/>
                      <w:color w:val="auto"/>
                      <w:sz w:val="18"/>
                      <w:szCs w:val="18"/>
                      <w:highlight w:val="none"/>
                      <w:lang w:val="en-US" w:eastAsia="zh-CN"/>
                    </w:rPr>
                    <w:t>本次</w:t>
                  </w:r>
                  <w:r>
                    <w:rPr>
                      <w:rFonts w:hint="eastAsia" w:cs="Times New Roman"/>
                      <w:color w:val="auto"/>
                      <w:sz w:val="18"/>
                      <w:szCs w:val="18"/>
                      <w:highlight w:val="none"/>
                      <w:lang w:val="en-US" w:eastAsia="zh-CN"/>
                    </w:rPr>
                    <w:t>技改</w:t>
                  </w:r>
                  <w:r>
                    <w:rPr>
                      <w:rFonts w:hint="default" w:ascii="Times New Roman" w:hAnsi="Times New Roman" w:cs="Times New Roman"/>
                      <w:color w:val="auto"/>
                      <w:sz w:val="18"/>
                      <w:szCs w:val="18"/>
                      <w:highlight w:val="none"/>
                      <w:lang w:val="en-US" w:eastAsia="zh-CN"/>
                    </w:rPr>
                    <w:t>后全厂用电量需求</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依托可行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42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宋体" w:cs="Times New Roman"/>
                      <w:snapToGrid w:val="0"/>
                      <w:color w:val="auto"/>
                      <w:kern w:val="0"/>
                      <w:sz w:val="18"/>
                      <w:szCs w:val="18"/>
                      <w:highlight w:val="none"/>
                      <w:lang w:eastAsia="zh-CN"/>
                    </w:rPr>
                  </w:pPr>
                  <w:r>
                    <w:rPr>
                      <w:rFonts w:hint="eastAsia" w:cs="Times New Roman"/>
                      <w:snapToGrid w:val="0"/>
                      <w:color w:val="auto"/>
                      <w:kern w:val="0"/>
                      <w:sz w:val="18"/>
                      <w:szCs w:val="18"/>
                      <w:highlight w:val="none"/>
                      <w:lang w:eastAsia="zh-CN"/>
                    </w:rPr>
                    <w:t>环保工程</w:t>
                  </w:r>
                </w:p>
              </w:tc>
              <w:tc>
                <w:tcPr>
                  <w:tcW w:w="7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废水治理</w:t>
                  </w:r>
                </w:p>
              </w:tc>
              <w:tc>
                <w:tcPr>
                  <w:tcW w:w="316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napToGrid w:val="0"/>
                      <w:color w:val="auto"/>
                      <w:kern w:val="0"/>
                      <w:sz w:val="18"/>
                      <w:szCs w:val="18"/>
                      <w:highlight w:val="none"/>
                      <w:lang w:eastAsia="zh-CN"/>
                    </w:rPr>
                    <w:t>下料、磨边、粗磨、精磨冷加工工序冲洗废水经设置沉淀池处理后循环使用，沉淀池内废水每月定期排入混凝沉淀池处理，镀膜前后清洗废水直接排入混凝沉淀池处理，混凝沉淀池处理后废水同软水制备浓水一同经厂区总排口排入区域污水管网，后排入新乡县综合污水处理厂</w:t>
                  </w:r>
                  <w:r>
                    <w:rPr>
                      <w:rFonts w:hint="eastAsia" w:cs="Times New Roman"/>
                      <w:snapToGrid w:val="0"/>
                      <w:color w:val="auto"/>
                      <w:kern w:val="0"/>
                      <w:sz w:val="18"/>
                      <w:szCs w:val="18"/>
                      <w:highlight w:val="none"/>
                      <w:lang w:eastAsia="zh-CN"/>
                    </w:rPr>
                    <w:t>进一步处理</w:t>
                  </w:r>
                  <w:r>
                    <w:rPr>
                      <w:rFonts w:hint="eastAsia" w:ascii="Times New Roman" w:hAnsi="Times New Roman" w:cs="Times New Roman"/>
                      <w:snapToGrid w:val="0"/>
                      <w:color w:val="auto"/>
                      <w:kern w:val="0"/>
                      <w:sz w:val="18"/>
                      <w:szCs w:val="18"/>
                      <w:highlight w:val="none"/>
                      <w:lang w:eastAsia="zh-CN"/>
                    </w:rPr>
                    <w:t>。厂区目前现有</w:t>
                  </w:r>
                  <w:r>
                    <w:rPr>
                      <w:rFonts w:hint="eastAsia" w:ascii="Times New Roman" w:hAnsi="Times New Roman" w:cs="Times New Roman"/>
                      <w:snapToGrid w:val="0"/>
                      <w:color w:val="auto"/>
                      <w:kern w:val="0"/>
                      <w:sz w:val="18"/>
                      <w:szCs w:val="18"/>
                      <w:highlight w:val="none"/>
                      <w:lang w:val="en-US" w:eastAsia="zh-CN"/>
                    </w:rPr>
                    <w:t>1座72m</w:t>
                  </w:r>
                  <w:r>
                    <w:rPr>
                      <w:rFonts w:hint="eastAsia" w:ascii="Times New Roman" w:hAnsi="Times New Roman" w:cs="Times New Roman"/>
                      <w:snapToGrid w:val="0"/>
                      <w:color w:val="auto"/>
                      <w:kern w:val="0"/>
                      <w:sz w:val="18"/>
                      <w:szCs w:val="18"/>
                      <w:highlight w:val="none"/>
                      <w:vertAlign w:val="superscript"/>
                      <w:lang w:val="en-US" w:eastAsia="zh-CN"/>
                    </w:rPr>
                    <w:t>3</w:t>
                  </w:r>
                  <w:r>
                    <w:rPr>
                      <w:rFonts w:hint="eastAsia" w:ascii="Times New Roman" w:hAnsi="Times New Roman" w:cs="Times New Roman"/>
                      <w:snapToGrid w:val="0"/>
                      <w:color w:val="auto"/>
                      <w:kern w:val="0"/>
                      <w:sz w:val="18"/>
                      <w:szCs w:val="18"/>
                      <w:highlight w:val="none"/>
                      <w:lang w:val="en-US" w:eastAsia="zh-CN"/>
                    </w:rPr>
                    <w:t>沉淀池和1座5m</w:t>
                  </w:r>
                  <w:r>
                    <w:rPr>
                      <w:rFonts w:hint="eastAsia" w:ascii="Times New Roman" w:hAnsi="Times New Roman" w:cs="Times New Roman"/>
                      <w:snapToGrid w:val="0"/>
                      <w:color w:val="auto"/>
                      <w:kern w:val="0"/>
                      <w:sz w:val="18"/>
                      <w:szCs w:val="18"/>
                      <w:highlight w:val="none"/>
                      <w:vertAlign w:val="superscript"/>
                      <w:lang w:val="en-US" w:eastAsia="zh-CN"/>
                    </w:rPr>
                    <w:t>3</w:t>
                  </w:r>
                  <w:r>
                    <w:rPr>
                      <w:rFonts w:hint="eastAsia" w:ascii="Times New Roman" w:hAnsi="Times New Roman" w:cs="Times New Roman"/>
                      <w:snapToGrid w:val="0"/>
                      <w:color w:val="auto"/>
                      <w:kern w:val="0"/>
                      <w:sz w:val="18"/>
                      <w:szCs w:val="18"/>
                      <w:highlight w:val="none"/>
                      <w:lang w:val="en-US" w:eastAsia="zh-CN"/>
                    </w:rPr>
                    <w:t>混凝沉淀池，能够满足项目废水处理需求</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依托可行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snapToGrid w:val="0"/>
                      <w:color w:val="auto"/>
                      <w:kern w:val="0"/>
                      <w:sz w:val="18"/>
                      <w:szCs w:val="18"/>
                      <w:highlight w:val="none"/>
                    </w:rPr>
                  </w:pPr>
                </w:p>
              </w:tc>
              <w:tc>
                <w:tcPr>
                  <w:tcW w:w="7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eastAsia" w:cs="Times New Roman"/>
                      <w:snapToGrid w:val="0"/>
                      <w:color w:val="auto"/>
                      <w:kern w:val="0"/>
                      <w:sz w:val="18"/>
                      <w:szCs w:val="18"/>
                      <w:highlight w:val="none"/>
                      <w:lang w:eastAsia="zh-CN"/>
                    </w:rPr>
                    <w:t>固废治理</w:t>
                  </w:r>
                </w:p>
              </w:tc>
              <w:tc>
                <w:tcPr>
                  <w:tcW w:w="316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eastAsia="zh-CN"/>
                    </w:rPr>
                    <w:t>本次技改工程一般固废均依托现有设置的一般固废暂存间暂存后，定期外售废品回收公司或交由环卫部门处理。现有工程</w:t>
                  </w:r>
                  <w:r>
                    <w:rPr>
                      <w:rFonts w:hint="eastAsia" w:cs="Times New Roman"/>
                      <w:snapToGrid w:val="0"/>
                      <w:color w:val="auto"/>
                      <w:kern w:val="0"/>
                      <w:sz w:val="18"/>
                      <w:szCs w:val="18"/>
                      <w:highlight w:val="none"/>
                      <w:lang w:val="en-US" w:eastAsia="zh-CN"/>
                    </w:rPr>
                    <w:t>一般固废量为1.096t/a，目前均通过</w:t>
                  </w:r>
                  <w:r>
                    <w:rPr>
                      <w:rFonts w:hint="eastAsia" w:cs="Times New Roman"/>
                      <w:snapToGrid w:val="0"/>
                      <w:color w:val="auto"/>
                      <w:kern w:val="0"/>
                      <w:sz w:val="18"/>
                      <w:szCs w:val="18"/>
                      <w:highlight w:val="none"/>
                      <w:lang w:eastAsia="zh-CN"/>
                    </w:rPr>
                    <w:t>设置的</w:t>
                  </w:r>
                  <w:r>
                    <w:rPr>
                      <w:rFonts w:hint="eastAsia" w:cs="Times New Roman"/>
                      <w:snapToGrid w:val="0"/>
                      <w:color w:val="auto"/>
                      <w:kern w:val="0"/>
                      <w:sz w:val="18"/>
                      <w:szCs w:val="18"/>
                      <w:highlight w:val="none"/>
                      <w:lang w:val="en-US" w:eastAsia="zh-CN"/>
                    </w:rPr>
                    <w:t>1间30m</w:t>
                  </w:r>
                  <w:r>
                    <w:rPr>
                      <w:rFonts w:hint="eastAsia" w:cs="Times New Roman"/>
                      <w:snapToGrid w:val="0"/>
                      <w:color w:val="auto"/>
                      <w:kern w:val="0"/>
                      <w:sz w:val="18"/>
                      <w:szCs w:val="18"/>
                      <w:highlight w:val="none"/>
                      <w:vertAlign w:val="superscript"/>
                      <w:lang w:val="en-US" w:eastAsia="zh-CN"/>
                    </w:rPr>
                    <w:t>2</w:t>
                  </w:r>
                  <w:r>
                    <w:rPr>
                      <w:rFonts w:hint="eastAsia" w:cs="Times New Roman"/>
                      <w:snapToGrid w:val="0"/>
                      <w:color w:val="auto"/>
                      <w:kern w:val="0"/>
                      <w:sz w:val="18"/>
                      <w:szCs w:val="18"/>
                      <w:highlight w:val="none"/>
                      <w:lang w:val="en-US" w:eastAsia="zh-CN"/>
                    </w:rPr>
                    <w:t>一般固废暂存间暂存（最大储存量为10t，任有8.904t余量），技改后由于生产规模减少对应一般固废量减少，技改后一般固废产生量减少至0.6025t/a，因此依托现有一般固废暂存间可行</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依托可行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snapToGrid w:val="0"/>
                      <w:color w:val="auto"/>
                      <w:kern w:val="0"/>
                      <w:sz w:val="18"/>
                      <w:szCs w:val="18"/>
                      <w:highlight w:val="none"/>
                    </w:rPr>
                  </w:pPr>
                </w:p>
              </w:tc>
              <w:tc>
                <w:tcPr>
                  <w:tcW w:w="7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p>
              </w:tc>
              <w:tc>
                <w:tcPr>
                  <w:tcW w:w="316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eastAsia="zh-CN"/>
                    </w:rPr>
                    <w:t>本次技改工程危险固废均通过现有设置的危险固废暂存间暂存，定期委托有资质危废单位回收处理。现有工程危险固废量为</w:t>
                  </w:r>
                  <w:r>
                    <w:rPr>
                      <w:rFonts w:hint="eastAsia" w:cs="Times New Roman"/>
                      <w:snapToGrid w:val="0"/>
                      <w:color w:val="auto"/>
                      <w:kern w:val="0"/>
                      <w:sz w:val="18"/>
                      <w:szCs w:val="18"/>
                      <w:highlight w:val="none"/>
                      <w:lang w:val="en-US" w:eastAsia="zh-CN"/>
                    </w:rPr>
                    <w:t>0.01t/a，目前均通过设置的1间10m</w:t>
                  </w:r>
                  <w:r>
                    <w:rPr>
                      <w:rFonts w:hint="eastAsia" w:cs="Times New Roman"/>
                      <w:snapToGrid w:val="0"/>
                      <w:color w:val="auto"/>
                      <w:kern w:val="0"/>
                      <w:sz w:val="18"/>
                      <w:szCs w:val="18"/>
                      <w:highlight w:val="none"/>
                      <w:vertAlign w:val="superscript"/>
                      <w:lang w:val="en-US" w:eastAsia="zh-CN"/>
                    </w:rPr>
                    <w:t>2</w:t>
                  </w:r>
                  <w:r>
                    <w:rPr>
                      <w:rFonts w:hint="eastAsia" w:cs="Times New Roman"/>
                      <w:snapToGrid w:val="0"/>
                      <w:color w:val="auto"/>
                      <w:kern w:val="0"/>
                      <w:sz w:val="18"/>
                      <w:szCs w:val="18"/>
                      <w:highlight w:val="none"/>
                      <w:lang w:val="en-US" w:eastAsia="zh-CN"/>
                    </w:rPr>
                    <w:t>危险固废暂存间暂存（最大储存量为2t，仍有1.99t余量），技改后为危险固废量增至0.05t/a，因此依托现有危险固废暂存间可行</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依托可行</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3、</w:t>
            </w:r>
            <w:r>
              <w:rPr>
                <w:rFonts w:hint="default" w:ascii="Times New Roman" w:hAnsi="Times New Roman" w:cs="Times New Roman"/>
                <w:b/>
                <w:color w:val="auto"/>
                <w:kern w:val="0"/>
                <w:szCs w:val="21"/>
                <w:highlight w:val="none"/>
              </w:rPr>
              <w:t>本项目主要产品方案及生产规模</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lang w:eastAsia="zh-CN"/>
              </w:rPr>
              <w:t>现有工程产品</w:t>
            </w:r>
            <w:r>
              <w:rPr>
                <w:rFonts w:hint="eastAsia" w:cs="Times New Roman"/>
                <w:bCs/>
                <w:color w:val="auto"/>
                <w:kern w:val="0"/>
                <w:szCs w:val="21"/>
                <w:highlight w:val="none"/>
                <w:lang w:eastAsia="zh-CN"/>
              </w:rPr>
              <w:t>主要为</w:t>
            </w:r>
            <w:r>
              <w:rPr>
                <w:rFonts w:hint="default" w:ascii="Times New Roman" w:hAnsi="Times New Roman" w:cs="Times New Roman"/>
                <w:bCs/>
                <w:color w:val="auto"/>
                <w:kern w:val="0"/>
                <w:szCs w:val="21"/>
                <w:highlight w:val="none"/>
                <w:lang w:eastAsia="zh-CN"/>
              </w:rPr>
              <w:t>窗口保护镜片和平面反射镜</w:t>
            </w:r>
            <w:r>
              <w:rPr>
                <w:rFonts w:hint="eastAsia" w:cs="Times New Roman"/>
                <w:bCs/>
                <w:color w:val="auto"/>
                <w:kern w:val="0"/>
                <w:szCs w:val="21"/>
                <w:highlight w:val="none"/>
                <w:lang w:eastAsia="zh-CN"/>
              </w:rPr>
              <w:t>，其中窗口保护片主要用于潜水相机、投影仪、激光雷达等光学仪器的观察窗口起到保护作用的光学元件，平面反射镜主要用于光学仪器内成像、改变光路的光学毛坯件；</w:t>
            </w:r>
            <w:r>
              <w:rPr>
                <w:rFonts w:hint="default" w:ascii="Times New Roman" w:hAnsi="Times New Roman" w:cs="Times New Roman"/>
                <w:bCs/>
                <w:color w:val="auto"/>
                <w:kern w:val="0"/>
                <w:szCs w:val="21"/>
                <w:highlight w:val="none"/>
                <w:lang w:eastAsia="zh-CN"/>
              </w:rPr>
              <w:t>本次技改工程</w:t>
            </w:r>
            <w:r>
              <w:rPr>
                <w:rFonts w:hint="eastAsia" w:cs="Times New Roman"/>
                <w:bCs/>
                <w:color w:val="auto"/>
                <w:kern w:val="0"/>
                <w:szCs w:val="21"/>
                <w:highlight w:val="none"/>
                <w:lang w:eastAsia="zh-CN"/>
              </w:rPr>
              <w:t>通过技改和新增冷加工工序，同时改进镀膜材料方式，新增导电玻璃、曲面反射镜类产品，其中的导电玻璃主要用于太阳能电池板、液晶显示器等制作的光电毛坯件，曲面反射镜用于光学仪器部件以及车灯与探照灯反射镜等光学毛坯件</w:t>
            </w:r>
            <w:r>
              <w:rPr>
                <w:rFonts w:hint="default" w:ascii="Times New Roman" w:hAnsi="Times New Roman" w:cs="Times New Roman"/>
                <w:bCs/>
                <w:color w:val="auto"/>
                <w:kern w:val="0"/>
                <w:szCs w:val="21"/>
                <w:highlight w:val="none"/>
                <w:lang w:eastAsia="zh-CN"/>
              </w:rPr>
              <w:t>，本次技改前后产品</w:t>
            </w:r>
            <w:r>
              <w:rPr>
                <w:rFonts w:hint="default" w:ascii="Times New Roman" w:hAnsi="Times New Roman" w:cs="Times New Roman"/>
                <w:bCs/>
                <w:color w:val="auto"/>
                <w:kern w:val="0"/>
                <w:szCs w:val="21"/>
                <w:highlight w:val="none"/>
              </w:rPr>
              <w:t>方案及规模</w:t>
            </w:r>
            <w:r>
              <w:rPr>
                <w:rFonts w:hint="default" w:ascii="Times New Roman" w:hAnsi="Times New Roman" w:cs="Times New Roman"/>
                <w:bCs/>
                <w:color w:val="auto"/>
                <w:kern w:val="0"/>
                <w:szCs w:val="21"/>
                <w:highlight w:val="none"/>
                <w:lang w:eastAsia="zh-CN"/>
              </w:rPr>
              <w:t>详</w:t>
            </w:r>
            <w:r>
              <w:rPr>
                <w:rFonts w:hint="default" w:ascii="Times New Roman" w:hAnsi="Times New Roman" w:cs="Times New Roman"/>
                <w:bCs/>
                <w:color w:val="auto"/>
                <w:kern w:val="0"/>
                <w:szCs w:val="21"/>
                <w:highlight w:val="none"/>
              </w:rPr>
              <w:t>见</w:t>
            </w:r>
            <w:r>
              <w:rPr>
                <w:rFonts w:hint="default" w:ascii="Times New Roman" w:hAnsi="Times New Roman" w:cs="Times New Roman"/>
                <w:bCs/>
                <w:color w:val="auto"/>
                <w:kern w:val="0"/>
                <w:szCs w:val="21"/>
                <w:highlight w:val="none"/>
                <w:lang w:eastAsia="zh-CN"/>
              </w:rPr>
              <w:t>下表</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本项目完成后全厂产品方案一览表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3"/>
              <w:gridCol w:w="524"/>
              <w:gridCol w:w="543"/>
              <w:gridCol w:w="2055"/>
              <w:gridCol w:w="985"/>
              <w:gridCol w:w="985"/>
              <w:gridCol w:w="985"/>
              <w:gridCol w:w="9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序号</w:t>
                  </w:r>
                </w:p>
              </w:tc>
              <w:tc>
                <w:tcPr>
                  <w:tcW w:w="69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产品名称</w:t>
                  </w:r>
                </w:p>
              </w:tc>
              <w:tc>
                <w:tcPr>
                  <w:tcW w:w="13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napToGrid w:val="0"/>
                      <w:color w:val="auto"/>
                      <w:kern w:val="0"/>
                      <w:sz w:val="18"/>
                      <w:szCs w:val="18"/>
                      <w:highlight w:val="none"/>
                      <w:lang w:eastAsia="zh-CN"/>
                    </w:rPr>
                  </w:pPr>
                  <w:r>
                    <w:rPr>
                      <w:rFonts w:hint="eastAsia" w:cs="Times New Roman"/>
                      <w:snapToGrid w:val="0"/>
                      <w:color w:val="auto"/>
                      <w:kern w:val="0"/>
                      <w:sz w:val="18"/>
                      <w:szCs w:val="18"/>
                      <w:highlight w:val="none"/>
                      <w:lang w:eastAsia="zh-CN"/>
                    </w:rPr>
                    <w:t>型号</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lang w:eastAsia="zh-CN"/>
                    </w:rPr>
                    <w:t>技改前生产规模</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eastAsia="zh-CN"/>
                    </w:rPr>
                    <w:t>片</w:t>
                  </w:r>
                  <w:r>
                    <w:rPr>
                      <w:rFonts w:hint="default" w:ascii="Times New Roman" w:hAnsi="Times New Roman" w:cs="Times New Roman"/>
                      <w:snapToGrid w:val="0"/>
                      <w:color w:val="auto"/>
                      <w:kern w:val="0"/>
                      <w:sz w:val="18"/>
                      <w:szCs w:val="18"/>
                      <w:highlight w:val="none"/>
                      <w:lang w:val="en-US" w:eastAsia="zh-CN"/>
                    </w:rPr>
                    <w:t>/年</w:t>
                  </w:r>
                  <w:r>
                    <w:rPr>
                      <w:rFonts w:hint="default" w:ascii="Times New Roman" w:hAnsi="Times New Roman" w:cs="Times New Roman"/>
                      <w:snapToGrid w:val="0"/>
                      <w:color w:val="auto"/>
                      <w:kern w:val="0"/>
                      <w:sz w:val="18"/>
                      <w:szCs w:val="18"/>
                      <w:highlight w:val="none"/>
                    </w:rPr>
                    <w:t>）</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lang w:eastAsia="zh-CN"/>
                    </w:rPr>
                    <w:t>技改后生产规模</w:t>
                  </w:r>
                  <w:r>
                    <w:rPr>
                      <w:rFonts w:hint="default" w:ascii="Times New Roman" w:hAnsi="Times New Roman" w:cs="Times New Roman"/>
                      <w:snapToGrid w:val="0"/>
                      <w:color w:val="auto"/>
                      <w:kern w:val="0"/>
                      <w:sz w:val="18"/>
                      <w:szCs w:val="18"/>
                      <w:highlight w:val="none"/>
                    </w:rPr>
                    <w:t>（</w:t>
                  </w:r>
                  <w:r>
                    <w:rPr>
                      <w:rFonts w:hint="default" w:ascii="Times New Roman" w:hAnsi="Times New Roman" w:cs="Times New Roman"/>
                      <w:snapToGrid w:val="0"/>
                      <w:color w:val="auto"/>
                      <w:kern w:val="0"/>
                      <w:sz w:val="18"/>
                      <w:szCs w:val="18"/>
                      <w:highlight w:val="none"/>
                      <w:lang w:eastAsia="zh-CN"/>
                    </w:rPr>
                    <w:t>片</w:t>
                  </w:r>
                  <w:r>
                    <w:rPr>
                      <w:rFonts w:hint="default" w:ascii="Times New Roman" w:hAnsi="Times New Roman" w:cs="Times New Roman"/>
                      <w:snapToGrid w:val="0"/>
                      <w:color w:val="auto"/>
                      <w:kern w:val="0"/>
                      <w:sz w:val="18"/>
                      <w:szCs w:val="18"/>
                      <w:highlight w:val="none"/>
                      <w:lang w:val="en-US" w:eastAsia="zh-CN"/>
                    </w:rPr>
                    <w:t>/年</w:t>
                  </w:r>
                  <w:r>
                    <w:rPr>
                      <w:rFonts w:hint="default" w:ascii="Times New Roman" w:hAnsi="Times New Roman" w:cs="Times New Roman"/>
                      <w:snapToGrid w:val="0"/>
                      <w:color w:val="auto"/>
                      <w:kern w:val="0"/>
                      <w:sz w:val="18"/>
                      <w:szCs w:val="18"/>
                      <w:highlight w:val="none"/>
                    </w:rPr>
                    <w:t>）</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增减量</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（片</w:t>
                  </w:r>
                  <w:r>
                    <w:rPr>
                      <w:rFonts w:hint="default" w:ascii="Times New Roman" w:hAnsi="Times New Roman" w:cs="Times New Roman"/>
                      <w:snapToGrid w:val="0"/>
                      <w:color w:val="auto"/>
                      <w:kern w:val="0"/>
                      <w:sz w:val="18"/>
                      <w:szCs w:val="18"/>
                      <w:highlight w:val="none"/>
                      <w:lang w:val="en-US" w:eastAsia="zh-CN"/>
                    </w:rPr>
                    <w:t>/年</w:t>
                  </w:r>
                  <w:r>
                    <w:rPr>
                      <w:rFonts w:hint="default" w:ascii="Times New Roman" w:hAnsi="Times New Roman" w:cs="Times New Roman"/>
                      <w:snapToGrid w:val="0"/>
                      <w:color w:val="auto"/>
                      <w:kern w:val="0"/>
                      <w:sz w:val="18"/>
                      <w:szCs w:val="18"/>
                      <w:highlight w:val="none"/>
                      <w:lang w:eastAsia="zh-CN"/>
                    </w:rPr>
                    <w:t>）</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w:t>
                  </w:r>
                </w:p>
              </w:tc>
              <w:tc>
                <w:tcPr>
                  <w:tcW w:w="698" w:type="pct"/>
                  <w:gridSpan w:val="2"/>
                  <w:noWrap w:val="0"/>
                  <w:vAlign w:val="center"/>
                </w:tcPr>
                <w:p>
                  <w:pPr>
                    <w:keepNext w:val="0"/>
                    <w:keepLines w:val="0"/>
                    <w:pageBreakBefore w:val="0"/>
                    <w:kinsoku/>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导电玻璃</w:t>
                  </w:r>
                </w:p>
              </w:tc>
              <w:tc>
                <w:tcPr>
                  <w:tcW w:w="1345" w:type="pct"/>
                  <w:noWrap w:val="0"/>
                  <w:vAlign w:val="center"/>
                </w:tcPr>
                <w:p>
                  <w:pPr>
                    <w:keepNext w:val="0"/>
                    <w:keepLines w:val="0"/>
                    <w:pageBreakBefore w:val="0"/>
                    <w:kinsoku/>
                    <w:overflowPunct/>
                    <w:topLinePunct w:val="0"/>
                    <w:autoSpaceDE/>
                    <w:autoSpaceDN/>
                    <w:bidi w:val="0"/>
                    <w:adjustRightInd/>
                    <w:snapToGrid/>
                    <w:spacing w:line="320" w:lineRule="exact"/>
                    <w:jc w:val="both"/>
                    <w:rPr>
                      <w:rFonts w:hint="eastAsia" w:cs="Times New Roman"/>
                      <w:color w:val="auto"/>
                      <w:sz w:val="18"/>
                      <w:szCs w:val="18"/>
                      <w:highlight w:val="none"/>
                      <w:lang w:val="en-US" w:eastAsia="zh-CN"/>
                    </w:rPr>
                  </w:pPr>
                  <w:r>
                    <w:rPr>
                      <w:rFonts w:hint="eastAsia" w:cs="Times New Roman"/>
                      <w:color w:val="auto"/>
                      <w:sz w:val="18"/>
                      <w:szCs w:val="18"/>
                      <w:highlight w:val="none"/>
                      <w:lang w:eastAsia="zh-CN"/>
                    </w:rPr>
                    <w:t>厚度：</w:t>
                  </w:r>
                  <w:r>
                    <w:rPr>
                      <w:rFonts w:hint="eastAsia" w:cs="Times New Roman"/>
                      <w:color w:val="auto"/>
                      <w:sz w:val="18"/>
                      <w:szCs w:val="18"/>
                      <w:highlight w:val="none"/>
                      <w:lang w:val="en-US" w:eastAsia="zh-CN"/>
                    </w:rPr>
                    <w:t>5mm~50mm</w:t>
                  </w:r>
                </w:p>
                <w:p>
                  <w:pPr>
                    <w:keepNext w:val="0"/>
                    <w:keepLines w:val="0"/>
                    <w:pageBreakBefore w:val="0"/>
                    <w:kinsoku/>
                    <w:overflowPunct/>
                    <w:topLinePunct w:val="0"/>
                    <w:autoSpaceDE/>
                    <w:autoSpaceDN/>
                    <w:bidi w:val="0"/>
                    <w:adjustRightInd/>
                    <w:snapToGrid/>
                    <w:spacing w:line="320" w:lineRule="exact"/>
                    <w:jc w:val="both"/>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长度：0.2m~1m</w:t>
                  </w:r>
                </w:p>
                <w:p>
                  <w:pPr>
                    <w:keepNext w:val="0"/>
                    <w:keepLines w:val="0"/>
                    <w:pageBreakBefore w:val="0"/>
                    <w:kinsoku/>
                    <w:overflowPunct/>
                    <w:topLinePunct w:val="0"/>
                    <w:autoSpaceDE/>
                    <w:autoSpaceDN/>
                    <w:bidi w:val="0"/>
                    <w:adjustRightInd/>
                    <w:snapToGrid/>
                    <w:spacing w:line="320" w:lineRule="exact"/>
                    <w:jc w:val="both"/>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宽度：0.2m~1m</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val="en-US" w:eastAsia="zh-CN"/>
                    </w:rPr>
                    <w:t>0</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50000</w:t>
                  </w:r>
                </w:p>
              </w:tc>
              <w:tc>
                <w:tcPr>
                  <w:tcW w:w="644" w:type="pct"/>
                  <w:noWrap w:val="0"/>
                  <w:vAlign w:val="center"/>
                </w:tcPr>
                <w:p>
                  <w:pPr>
                    <w:keepNext w:val="0"/>
                    <w:keepLines w:val="0"/>
                    <w:pageBreakBefore w:val="0"/>
                    <w:widowControl/>
                    <w:suppressLineNumbers w:val="0"/>
                    <w:kinsoku/>
                    <w:overflowPunct/>
                    <w:topLinePunct w:val="0"/>
                    <w:autoSpaceDE/>
                    <w:autoSpaceDN/>
                    <w:bidi w:val="0"/>
                    <w:adjustRightInd/>
                    <w:snapToGrid/>
                    <w:spacing w:line="320" w:lineRule="exact"/>
                    <w:jc w:val="center"/>
                    <w:textAlignment w:val="center"/>
                    <w:rPr>
                      <w:rFonts w:hint="default" w:ascii="Times New Roman" w:hAnsi="Times New Roman" w:cs="Times New Roman"/>
                      <w:snapToGrid w:val="0"/>
                      <w:color w:val="auto"/>
                      <w:kern w:val="0"/>
                      <w:sz w:val="18"/>
                      <w:szCs w:val="18"/>
                      <w:highlight w:val="none"/>
                      <w:lang w:val="en-US" w:eastAsia="zh-CN"/>
                    </w:rPr>
                  </w:pPr>
                  <w:r>
                    <w:rPr>
                      <w:rFonts w:hint="eastAsia" w:cs="Times New Roman"/>
                      <w:i w:val="0"/>
                      <w:iCs w:val="0"/>
                      <w:color w:val="auto"/>
                      <w:kern w:val="0"/>
                      <w:sz w:val="18"/>
                      <w:szCs w:val="18"/>
                      <w:highlight w:val="none"/>
                      <w:u w:val="none"/>
                      <w:lang w:val="en-US" w:eastAsia="zh-CN" w:bidi="ar"/>
                    </w:rPr>
                    <w:t>+</w:t>
                  </w:r>
                  <w:r>
                    <w:rPr>
                      <w:rFonts w:hint="default" w:ascii="Times New Roman" w:hAnsi="Times New Roman" w:cs="Times New Roman"/>
                      <w:i w:val="0"/>
                      <w:iCs w:val="0"/>
                      <w:color w:val="auto"/>
                      <w:kern w:val="0"/>
                      <w:sz w:val="18"/>
                      <w:szCs w:val="18"/>
                      <w:highlight w:val="none"/>
                      <w:u w:val="none"/>
                      <w:lang w:val="en-US" w:eastAsia="zh-CN" w:bidi="ar"/>
                    </w:rPr>
                    <w:t>50000</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改进后新产品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2</w:t>
                  </w:r>
                </w:p>
              </w:tc>
              <w:tc>
                <w:tcPr>
                  <w:tcW w:w="698" w:type="pct"/>
                  <w:gridSpan w:val="2"/>
                  <w:noWrap w:val="0"/>
                  <w:vAlign w:val="center"/>
                </w:tcPr>
                <w:p>
                  <w:pPr>
                    <w:keepNext w:val="0"/>
                    <w:keepLines w:val="0"/>
                    <w:pageBreakBefore w:val="0"/>
                    <w:kinsoku/>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窗口保护镜片</w:t>
                  </w:r>
                </w:p>
              </w:tc>
              <w:tc>
                <w:tcPr>
                  <w:tcW w:w="1345" w:type="pct"/>
                  <w:noWrap w:val="0"/>
                  <w:vAlign w:val="center"/>
                </w:tcPr>
                <w:p>
                  <w:pPr>
                    <w:keepNext w:val="0"/>
                    <w:keepLines w:val="0"/>
                    <w:pageBreakBefore w:val="0"/>
                    <w:widowControl w:val="0"/>
                    <w:kinsoku/>
                    <w:wordWrap w:val="0"/>
                    <w:overflowPunct/>
                    <w:topLinePunct w:val="0"/>
                    <w:autoSpaceDE/>
                    <w:autoSpaceDN/>
                    <w:bidi w:val="0"/>
                    <w:adjustRightInd/>
                    <w:snapToGrid/>
                    <w:spacing w:line="320" w:lineRule="exact"/>
                    <w:jc w:val="both"/>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eastAsia="zh-CN"/>
                    </w:rPr>
                    <w:t>直径300mm以内，    非圆形最大对角线300mm以内，厚度（长度）：</w:t>
                  </w:r>
                  <w:r>
                    <w:rPr>
                      <w:rFonts w:hint="eastAsia" w:cs="Times New Roman"/>
                      <w:color w:val="auto"/>
                      <w:sz w:val="18"/>
                      <w:szCs w:val="18"/>
                      <w:highlight w:val="none"/>
                      <w:lang w:val="en-US" w:eastAsia="zh-CN"/>
                    </w:rPr>
                    <w:t>5~300mm</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val="en-US" w:eastAsia="zh-CN"/>
                    </w:rPr>
                    <w:t>200000</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val="en-US" w:eastAsia="zh-CN"/>
                    </w:rPr>
                    <w:t>50000</w:t>
                  </w:r>
                </w:p>
              </w:tc>
              <w:tc>
                <w:tcPr>
                  <w:tcW w:w="644" w:type="pct"/>
                  <w:noWrap w:val="0"/>
                  <w:vAlign w:val="center"/>
                </w:tcPr>
                <w:p>
                  <w:pPr>
                    <w:keepNext w:val="0"/>
                    <w:keepLines w:val="0"/>
                    <w:pageBreakBefore w:val="0"/>
                    <w:widowControl/>
                    <w:suppressLineNumbers w:val="0"/>
                    <w:kinsoku/>
                    <w:overflowPunct/>
                    <w:topLinePunct w:val="0"/>
                    <w:autoSpaceDE/>
                    <w:autoSpaceDN/>
                    <w:bidi w:val="0"/>
                    <w:adjustRightInd/>
                    <w:snapToGrid/>
                    <w:spacing w:line="320" w:lineRule="exact"/>
                    <w:jc w:val="center"/>
                    <w:textAlignment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i w:val="0"/>
                      <w:iCs w:val="0"/>
                      <w:color w:val="auto"/>
                      <w:kern w:val="0"/>
                      <w:sz w:val="18"/>
                      <w:szCs w:val="18"/>
                      <w:highlight w:val="none"/>
                      <w:u w:val="none"/>
                      <w:lang w:val="en-US" w:eastAsia="zh-CN" w:bidi="ar"/>
                    </w:rPr>
                    <w:t>-</w:t>
                  </w:r>
                  <w:r>
                    <w:rPr>
                      <w:rFonts w:hint="eastAsia" w:cs="Times New Roman"/>
                      <w:i w:val="0"/>
                      <w:iCs w:val="0"/>
                      <w:color w:val="auto"/>
                      <w:kern w:val="0"/>
                      <w:sz w:val="18"/>
                      <w:szCs w:val="18"/>
                      <w:highlight w:val="none"/>
                      <w:u w:val="none"/>
                      <w:lang w:val="en-US" w:eastAsia="zh-CN" w:bidi="ar"/>
                    </w:rPr>
                    <w:t>1</w:t>
                  </w:r>
                  <w:r>
                    <w:rPr>
                      <w:rFonts w:hint="default" w:ascii="Times New Roman" w:hAnsi="Times New Roman" w:eastAsia="宋体" w:cs="Times New Roman"/>
                      <w:i w:val="0"/>
                      <w:iCs w:val="0"/>
                      <w:color w:val="auto"/>
                      <w:kern w:val="0"/>
                      <w:sz w:val="18"/>
                      <w:szCs w:val="18"/>
                      <w:highlight w:val="none"/>
                      <w:u w:val="none"/>
                      <w:lang w:val="en-US" w:eastAsia="zh-CN" w:bidi="ar"/>
                    </w:rPr>
                    <w:t>5</w:t>
                  </w:r>
                  <w:r>
                    <w:rPr>
                      <w:rFonts w:hint="eastAsia" w:cs="Times New Roman"/>
                      <w:i w:val="0"/>
                      <w:iCs w:val="0"/>
                      <w:color w:val="auto"/>
                      <w:kern w:val="0"/>
                      <w:sz w:val="18"/>
                      <w:szCs w:val="18"/>
                      <w:highlight w:val="none"/>
                      <w:u w:val="none"/>
                      <w:lang w:val="en-US" w:eastAsia="zh-CN" w:bidi="ar"/>
                    </w:rPr>
                    <w:t>0</w:t>
                  </w: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4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加工精度和自动化加工水平提高，产量减少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3</w:t>
                  </w:r>
                </w:p>
              </w:tc>
              <w:tc>
                <w:tcPr>
                  <w:tcW w:w="343" w:type="pct"/>
                  <w:vMerge w:val="restart"/>
                  <w:noWrap w:val="0"/>
                  <w:vAlign w:val="center"/>
                </w:tcPr>
                <w:p>
                  <w:pPr>
                    <w:keepNext w:val="0"/>
                    <w:keepLines w:val="0"/>
                    <w:pageBreakBefore w:val="0"/>
                    <w:kinsoku/>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反射镜</w:t>
                  </w:r>
                </w:p>
              </w:tc>
              <w:tc>
                <w:tcPr>
                  <w:tcW w:w="355" w:type="pct"/>
                  <w:noWrap w:val="0"/>
                  <w:vAlign w:val="center"/>
                </w:tcPr>
                <w:p>
                  <w:pPr>
                    <w:keepNext w:val="0"/>
                    <w:keepLines w:val="0"/>
                    <w:pageBreakBefore w:val="0"/>
                    <w:kinsoku/>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平面</w:t>
                  </w:r>
                </w:p>
              </w:tc>
              <w:tc>
                <w:tcPr>
                  <w:tcW w:w="1345" w:type="pct"/>
                  <w:noWrap w:val="0"/>
                  <w:vAlign w:val="center"/>
                </w:tcPr>
                <w:p>
                  <w:pPr>
                    <w:keepNext w:val="0"/>
                    <w:keepLines w:val="0"/>
                    <w:pageBreakBefore w:val="0"/>
                    <w:widowControl w:val="0"/>
                    <w:kinsoku/>
                    <w:wordWrap w:val="0"/>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 w:val="18"/>
                      <w:szCs w:val="18"/>
                      <w:highlight w:val="none"/>
                      <w:lang w:eastAsia="zh-CN"/>
                    </w:rPr>
                  </w:pPr>
                  <w:r>
                    <w:rPr>
                      <w:rFonts w:hint="eastAsia" w:cs="Times New Roman"/>
                      <w:color w:val="auto"/>
                      <w:sz w:val="18"/>
                      <w:szCs w:val="18"/>
                      <w:highlight w:val="none"/>
                      <w:lang w:eastAsia="zh-CN"/>
                    </w:rPr>
                    <w:t>尺寸：</w:t>
                  </w:r>
                  <w:r>
                    <w:rPr>
                      <w:rFonts w:hint="default" w:ascii="Times New Roman" w:hAnsi="Times New Roman" w:cs="Times New Roman"/>
                      <w:color w:val="auto"/>
                      <w:sz w:val="18"/>
                      <w:szCs w:val="18"/>
                      <w:highlight w:val="none"/>
                      <w:lang w:eastAsia="zh-CN"/>
                    </w:rPr>
                    <w:t>88.6</w:t>
                  </w:r>
                  <w:r>
                    <w:rPr>
                      <w:rFonts w:hint="eastAsia" w:cs="Times New Roman"/>
                      <w:color w:val="auto"/>
                      <w:sz w:val="18"/>
                      <w:szCs w:val="18"/>
                      <w:highlight w:val="none"/>
                      <w:lang w:val="en-US" w:eastAsia="zh-CN"/>
                    </w:rPr>
                    <w:t>mm</w:t>
                  </w:r>
                  <w:r>
                    <w:rPr>
                      <w:rFonts w:hint="default" w:ascii="Arial" w:hAnsi="Arial" w:cs="Arial"/>
                      <w:color w:val="auto"/>
                      <w:sz w:val="18"/>
                      <w:szCs w:val="18"/>
                      <w:highlight w:val="none"/>
                      <w:lang w:eastAsia="zh-CN"/>
                    </w:rPr>
                    <w:t>×</w:t>
                  </w:r>
                  <w:r>
                    <w:rPr>
                      <w:rFonts w:hint="default" w:ascii="Times New Roman" w:hAnsi="Times New Roman" w:cs="Times New Roman"/>
                      <w:color w:val="auto"/>
                      <w:sz w:val="18"/>
                      <w:szCs w:val="18"/>
                      <w:highlight w:val="none"/>
                      <w:lang w:eastAsia="zh-CN"/>
                    </w:rPr>
                    <w:t>66</w:t>
                  </w:r>
                  <w:r>
                    <w:rPr>
                      <w:rFonts w:hint="eastAsia" w:cs="Times New Roman"/>
                      <w:color w:val="auto"/>
                      <w:sz w:val="18"/>
                      <w:szCs w:val="18"/>
                      <w:highlight w:val="none"/>
                      <w:lang w:val="en-US" w:eastAsia="zh-CN"/>
                    </w:rPr>
                    <w:t>mm</w:t>
                  </w:r>
                  <w:r>
                    <w:rPr>
                      <w:rFonts w:hint="default" w:ascii="Arial" w:hAnsi="Arial" w:cs="Arial"/>
                      <w:color w:val="auto"/>
                      <w:sz w:val="18"/>
                      <w:szCs w:val="18"/>
                      <w:highlight w:val="none"/>
                      <w:lang w:eastAsia="zh-CN"/>
                    </w:rPr>
                    <w:t>×</w:t>
                  </w:r>
                  <w:r>
                    <w:rPr>
                      <w:rFonts w:hint="default" w:ascii="Times New Roman" w:hAnsi="Times New Roman" w:cs="Times New Roman"/>
                      <w:color w:val="auto"/>
                      <w:sz w:val="18"/>
                      <w:szCs w:val="18"/>
                      <w:highlight w:val="none"/>
                      <w:lang w:eastAsia="zh-CN"/>
                    </w:rPr>
                    <w:t>2</w:t>
                  </w:r>
                  <w:r>
                    <w:rPr>
                      <w:rFonts w:hint="eastAsia" w:cs="Times New Roman"/>
                      <w:color w:val="auto"/>
                      <w:sz w:val="18"/>
                      <w:szCs w:val="18"/>
                      <w:highlight w:val="none"/>
                      <w:lang w:val="en-US" w:eastAsia="zh-CN"/>
                    </w:rPr>
                    <w:t>mm</w:t>
                  </w:r>
                  <w:r>
                    <w:rPr>
                      <w:rFonts w:hint="default" w:ascii="Times New Roman" w:hAnsi="Times New Roman" w:cs="Times New Roman"/>
                      <w:color w:val="auto"/>
                      <w:sz w:val="18"/>
                      <w:szCs w:val="18"/>
                      <w:highlight w:val="none"/>
                      <w:lang w:eastAsia="zh-CN"/>
                    </w:rPr>
                    <w:t>及订制</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200000</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100000</w:t>
                  </w:r>
                </w:p>
              </w:tc>
              <w:tc>
                <w:tcPr>
                  <w:tcW w:w="644" w:type="pct"/>
                  <w:noWrap w:val="0"/>
                  <w:vAlign w:val="center"/>
                </w:tcPr>
                <w:p>
                  <w:pPr>
                    <w:keepNext w:val="0"/>
                    <w:keepLines w:val="0"/>
                    <w:pageBreakBefore w:val="0"/>
                    <w:widowControl/>
                    <w:suppressLineNumbers w:val="0"/>
                    <w:kinsoku/>
                    <w:overflowPunct/>
                    <w:topLinePunct w:val="0"/>
                    <w:autoSpaceDE/>
                    <w:autoSpaceDN/>
                    <w:bidi w:val="0"/>
                    <w:adjustRightInd/>
                    <w:snapToGrid/>
                    <w:spacing w:line="320" w:lineRule="exact"/>
                    <w:jc w:val="center"/>
                    <w:textAlignment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1</w:t>
                  </w:r>
                  <w:r>
                    <w:rPr>
                      <w:rFonts w:hint="default" w:ascii="Times New Roman" w:hAnsi="Times New Roman" w:cs="Times New Roman"/>
                      <w:i w:val="0"/>
                      <w:iCs w:val="0"/>
                      <w:color w:val="auto"/>
                      <w:kern w:val="0"/>
                      <w:sz w:val="18"/>
                      <w:szCs w:val="18"/>
                      <w:highlight w:val="none"/>
                      <w:u w:val="none"/>
                      <w:lang w:val="en-US" w:eastAsia="zh-CN" w:bidi="ar"/>
                    </w:rPr>
                    <w:t>00</w:t>
                  </w: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4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p>
              </w:tc>
              <w:tc>
                <w:tcPr>
                  <w:tcW w:w="343" w:type="pct"/>
                  <w:vMerge w:val="continue"/>
                  <w:noWrap w:val="0"/>
                  <w:vAlign w:val="center"/>
                </w:tcPr>
                <w:p>
                  <w:pPr>
                    <w:keepNext w:val="0"/>
                    <w:keepLines w:val="0"/>
                    <w:pageBreakBefore w:val="0"/>
                    <w:kinsoku/>
                    <w:overflowPunct/>
                    <w:topLinePunct w:val="0"/>
                    <w:autoSpaceDE/>
                    <w:autoSpaceDN/>
                    <w:bidi w:val="0"/>
                    <w:adjustRightInd/>
                    <w:snapToGrid/>
                    <w:spacing w:line="320" w:lineRule="exact"/>
                    <w:jc w:val="center"/>
                    <w:rPr>
                      <w:rFonts w:hint="default" w:ascii="Times New Roman" w:hAnsi="Times New Roman" w:cs="Times New Roman" w:eastAsiaTheme="minorEastAsia"/>
                      <w:color w:val="auto"/>
                      <w:kern w:val="2"/>
                      <w:sz w:val="18"/>
                      <w:szCs w:val="18"/>
                      <w:highlight w:val="none"/>
                      <w:lang w:val="en-US" w:eastAsia="zh-CN" w:bidi="ar-SA"/>
                    </w:rPr>
                  </w:pPr>
                </w:p>
              </w:tc>
              <w:tc>
                <w:tcPr>
                  <w:tcW w:w="355" w:type="pct"/>
                  <w:noWrap w:val="0"/>
                  <w:vAlign w:val="center"/>
                </w:tcPr>
                <w:p>
                  <w:pPr>
                    <w:keepNext w:val="0"/>
                    <w:keepLines w:val="0"/>
                    <w:pageBreakBefore w:val="0"/>
                    <w:kinsoku/>
                    <w:overflowPunct/>
                    <w:topLinePunct w:val="0"/>
                    <w:autoSpaceDE/>
                    <w:autoSpaceDN/>
                    <w:bidi w:val="0"/>
                    <w:adjustRightInd/>
                    <w:snapToGrid/>
                    <w:spacing w:line="320" w:lineRule="exact"/>
                    <w:jc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曲面</w:t>
                  </w:r>
                </w:p>
              </w:tc>
              <w:tc>
                <w:tcPr>
                  <w:tcW w:w="1345" w:type="pct"/>
                  <w:noWrap w:val="0"/>
                  <w:vAlign w:val="center"/>
                </w:tcPr>
                <w:p>
                  <w:pPr>
                    <w:keepNext w:val="0"/>
                    <w:keepLines w:val="0"/>
                    <w:pageBreakBefore w:val="0"/>
                    <w:widowControl w:val="0"/>
                    <w:kinsoku/>
                    <w:wordWrap w:val="0"/>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color w:val="auto"/>
                      <w:sz w:val="18"/>
                      <w:szCs w:val="18"/>
                      <w:highlight w:val="none"/>
                      <w:lang w:val="en-US" w:eastAsia="zh-CN"/>
                    </w:rPr>
                  </w:pPr>
                  <w:r>
                    <w:rPr>
                      <w:rFonts w:hint="eastAsia" w:cs="Times New Roman" w:eastAsiaTheme="minorEastAsia"/>
                      <w:color w:val="auto"/>
                      <w:sz w:val="18"/>
                      <w:szCs w:val="18"/>
                      <w:highlight w:val="none"/>
                      <w:lang w:val="en-US" w:eastAsia="zh-CN"/>
                    </w:rPr>
                    <w:t>尺寸：300mm-1200mm及订制，光谱曲线：Rave&gt;90% 330-700nm</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0</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300</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+300</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改进后新产品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8" w:type="pct"/>
                  <w:gridSpan w:val="4"/>
                  <w:noWrap w:val="0"/>
                  <w:vAlign w:val="center"/>
                </w:tcPr>
                <w:p>
                  <w:pPr>
                    <w:keepNext w:val="0"/>
                    <w:keepLines w:val="0"/>
                    <w:pageBreakBefore w:val="0"/>
                    <w:kinsoku/>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合计</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400000</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val="en-US" w:eastAsia="zh-CN"/>
                    </w:rPr>
                    <w:t>200300</w:t>
                  </w:r>
                </w:p>
              </w:tc>
              <w:tc>
                <w:tcPr>
                  <w:tcW w:w="6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val="en-US" w:eastAsia="zh-CN"/>
                    </w:rPr>
                    <w:t>-199700</w:t>
                  </w:r>
                </w:p>
              </w:tc>
              <w:tc>
                <w:tcPr>
                  <w:tcW w:w="64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4、</w:t>
            </w:r>
            <w:r>
              <w:rPr>
                <w:rFonts w:hint="default" w:ascii="Times New Roman" w:hAnsi="Times New Roman" w:cs="Times New Roman"/>
                <w:b/>
                <w:color w:val="auto"/>
                <w:kern w:val="0"/>
                <w:szCs w:val="21"/>
                <w:highlight w:val="none"/>
              </w:rPr>
              <w:t>主要设备和装置</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textAlignment w:val="auto"/>
              <w:rPr>
                <w:rFonts w:hint="default"/>
                <w:color w:val="auto"/>
              </w:rPr>
            </w:pPr>
            <w:r>
              <w:rPr>
                <w:rFonts w:hint="default" w:ascii="Times New Roman" w:hAnsi="Times New Roman" w:cs="Times New Roman"/>
                <w:bCs/>
                <w:color w:val="auto"/>
                <w:kern w:val="0"/>
                <w:szCs w:val="21"/>
                <w:highlight w:val="none"/>
                <w:lang w:eastAsia="zh-CN"/>
              </w:rPr>
              <w:t>本次技改工程</w:t>
            </w:r>
            <w:r>
              <w:rPr>
                <w:rFonts w:hint="eastAsia" w:cs="Times New Roman"/>
                <w:bCs/>
                <w:color w:val="auto"/>
                <w:kern w:val="0"/>
                <w:szCs w:val="21"/>
                <w:highlight w:val="none"/>
                <w:lang w:eastAsia="zh-CN"/>
              </w:rPr>
              <w:t>减少现有工程磨边机设备，新增抛光机、磨砂机、灯杯数控机、内圆切割机、间歇式热弯成型机等高精度、高自动化程度的设备以及部分异形加工设备，其余主要设备种类及数量不变，技改前后</w:t>
            </w:r>
            <w:r>
              <w:rPr>
                <w:rFonts w:hint="default" w:ascii="Times New Roman" w:hAnsi="Times New Roman" w:cs="Times New Roman"/>
                <w:bCs/>
                <w:color w:val="auto"/>
                <w:kern w:val="0"/>
                <w:szCs w:val="21"/>
                <w:highlight w:val="none"/>
                <w:lang w:eastAsia="zh-CN"/>
              </w:rPr>
              <w:t>生产</w:t>
            </w:r>
            <w:r>
              <w:rPr>
                <w:rFonts w:hint="default" w:ascii="Times New Roman" w:hAnsi="Times New Roman" w:cs="Times New Roman"/>
                <w:bCs/>
                <w:color w:val="auto"/>
                <w:kern w:val="0"/>
                <w:szCs w:val="21"/>
                <w:highlight w:val="none"/>
              </w:rPr>
              <w:t>设备</w:t>
            </w:r>
            <w:r>
              <w:rPr>
                <w:rFonts w:hint="default" w:ascii="Times New Roman" w:hAnsi="Times New Roman" w:cs="Times New Roman"/>
                <w:bCs/>
                <w:color w:val="auto"/>
                <w:kern w:val="0"/>
                <w:szCs w:val="21"/>
                <w:highlight w:val="none"/>
                <w:lang w:eastAsia="zh-CN"/>
              </w:rPr>
              <w:t>变化</w:t>
            </w:r>
            <w:r>
              <w:rPr>
                <w:rFonts w:hint="default" w:ascii="Times New Roman" w:hAnsi="Times New Roman" w:cs="Times New Roman"/>
                <w:bCs/>
                <w:color w:val="auto"/>
                <w:kern w:val="0"/>
                <w:szCs w:val="21"/>
                <w:highlight w:val="none"/>
              </w:rPr>
              <w:t>情况见</w:t>
            </w:r>
            <w:r>
              <w:rPr>
                <w:rFonts w:hint="default" w:ascii="Times New Roman" w:hAnsi="Times New Roman" w:cs="Times New Roman"/>
                <w:bCs/>
                <w:color w:val="auto"/>
                <w:kern w:val="0"/>
                <w:szCs w:val="21"/>
                <w:highlight w:val="none"/>
                <w:lang w:eastAsia="zh-CN"/>
              </w:rPr>
              <w:t>下表</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工程主要工艺设备一览表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739"/>
              <w:gridCol w:w="1386"/>
              <w:gridCol w:w="758"/>
              <w:gridCol w:w="758"/>
              <w:gridCol w:w="758"/>
              <w:gridCol w:w="525"/>
              <w:gridCol w:w="113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7" w:type="pct"/>
                  <w:vMerge w:val="restart"/>
                  <w:noWrap/>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序号</w:t>
                  </w:r>
                </w:p>
              </w:tc>
              <w:tc>
                <w:tcPr>
                  <w:tcW w:w="1138" w:type="pct"/>
                  <w:vMerge w:val="restart"/>
                  <w:noWrap/>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设备名称</w:t>
                  </w:r>
                </w:p>
              </w:tc>
              <w:tc>
                <w:tcPr>
                  <w:tcW w:w="907"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规格型号</w:t>
                  </w:r>
                </w:p>
              </w:tc>
              <w:tc>
                <w:tcPr>
                  <w:tcW w:w="1488" w:type="pct"/>
                  <w:gridSpan w:val="3"/>
                  <w:noWrap/>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数量</w:t>
                  </w:r>
                </w:p>
              </w:tc>
              <w:tc>
                <w:tcPr>
                  <w:tcW w:w="343" w:type="pct"/>
                  <w:vMerge w:val="restart"/>
                  <w:noWrap/>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单位</w:t>
                  </w:r>
                </w:p>
              </w:tc>
              <w:tc>
                <w:tcPr>
                  <w:tcW w:w="744" w:type="pct"/>
                  <w:vMerge w:val="restart"/>
                  <w:noWrap/>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77" w:type="pct"/>
                  <w:vMerge w:val="continue"/>
                  <w:noWrap/>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cyan"/>
                      <w:lang w:val="zh-CN" w:eastAsia="en-US"/>
                    </w:rPr>
                  </w:pPr>
                </w:p>
              </w:tc>
              <w:tc>
                <w:tcPr>
                  <w:tcW w:w="1138" w:type="pct"/>
                  <w:vMerge w:val="continue"/>
                  <w:noWrap/>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cyan"/>
                      <w:lang w:val="zh-CN" w:eastAsia="en-US"/>
                    </w:rPr>
                  </w:pPr>
                </w:p>
              </w:tc>
              <w:tc>
                <w:tcPr>
                  <w:tcW w:w="907"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cyan"/>
                      <w:lang w:val="zh-CN" w:eastAsia="en-US"/>
                    </w:rPr>
                  </w:pPr>
                </w:p>
              </w:tc>
              <w:tc>
                <w:tcPr>
                  <w:tcW w:w="496" w:type="pct"/>
                  <w:noWrap/>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技改前</w:t>
                  </w:r>
                </w:p>
              </w:tc>
              <w:tc>
                <w:tcPr>
                  <w:tcW w:w="496" w:type="pct"/>
                  <w:noWrap/>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技改后</w:t>
                  </w:r>
                </w:p>
              </w:tc>
              <w:tc>
                <w:tcPr>
                  <w:tcW w:w="496" w:type="pct"/>
                  <w:noWrap/>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eastAsia" w:cs="Times New Roman"/>
                      <w:color w:val="auto"/>
                      <w:kern w:val="0"/>
                      <w:sz w:val="18"/>
                      <w:szCs w:val="18"/>
                      <w:highlight w:val="none"/>
                      <w:lang w:val="zh-CN" w:eastAsia="en-US"/>
                    </w:rPr>
                    <w:t>增减量</w:t>
                  </w:r>
                </w:p>
              </w:tc>
              <w:tc>
                <w:tcPr>
                  <w:tcW w:w="343" w:type="pct"/>
                  <w:vMerge w:val="continue"/>
                  <w:noWrap/>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cyan"/>
                      <w:lang w:val="zh-CN" w:eastAsia="en-US"/>
                    </w:rPr>
                  </w:pPr>
                </w:p>
              </w:tc>
              <w:tc>
                <w:tcPr>
                  <w:tcW w:w="744" w:type="pct"/>
                  <w:vMerge w:val="continue"/>
                  <w:noWrap/>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cyan"/>
                      <w:lang w:val="zh-CN" w:eastAsia="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cs="Times New Roman"/>
                      <w:color w:val="auto"/>
                      <w:kern w:val="0"/>
                      <w:sz w:val="18"/>
                      <w:szCs w:val="18"/>
                      <w:highlight w:val="none"/>
                      <w:lang w:val="zh-CN"/>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1138"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抛光机</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BHZZ</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6</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i w:val="0"/>
                      <w:iCs w:val="0"/>
                      <w:color w:val="auto"/>
                      <w:kern w:val="0"/>
                      <w:sz w:val="18"/>
                      <w:szCs w:val="18"/>
                      <w:highlight w:val="none"/>
                      <w:u w:val="none"/>
                      <w:lang w:val="en-US" w:eastAsia="zh-CN" w:bidi="ar"/>
                    </w:rPr>
                    <w:t>6</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w:t>
                  </w:r>
                </w:p>
              </w:tc>
              <w:tc>
                <w:tcPr>
                  <w:tcW w:w="343" w:type="pct"/>
                  <w:noWrap w:val="0"/>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台</w:t>
                  </w:r>
                </w:p>
              </w:tc>
              <w:tc>
                <w:tcPr>
                  <w:tcW w:w="744" w:type="pct"/>
                  <w:noWrap w:val="0"/>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抛光设备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138"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全自动抛光机</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2</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2</w:t>
                  </w:r>
                </w:p>
              </w:tc>
              <w:tc>
                <w:tcPr>
                  <w:tcW w:w="343" w:type="pct"/>
                  <w:noWrap w:val="0"/>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台</w:t>
                  </w:r>
                </w:p>
              </w:tc>
              <w:tc>
                <w:tcPr>
                  <w:tcW w:w="744" w:type="pct"/>
                  <w:noWrap w:val="0"/>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抛光设备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zh-CN"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1138"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zh-CN" w:eastAsia="en-US" w:bidi="ar-SA"/>
                    </w:rPr>
                  </w:pPr>
                  <w:r>
                    <w:rPr>
                      <w:rFonts w:hint="default" w:ascii="Times New Roman" w:hAnsi="Times New Roman" w:eastAsia="宋体" w:cs="Times New Roman"/>
                      <w:i w:val="0"/>
                      <w:iCs w:val="0"/>
                      <w:color w:val="auto"/>
                      <w:kern w:val="0"/>
                      <w:sz w:val="18"/>
                      <w:szCs w:val="18"/>
                      <w:highlight w:val="none"/>
                      <w:u w:val="none"/>
                      <w:lang w:val="en-US" w:eastAsia="zh-CN" w:bidi="ar"/>
                    </w:rPr>
                    <w:t>高速抛光机</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zh-CN" w:eastAsia="en-US"/>
                    </w:rPr>
                  </w:pPr>
                  <w:r>
                    <w:rPr>
                      <w:rFonts w:hint="default" w:ascii="Times New Roman" w:hAnsi="Times New Roman" w:eastAsia="宋体" w:cs="Times New Roman"/>
                      <w:i w:val="0"/>
                      <w:iCs w:val="0"/>
                      <w:color w:val="auto"/>
                      <w:kern w:val="0"/>
                      <w:sz w:val="18"/>
                      <w:szCs w:val="18"/>
                      <w:highlight w:val="none"/>
                      <w:u w:val="none"/>
                      <w:lang w:val="en-US" w:eastAsia="zh-CN" w:bidi="ar"/>
                    </w:rPr>
                    <w:t>JPS030.4</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0</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+2</w:t>
                  </w:r>
                </w:p>
              </w:tc>
              <w:tc>
                <w:tcPr>
                  <w:tcW w:w="343" w:type="pct"/>
                  <w:noWrap w:val="0"/>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台</w:t>
                  </w:r>
                </w:p>
              </w:tc>
              <w:tc>
                <w:tcPr>
                  <w:tcW w:w="744" w:type="pct"/>
                  <w:noWrap w:val="0"/>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抛光设备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zh-CN"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1138"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zh-CN" w:eastAsia="en-US" w:bidi="ar-SA"/>
                    </w:rPr>
                  </w:pPr>
                  <w:r>
                    <w:rPr>
                      <w:rFonts w:hint="default" w:ascii="Times New Roman" w:hAnsi="Times New Roman" w:eastAsia="宋体" w:cs="Times New Roman"/>
                      <w:i w:val="0"/>
                      <w:iCs w:val="0"/>
                      <w:color w:val="auto"/>
                      <w:kern w:val="0"/>
                      <w:sz w:val="18"/>
                      <w:szCs w:val="18"/>
                      <w:highlight w:val="none"/>
                      <w:u w:val="none"/>
                      <w:lang w:val="en-US" w:eastAsia="zh-CN" w:bidi="ar"/>
                    </w:rPr>
                    <w:t>磨边机</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zh-CN" w:eastAsia="en-US"/>
                    </w:rPr>
                  </w:pPr>
                  <w:r>
                    <w:rPr>
                      <w:rFonts w:hint="default" w:ascii="Times New Roman" w:hAnsi="Times New Roman" w:eastAsia="宋体" w:cs="Times New Roman"/>
                      <w:i w:val="0"/>
                      <w:iCs w:val="0"/>
                      <w:color w:val="auto"/>
                      <w:kern w:val="0"/>
                      <w:sz w:val="18"/>
                      <w:szCs w:val="18"/>
                      <w:highlight w:val="none"/>
                      <w:u w:val="none"/>
                      <w:lang w:val="en-US" w:eastAsia="zh-CN" w:bidi="ar"/>
                    </w:rPr>
                    <w:t>BHZZ</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10</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-6</w:t>
                  </w:r>
                </w:p>
              </w:tc>
              <w:tc>
                <w:tcPr>
                  <w:tcW w:w="343" w:type="pct"/>
                  <w:noWrap w:val="0"/>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台</w:t>
                  </w:r>
                </w:p>
              </w:tc>
              <w:tc>
                <w:tcPr>
                  <w:tcW w:w="744" w:type="pct"/>
                  <w:noWrap w:val="0"/>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磨边设备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zh-CN"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1138"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zh-CN" w:eastAsia="en-US" w:bidi="ar-SA"/>
                    </w:rPr>
                  </w:pPr>
                  <w:r>
                    <w:rPr>
                      <w:rFonts w:hint="default" w:ascii="Times New Roman" w:hAnsi="Times New Roman" w:cs="Times New Roman"/>
                      <w:i w:val="0"/>
                      <w:iCs w:val="0"/>
                      <w:color w:val="auto"/>
                      <w:kern w:val="0"/>
                      <w:sz w:val="18"/>
                      <w:szCs w:val="18"/>
                      <w:highlight w:val="none"/>
                      <w:u w:val="none"/>
                      <w:lang w:val="en-US" w:eastAsia="zh-CN" w:bidi="ar"/>
                    </w:rPr>
                    <w:t>磨砂机</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BHZZ</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0</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+2</w:t>
                  </w:r>
                </w:p>
              </w:tc>
              <w:tc>
                <w:tcPr>
                  <w:tcW w:w="343" w:type="pct"/>
                  <w:noWrap w:val="0"/>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台</w:t>
                  </w:r>
                </w:p>
              </w:tc>
              <w:tc>
                <w:tcPr>
                  <w:tcW w:w="744" w:type="pct"/>
                  <w:noWrap w:val="0"/>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粗磨设备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1138"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灯杯数控机</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BHWXJG</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0</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496"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w:t>
                  </w:r>
                </w:p>
              </w:tc>
              <w:tc>
                <w:tcPr>
                  <w:tcW w:w="343" w:type="pct"/>
                  <w:noWrap w:val="0"/>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color w:val="auto"/>
                      <w:kern w:val="0"/>
                      <w:sz w:val="18"/>
                      <w:szCs w:val="18"/>
                      <w:highlight w:val="none"/>
                      <w:lang w:val="zh-CN" w:eastAsia="zh-CN"/>
                    </w:rPr>
                  </w:pPr>
                  <w:r>
                    <w:rPr>
                      <w:rFonts w:hint="default" w:ascii="Times New Roman" w:hAnsi="Times New Roman" w:cs="Times New Roman"/>
                      <w:color w:val="auto"/>
                      <w:kern w:val="0"/>
                      <w:sz w:val="18"/>
                      <w:szCs w:val="18"/>
                      <w:highlight w:val="none"/>
                      <w:lang w:val="zh-CN" w:eastAsia="zh-CN"/>
                    </w:rPr>
                    <w:t>台</w:t>
                  </w:r>
                </w:p>
              </w:tc>
              <w:tc>
                <w:tcPr>
                  <w:tcW w:w="744" w:type="pct"/>
                  <w:noWrap w:val="0"/>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精磨设备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1138"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zh-CN" w:eastAsia="en-US" w:bidi="ar-SA"/>
                    </w:rPr>
                  </w:pPr>
                  <w:r>
                    <w:rPr>
                      <w:rFonts w:hint="default" w:ascii="Times New Roman" w:hAnsi="Times New Roman" w:eastAsia="宋体" w:cs="Times New Roman"/>
                      <w:i w:val="0"/>
                      <w:iCs w:val="0"/>
                      <w:color w:val="auto"/>
                      <w:kern w:val="0"/>
                      <w:sz w:val="18"/>
                      <w:szCs w:val="18"/>
                      <w:highlight w:val="none"/>
                      <w:u w:val="none"/>
                      <w:lang w:val="en-US" w:eastAsia="zh-CN" w:bidi="ar"/>
                    </w:rPr>
                    <w:t>灯杯抛光机</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BHZZ</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0</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+2</w:t>
                  </w:r>
                </w:p>
              </w:tc>
              <w:tc>
                <w:tcPr>
                  <w:tcW w:w="343" w:type="pct"/>
                  <w:noWrap/>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台</w:t>
                  </w:r>
                </w:p>
              </w:tc>
              <w:tc>
                <w:tcPr>
                  <w:tcW w:w="744" w:type="pct"/>
                  <w:noWrap/>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精抛设备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1138"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zh-CN" w:eastAsia="en-US" w:bidi="ar-SA"/>
                    </w:rPr>
                  </w:pPr>
                  <w:r>
                    <w:rPr>
                      <w:rFonts w:hint="default" w:ascii="Times New Roman" w:hAnsi="Times New Roman" w:eastAsia="宋体" w:cs="Times New Roman"/>
                      <w:i w:val="0"/>
                      <w:iCs w:val="0"/>
                      <w:color w:val="auto"/>
                      <w:kern w:val="0"/>
                      <w:sz w:val="18"/>
                      <w:szCs w:val="18"/>
                      <w:highlight w:val="none"/>
                      <w:u w:val="none"/>
                      <w:lang w:val="en-US" w:eastAsia="zh-CN" w:bidi="ar"/>
                    </w:rPr>
                    <w:t>内圆切割机</w:t>
                  </w:r>
                </w:p>
              </w:tc>
              <w:tc>
                <w:tcPr>
                  <w:tcW w:w="907" w:type="pct"/>
                  <w:noWrap w:val="0"/>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0</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+2</w:t>
                  </w:r>
                </w:p>
              </w:tc>
              <w:tc>
                <w:tcPr>
                  <w:tcW w:w="343" w:type="pct"/>
                  <w:noWrap/>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color w:val="auto"/>
                      <w:kern w:val="0"/>
                      <w:sz w:val="18"/>
                      <w:szCs w:val="18"/>
                      <w:highlight w:val="none"/>
                      <w:lang w:val="zh-CN" w:eastAsia="en-US" w:bidi="ar-SA"/>
                    </w:rPr>
                  </w:pPr>
                  <w:r>
                    <w:rPr>
                      <w:rFonts w:hint="default" w:ascii="Times New Roman" w:hAnsi="Times New Roman" w:cs="Times New Roman"/>
                      <w:color w:val="auto"/>
                      <w:kern w:val="0"/>
                      <w:sz w:val="18"/>
                      <w:szCs w:val="18"/>
                      <w:highlight w:val="none"/>
                      <w:lang w:val="zh-CN" w:eastAsia="en-US" w:bidi="ar-SA"/>
                    </w:rPr>
                    <w:t>台</w:t>
                  </w:r>
                </w:p>
              </w:tc>
              <w:tc>
                <w:tcPr>
                  <w:tcW w:w="744" w:type="pct"/>
                  <w:noWrap/>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下料设备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9</w:t>
                  </w:r>
                </w:p>
              </w:tc>
              <w:tc>
                <w:tcPr>
                  <w:tcW w:w="1138"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i w:val="0"/>
                      <w:iCs w:val="0"/>
                      <w:color w:val="auto"/>
                      <w:kern w:val="0"/>
                      <w:sz w:val="18"/>
                      <w:szCs w:val="18"/>
                      <w:highlight w:val="none"/>
                      <w:u w:val="none"/>
                      <w:lang w:val="en-US" w:eastAsia="zh-CN" w:bidi="ar"/>
                    </w:rPr>
                    <w:t>间歇式热弯成型机</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Style w:val="67"/>
                      <w:rFonts w:hint="default" w:ascii="Times New Roman" w:hAnsi="Times New Roman" w:eastAsia="宋体" w:cs="Times New Roman"/>
                      <w:b w:val="0"/>
                      <w:bCs w:val="0"/>
                      <w:i w:val="0"/>
                      <w:caps w:val="0"/>
                      <w:color w:val="auto"/>
                      <w:spacing w:val="0"/>
                      <w:w w:val="100"/>
                      <w:kern w:val="2"/>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BHZZ</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0</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+5</w:t>
                  </w:r>
                </w:p>
              </w:tc>
              <w:tc>
                <w:tcPr>
                  <w:tcW w:w="343" w:type="pct"/>
                  <w:noWrap/>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b w:val="0"/>
                      <w:i w:val="0"/>
                      <w:caps w:val="0"/>
                      <w:color w:val="auto"/>
                      <w:spacing w:val="0"/>
                      <w:w w:val="100"/>
                      <w:sz w:val="18"/>
                      <w:szCs w:val="18"/>
                      <w:highlight w:val="none"/>
                      <w:lang w:eastAsia="zh-CN"/>
                    </w:rPr>
                  </w:pPr>
                  <w:r>
                    <w:rPr>
                      <w:rFonts w:hint="default" w:ascii="Times New Roman" w:hAnsi="Times New Roman" w:cs="Times New Roman"/>
                      <w:b w:val="0"/>
                      <w:i w:val="0"/>
                      <w:caps w:val="0"/>
                      <w:color w:val="auto"/>
                      <w:spacing w:val="0"/>
                      <w:w w:val="100"/>
                      <w:sz w:val="18"/>
                      <w:szCs w:val="18"/>
                      <w:highlight w:val="none"/>
                      <w:lang w:eastAsia="zh-CN"/>
                    </w:rPr>
                    <w:t>套</w:t>
                  </w:r>
                </w:p>
              </w:tc>
              <w:tc>
                <w:tcPr>
                  <w:tcW w:w="744" w:type="pct"/>
                  <w:noWrap/>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热弯设备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1138"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空气压缩供气系统</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Style w:val="67"/>
                      <w:rFonts w:hint="default" w:ascii="Times New Roman" w:hAnsi="Times New Roman" w:cs="Times New Roman"/>
                      <w:b w:val="0"/>
                      <w:bCs w:val="0"/>
                      <w:i w:val="0"/>
                      <w:caps w:val="0"/>
                      <w:color w:val="auto"/>
                      <w:spacing w:val="0"/>
                      <w:w w:val="100"/>
                      <w:kern w:val="2"/>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8MP</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3</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w:t>
                  </w:r>
                </w:p>
              </w:tc>
              <w:tc>
                <w:tcPr>
                  <w:tcW w:w="343" w:type="pct"/>
                  <w:noWrap/>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b w:val="0"/>
                      <w:i w:val="0"/>
                      <w:caps w:val="0"/>
                      <w:color w:val="auto"/>
                      <w:spacing w:val="0"/>
                      <w:w w:val="100"/>
                      <w:sz w:val="18"/>
                      <w:szCs w:val="18"/>
                      <w:highlight w:val="no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套</w:t>
                  </w:r>
                </w:p>
              </w:tc>
              <w:tc>
                <w:tcPr>
                  <w:tcW w:w="744" w:type="pct"/>
                  <w:noWrap/>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镀膜机供气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1138"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多层真空镀膜机</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ZZSC800-1800</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9</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9</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w:t>
                  </w:r>
                </w:p>
              </w:tc>
              <w:tc>
                <w:tcPr>
                  <w:tcW w:w="343" w:type="pct"/>
                  <w:noWrap/>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color w:val="auto"/>
                      <w:kern w:val="0"/>
                      <w:sz w:val="18"/>
                      <w:szCs w:val="18"/>
                      <w:highlight w:val="none"/>
                      <w:lang w:val="zh-CN" w:eastAsia="en-US" w:bidi="ar-SA"/>
                    </w:rPr>
                  </w:pPr>
                  <w:r>
                    <w:rPr>
                      <w:rFonts w:hint="default" w:ascii="Times New Roman" w:hAnsi="Times New Roman" w:cs="Times New Roman"/>
                      <w:color w:val="auto"/>
                      <w:kern w:val="0"/>
                      <w:sz w:val="18"/>
                      <w:szCs w:val="18"/>
                      <w:highlight w:val="none"/>
                      <w:lang w:val="zh-CN" w:eastAsia="en-US" w:bidi="ar-SA"/>
                    </w:rPr>
                    <w:t>套</w:t>
                  </w:r>
                </w:p>
              </w:tc>
              <w:tc>
                <w:tcPr>
                  <w:tcW w:w="744" w:type="pct"/>
                  <w:noWrap/>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镀膜设备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1138"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zh-CN" w:eastAsia="en-US" w:bidi="ar-SA"/>
                    </w:rPr>
                  </w:pPr>
                  <w:r>
                    <w:rPr>
                      <w:rFonts w:hint="default" w:ascii="Times New Roman" w:hAnsi="Times New Roman" w:eastAsia="宋体" w:cs="Times New Roman"/>
                      <w:i w:val="0"/>
                      <w:iCs w:val="0"/>
                      <w:color w:val="auto"/>
                      <w:kern w:val="0"/>
                      <w:sz w:val="18"/>
                      <w:szCs w:val="18"/>
                      <w:highlight w:val="none"/>
                      <w:u w:val="none"/>
                      <w:lang w:val="en-US" w:eastAsia="zh-CN" w:bidi="ar"/>
                    </w:rPr>
                    <w:t>超声波清洗机</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b w:val="0"/>
                      <w:bCs w:val="0"/>
                      <w:i w:val="0"/>
                      <w:caps w:val="0"/>
                      <w:color w:val="auto"/>
                      <w:spacing w:val="0"/>
                      <w:w w:val="100"/>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1M-02015</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2</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w:t>
                  </w:r>
                </w:p>
              </w:tc>
              <w:tc>
                <w:tcPr>
                  <w:tcW w:w="343" w:type="pct"/>
                  <w:noWrap/>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b w:val="0"/>
                      <w:i w:val="0"/>
                      <w:caps w:val="0"/>
                      <w:color w:val="auto"/>
                      <w:spacing w:val="0"/>
                      <w:w w:val="100"/>
                      <w:kern w:val="2"/>
                      <w:sz w:val="18"/>
                      <w:szCs w:val="18"/>
                      <w:highlight w:val="none"/>
                      <w:lang w:val="zh-CN" w:eastAsia="en-US" w:bidi="ar-SA"/>
                    </w:rPr>
                  </w:pPr>
                  <w:r>
                    <w:rPr>
                      <w:rFonts w:hint="default" w:ascii="Times New Roman" w:hAnsi="Times New Roman" w:cs="Times New Roman"/>
                      <w:b w:val="0"/>
                      <w:i w:val="0"/>
                      <w:caps w:val="0"/>
                      <w:color w:val="auto"/>
                      <w:spacing w:val="0"/>
                      <w:w w:val="100"/>
                      <w:kern w:val="2"/>
                      <w:sz w:val="18"/>
                      <w:szCs w:val="18"/>
                      <w:highlight w:val="none"/>
                      <w:lang w:val="zh-CN" w:eastAsia="en-US" w:bidi="ar-SA"/>
                    </w:rPr>
                    <w:t>台</w:t>
                  </w:r>
                </w:p>
              </w:tc>
              <w:tc>
                <w:tcPr>
                  <w:tcW w:w="744" w:type="pct"/>
                  <w:noWrap/>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清洗设备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1138"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zh-CN" w:eastAsia="en-US" w:bidi="ar-SA"/>
                    </w:rPr>
                  </w:pPr>
                  <w:r>
                    <w:rPr>
                      <w:rFonts w:hint="default" w:ascii="Times New Roman" w:hAnsi="Times New Roman" w:cs="Times New Roman"/>
                      <w:i w:val="0"/>
                      <w:iCs w:val="0"/>
                      <w:color w:val="auto"/>
                      <w:kern w:val="0"/>
                      <w:sz w:val="18"/>
                      <w:szCs w:val="18"/>
                      <w:highlight w:val="none"/>
                      <w:u w:val="none"/>
                      <w:lang w:val="en-US" w:eastAsia="zh-CN" w:bidi="ar"/>
                    </w:rPr>
                    <w:t>电</w:t>
                  </w:r>
                  <w:r>
                    <w:rPr>
                      <w:rFonts w:hint="default" w:ascii="Times New Roman" w:hAnsi="Times New Roman" w:eastAsia="宋体" w:cs="Times New Roman"/>
                      <w:i w:val="0"/>
                      <w:iCs w:val="0"/>
                      <w:color w:val="auto"/>
                      <w:kern w:val="0"/>
                      <w:sz w:val="18"/>
                      <w:szCs w:val="18"/>
                      <w:highlight w:val="none"/>
                      <w:u w:val="none"/>
                      <w:lang w:val="en-US" w:eastAsia="zh-CN" w:bidi="ar"/>
                    </w:rPr>
                    <w:t>烘箱</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YXD-40</w:t>
                  </w:r>
                  <w:r>
                    <w:rPr>
                      <w:rFonts w:hint="default" w:ascii="Times New Roman" w:hAnsi="Times New Roman" w:cs="Times New Roman"/>
                      <w:i w:val="0"/>
                      <w:iCs w:val="0"/>
                      <w:color w:val="auto"/>
                      <w:kern w:val="0"/>
                      <w:sz w:val="18"/>
                      <w:szCs w:val="18"/>
                      <w:highlight w:val="none"/>
                      <w:u w:val="none"/>
                      <w:lang w:val="en-US" w:eastAsia="zh-CN" w:bidi="ar"/>
                    </w:rPr>
                    <w:t>/</w:t>
                  </w:r>
                </w:p>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DHG-101-2</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2</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w:t>
                  </w:r>
                </w:p>
              </w:tc>
              <w:tc>
                <w:tcPr>
                  <w:tcW w:w="343" w:type="pct"/>
                  <w:noWrap/>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color w:val="auto"/>
                      <w:kern w:val="0"/>
                      <w:sz w:val="18"/>
                      <w:szCs w:val="18"/>
                      <w:highlight w:val="none"/>
                      <w:lang w:val="zh-CN" w:eastAsia="zh-CN" w:bidi="ar-SA"/>
                    </w:rPr>
                  </w:pPr>
                  <w:r>
                    <w:rPr>
                      <w:rFonts w:hint="default" w:ascii="Times New Roman" w:hAnsi="Times New Roman" w:cs="Times New Roman"/>
                      <w:color w:val="auto"/>
                      <w:kern w:val="0"/>
                      <w:sz w:val="18"/>
                      <w:szCs w:val="18"/>
                      <w:highlight w:val="none"/>
                      <w:lang w:val="zh-CN" w:eastAsia="zh-CN" w:bidi="ar-SA"/>
                    </w:rPr>
                    <w:t>台</w:t>
                  </w:r>
                </w:p>
              </w:tc>
              <w:tc>
                <w:tcPr>
                  <w:tcW w:w="744" w:type="pct"/>
                  <w:noWrap/>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磨料干燥设备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1138"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zh-CN" w:eastAsia="en-US" w:bidi="ar-SA"/>
                    </w:rPr>
                  </w:pPr>
                  <w:r>
                    <w:rPr>
                      <w:rFonts w:hint="default" w:ascii="Times New Roman" w:hAnsi="Times New Roman" w:eastAsia="宋体" w:cs="Times New Roman"/>
                      <w:i w:val="0"/>
                      <w:iCs w:val="0"/>
                      <w:color w:val="auto"/>
                      <w:kern w:val="0"/>
                      <w:sz w:val="18"/>
                      <w:szCs w:val="18"/>
                      <w:highlight w:val="none"/>
                      <w:u w:val="none"/>
                      <w:lang w:val="en-US" w:eastAsia="zh-CN" w:bidi="ar"/>
                    </w:rPr>
                    <w:t>纯水机</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1</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w:t>
                  </w:r>
                </w:p>
              </w:tc>
              <w:tc>
                <w:tcPr>
                  <w:tcW w:w="343" w:type="pct"/>
                  <w:noWrap/>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color w:val="auto"/>
                      <w:kern w:val="0"/>
                      <w:sz w:val="18"/>
                      <w:szCs w:val="18"/>
                      <w:highlight w:val="none"/>
                      <w:lang w:val="zh-CN"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套</w:t>
                  </w:r>
                </w:p>
              </w:tc>
              <w:tc>
                <w:tcPr>
                  <w:tcW w:w="744" w:type="pct"/>
                  <w:noWrap/>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1138"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zh-CN" w:eastAsia="en-US" w:bidi="ar-SA"/>
                    </w:rPr>
                  </w:pPr>
                  <w:r>
                    <w:rPr>
                      <w:rFonts w:hint="default" w:ascii="Times New Roman" w:hAnsi="Times New Roman" w:eastAsia="宋体" w:cs="Times New Roman"/>
                      <w:i w:val="0"/>
                      <w:iCs w:val="0"/>
                      <w:color w:val="auto"/>
                      <w:kern w:val="0"/>
                      <w:sz w:val="18"/>
                      <w:szCs w:val="18"/>
                      <w:highlight w:val="none"/>
                      <w:u w:val="none"/>
                      <w:lang w:val="en-US" w:eastAsia="zh-CN" w:bidi="ar"/>
                    </w:rPr>
                    <w:t>分光光度计</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PC723</w:t>
                  </w:r>
                  <w:r>
                    <w:rPr>
                      <w:rFonts w:hint="default" w:ascii="Times New Roman" w:hAnsi="Times New Roman" w:cs="Times New Roman"/>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W26A</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2</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w:t>
                  </w:r>
                </w:p>
              </w:tc>
              <w:tc>
                <w:tcPr>
                  <w:tcW w:w="343" w:type="pct"/>
                  <w:noWrap/>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color w:val="auto"/>
                      <w:kern w:val="0"/>
                      <w:sz w:val="18"/>
                      <w:szCs w:val="18"/>
                      <w:highlight w:val="none"/>
                      <w:lang w:val="zh-CN" w:eastAsia="zh-CN" w:bidi="ar-SA"/>
                    </w:rPr>
                  </w:pPr>
                  <w:r>
                    <w:rPr>
                      <w:rFonts w:hint="default" w:ascii="Times New Roman" w:hAnsi="Times New Roman" w:cs="Times New Roman"/>
                      <w:color w:val="auto"/>
                      <w:kern w:val="0"/>
                      <w:sz w:val="18"/>
                      <w:szCs w:val="18"/>
                      <w:highlight w:val="none"/>
                      <w:lang w:val="zh-CN" w:eastAsia="zh-CN" w:bidi="ar-SA"/>
                    </w:rPr>
                    <w:t>台</w:t>
                  </w:r>
                </w:p>
              </w:tc>
              <w:tc>
                <w:tcPr>
                  <w:tcW w:w="744" w:type="pct"/>
                  <w:vMerge w:val="restart"/>
                  <w:noWrap/>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产品检测设备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1138"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zh-CN" w:eastAsia="en-US"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 影像仪</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CPJ-3025A</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1</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w:t>
                  </w:r>
                </w:p>
              </w:tc>
              <w:tc>
                <w:tcPr>
                  <w:tcW w:w="343" w:type="pct"/>
                  <w:noWrap/>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color w:val="auto"/>
                      <w:kern w:val="0"/>
                      <w:sz w:val="18"/>
                      <w:szCs w:val="18"/>
                      <w:highlight w:val="none"/>
                      <w:lang w:val="zh-CN" w:eastAsia="zh-CN" w:bidi="ar-SA"/>
                    </w:rPr>
                  </w:pPr>
                  <w:r>
                    <w:rPr>
                      <w:rFonts w:hint="default" w:ascii="Times New Roman" w:hAnsi="Times New Roman" w:cs="Times New Roman"/>
                      <w:color w:val="auto"/>
                      <w:kern w:val="0"/>
                      <w:sz w:val="18"/>
                      <w:szCs w:val="18"/>
                      <w:highlight w:val="none"/>
                      <w:lang w:val="zh-CN" w:eastAsia="zh-CN" w:bidi="ar-SA"/>
                    </w:rPr>
                    <w:t>台</w:t>
                  </w:r>
                </w:p>
              </w:tc>
              <w:tc>
                <w:tcPr>
                  <w:tcW w:w="744" w:type="pct"/>
                  <w:vMerge w:val="continue"/>
                  <w:noWrap/>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1138"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zh-CN" w:eastAsia="en-US" w:bidi="ar-SA"/>
                    </w:rPr>
                  </w:pPr>
                  <w:r>
                    <w:rPr>
                      <w:rFonts w:hint="default" w:ascii="Times New Roman" w:hAnsi="Times New Roman" w:eastAsia="宋体" w:cs="Times New Roman"/>
                      <w:i w:val="0"/>
                      <w:iCs w:val="0"/>
                      <w:color w:val="auto"/>
                      <w:kern w:val="0"/>
                      <w:sz w:val="18"/>
                      <w:szCs w:val="18"/>
                      <w:highlight w:val="none"/>
                      <w:u w:val="none"/>
                      <w:lang w:val="en-US" w:eastAsia="zh-CN" w:bidi="ar"/>
                    </w:rPr>
                    <w:t>高低温试验机</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BHZZ</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1</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w:t>
                  </w:r>
                </w:p>
              </w:tc>
              <w:tc>
                <w:tcPr>
                  <w:tcW w:w="343" w:type="pct"/>
                  <w:noWrap/>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color w:val="auto"/>
                      <w:kern w:val="0"/>
                      <w:sz w:val="18"/>
                      <w:szCs w:val="18"/>
                      <w:highlight w:val="none"/>
                      <w:lang w:val="zh-CN" w:eastAsia="zh-CN" w:bidi="ar-SA"/>
                    </w:rPr>
                  </w:pPr>
                  <w:r>
                    <w:rPr>
                      <w:rFonts w:hint="default" w:ascii="Times New Roman" w:hAnsi="Times New Roman" w:cs="Times New Roman"/>
                      <w:color w:val="auto"/>
                      <w:kern w:val="0"/>
                      <w:sz w:val="18"/>
                      <w:szCs w:val="18"/>
                      <w:highlight w:val="none"/>
                      <w:lang w:val="zh-CN" w:eastAsia="zh-CN" w:bidi="ar-SA"/>
                    </w:rPr>
                    <w:t>套</w:t>
                  </w:r>
                </w:p>
              </w:tc>
              <w:tc>
                <w:tcPr>
                  <w:tcW w:w="744" w:type="pct"/>
                  <w:vMerge w:val="continue"/>
                  <w:noWrap/>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1138"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 冷却塔水冷系统</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 50吨</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2</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w:t>
                  </w:r>
                </w:p>
              </w:tc>
              <w:tc>
                <w:tcPr>
                  <w:tcW w:w="343" w:type="pct"/>
                  <w:noWrap/>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color w:val="auto"/>
                      <w:kern w:val="0"/>
                      <w:sz w:val="18"/>
                      <w:szCs w:val="18"/>
                      <w:highlight w:val="none"/>
                      <w:lang w:val="zh-CN" w:eastAsia="zh-CN" w:bidi="ar-SA"/>
                    </w:rPr>
                  </w:pPr>
                  <w:r>
                    <w:rPr>
                      <w:rFonts w:hint="default" w:ascii="Times New Roman" w:hAnsi="Times New Roman" w:cs="Times New Roman"/>
                      <w:color w:val="auto"/>
                      <w:kern w:val="0"/>
                      <w:sz w:val="18"/>
                      <w:szCs w:val="18"/>
                      <w:highlight w:val="none"/>
                      <w:lang w:val="zh-CN" w:eastAsia="zh-CN" w:bidi="ar-SA"/>
                    </w:rPr>
                    <w:t>台</w:t>
                  </w:r>
                </w:p>
              </w:tc>
              <w:tc>
                <w:tcPr>
                  <w:tcW w:w="744" w:type="pct"/>
                  <w:noWrap/>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镀膜机冷却系统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19</w:t>
                  </w:r>
                </w:p>
              </w:tc>
              <w:tc>
                <w:tcPr>
                  <w:tcW w:w="1138"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沉淀池</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6m×6m×2m</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1</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1</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w:t>
                  </w:r>
                </w:p>
              </w:tc>
              <w:tc>
                <w:tcPr>
                  <w:tcW w:w="343" w:type="pct"/>
                  <w:noWrap/>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cs="Times New Roman"/>
                      <w:color w:val="auto"/>
                      <w:kern w:val="0"/>
                      <w:sz w:val="18"/>
                      <w:szCs w:val="18"/>
                      <w:highlight w:val="none"/>
                      <w:lang w:val="zh-CN" w:eastAsia="zh-CN" w:bidi="ar-SA"/>
                    </w:rPr>
                  </w:pPr>
                  <w:r>
                    <w:rPr>
                      <w:rFonts w:hint="default" w:ascii="Times New Roman" w:hAnsi="Times New Roman" w:cs="Times New Roman"/>
                      <w:color w:val="auto"/>
                      <w:kern w:val="0"/>
                      <w:sz w:val="18"/>
                      <w:szCs w:val="18"/>
                      <w:highlight w:val="none"/>
                      <w:lang w:val="zh-CN" w:eastAsia="zh-CN" w:bidi="ar-SA"/>
                    </w:rPr>
                    <w:t>座</w:t>
                  </w:r>
                </w:p>
              </w:tc>
              <w:tc>
                <w:tcPr>
                  <w:tcW w:w="744" w:type="pct"/>
                  <w:noWrap/>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20</w:t>
                  </w:r>
                </w:p>
              </w:tc>
              <w:tc>
                <w:tcPr>
                  <w:tcW w:w="1138"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混凝沉淀池</w:t>
                  </w:r>
                </w:p>
              </w:tc>
              <w:tc>
                <w:tcPr>
                  <w:tcW w:w="907" w:type="pct"/>
                  <w:noWrap w:val="0"/>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5m×1m×1m</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1</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1</w:t>
                  </w:r>
                </w:p>
              </w:tc>
              <w:tc>
                <w:tcPr>
                  <w:tcW w:w="496" w:type="pct"/>
                  <w:noWrap/>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w:t>
                  </w:r>
                </w:p>
              </w:tc>
              <w:tc>
                <w:tcPr>
                  <w:tcW w:w="343" w:type="pct"/>
                  <w:noWrap/>
                  <w:vAlign w:val="center"/>
                </w:tcPr>
                <w:p>
                  <w:pPr>
                    <w:keepNext w:val="0"/>
                    <w:keepLines w:val="0"/>
                    <w:pageBreakBefore w:val="0"/>
                    <w:widowControl w:val="0"/>
                    <w:kinsoku/>
                    <w:wordWrap/>
                    <w:overflowPunct/>
                    <w:topLinePunct w:val="0"/>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cs="Times New Roman"/>
                      <w:color w:val="auto"/>
                      <w:kern w:val="0"/>
                      <w:sz w:val="18"/>
                      <w:szCs w:val="18"/>
                      <w:highlight w:val="none"/>
                      <w:lang w:val="zh-CN" w:eastAsia="zh-CN" w:bidi="ar-SA"/>
                    </w:rPr>
                  </w:pPr>
                  <w:r>
                    <w:rPr>
                      <w:rFonts w:hint="default" w:ascii="Times New Roman" w:hAnsi="Times New Roman" w:cs="Times New Roman"/>
                      <w:color w:val="auto"/>
                      <w:kern w:val="0"/>
                      <w:sz w:val="18"/>
                      <w:szCs w:val="18"/>
                      <w:highlight w:val="none"/>
                      <w:lang w:val="zh-CN" w:eastAsia="zh-CN" w:bidi="ar-SA"/>
                    </w:rPr>
                    <w:t>座</w:t>
                  </w:r>
                </w:p>
              </w:tc>
              <w:tc>
                <w:tcPr>
                  <w:tcW w:w="744" w:type="pct"/>
                  <w:noWrap/>
                  <w:vAlign w:val="center"/>
                </w:tcPr>
                <w:p>
                  <w:pPr>
                    <w:keepNext w:val="0"/>
                    <w:keepLines w:val="0"/>
                    <w:pageBreakBefore w:val="0"/>
                    <w:kinsoku/>
                    <w:wordWrap/>
                    <w:overflowPunct/>
                    <w:topLinePunct w:val="0"/>
                    <w:bidi w:val="0"/>
                    <w:adjustRightInd/>
                    <w:snapToGrid/>
                    <w:spacing w:line="320" w:lineRule="exac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color w:val="auto"/>
                <w:kern w:val="0"/>
                <w:szCs w:val="21"/>
                <w:highlight w:val="none"/>
                <w:lang w:val="en-US" w:eastAsia="zh-CN"/>
              </w:rPr>
            </w:pPr>
            <w:r>
              <w:rPr>
                <w:rFonts w:hint="eastAsia" w:cs="Times New Roman"/>
                <w:b/>
                <w:color w:val="auto"/>
                <w:kern w:val="0"/>
                <w:szCs w:val="21"/>
                <w:highlight w:val="none"/>
                <w:lang w:val="en-US" w:eastAsia="zh-CN"/>
              </w:rPr>
              <w:t>注：本次技改后新增2台内圆切割机用于原料下料，下料能力为250片/h（共计570000片/年），同时为提高产品质量，在冷加工工序增加2磨砂机和1台灯杯数控机用于粗磨和精磨加工，其中粗磨加工能力为200片/h（共计456000片/年），精磨加工能力为90片/h（共计205200片/年），后为提高自动化加工水平，新增2台全自动抛光机和2台高速抛光机，技改后抛光能力为250片/h（共计570000片/年）。技改后受限于新增灯杯数控机加工能力，因此总生产能力相较于技改前减少，但产品加工精度和质量均较大程度提高。</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5、</w:t>
            </w:r>
            <w:r>
              <w:rPr>
                <w:rFonts w:hint="default" w:ascii="Times New Roman" w:hAnsi="Times New Roman" w:cs="Times New Roman"/>
                <w:b/>
                <w:color w:val="auto"/>
                <w:kern w:val="0"/>
                <w:szCs w:val="21"/>
                <w:highlight w:val="none"/>
              </w:rPr>
              <w:t>主要原辅材料</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color w:val="auto"/>
              </w:rPr>
            </w:pPr>
            <w:r>
              <w:rPr>
                <w:rFonts w:hint="default" w:ascii="Times New Roman" w:hAnsi="Times New Roman" w:cs="Times New Roman"/>
                <w:bCs/>
                <w:color w:val="auto"/>
                <w:kern w:val="0"/>
                <w:szCs w:val="21"/>
                <w:highlight w:val="none"/>
                <w:lang w:eastAsia="zh-CN"/>
              </w:rPr>
              <w:t>工程所需原料主要包括平板玻璃、浮法玻璃等，辅料包括三氧化二铝、二氧化锆、二氧化硅等，具体</w:t>
            </w:r>
            <w:r>
              <w:rPr>
                <w:rFonts w:hint="default" w:ascii="Times New Roman" w:hAnsi="Times New Roman" w:cs="Times New Roman"/>
                <w:bCs/>
                <w:color w:val="auto"/>
                <w:kern w:val="0"/>
                <w:szCs w:val="21"/>
                <w:highlight w:val="none"/>
              </w:rPr>
              <w:t>原辅材料消耗见</w:t>
            </w:r>
            <w:r>
              <w:rPr>
                <w:rFonts w:hint="default" w:ascii="Times New Roman" w:hAnsi="Times New Roman" w:cs="Times New Roman"/>
                <w:bCs/>
                <w:color w:val="auto"/>
                <w:kern w:val="0"/>
                <w:szCs w:val="21"/>
                <w:highlight w:val="none"/>
                <w:lang w:eastAsia="zh-CN"/>
              </w:rPr>
              <w:t>下表</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主要原辅料及能源消耗</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185"/>
              <w:gridCol w:w="1140"/>
              <w:gridCol w:w="907"/>
              <w:gridCol w:w="907"/>
              <w:gridCol w:w="907"/>
              <w:gridCol w:w="999"/>
              <w:gridCol w:w="113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类别</w:t>
                  </w:r>
                </w:p>
              </w:tc>
              <w:tc>
                <w:tcPr>
                  <w:tcW w:w="775"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746"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规格</w:t>
                  </w:r>
                </w:p>
              </w:tc>
              <w:tc>
                <w:tcPr>
                  <w:tcW w:w="1781" w:type="pct"/>
                  <w:gridSpan w:val="3"/>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年耗量</w:t>
                  </w:r>
                </w:p>
              </w:tc>
              <w:tc>
                <w:tcPr>
                  <w:tcW w:w="653"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单位</w:t>
                  </w:r>
                </w:p>
              </w:tc>
              <w:tc>
                <w:tcPr>
                  <w:tcW w:w="744"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75"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46"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lang w:eastAsia="zh-CN"/>
                    </w:rPr>
                  </w:pPr>
                </w:p>
              </w:tc>
              <w:tc>
                <w:tcPr>
                  <w:tcW w:w="593"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技改前</w:t>
                  </w:r>
                </w:p>
              </w:tc>
              <w:tc>
                <w:tcPr>
                  <w:tcW w:w="593"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技改后</w:t>
                  </w:r>
                </w:p>
              </w:tc>
              <w:tc>
                <w:tcPr>
                  <w:tcW w:w="593"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lang w:eastAsia="zh-CN"/>
                    </w:rPr>
                  </w:pPr>
                  <w:r>
                    <w:rPr>
                      <w:rFonts w:hint="eastAsia" w:cs="Times New Roman"/>
                      <w:color w:val="auto"/>
                      <w:sz w:val="18"/>
                      <w:szCs w:val="18"/>
                      <w:highlight w:val="none"/>
                      <w:lang w:eastAsia="zh-CN"/>
                    </w:rPr>
                    <w:t>增减量</w:t>
                  </w:r>
                </w:p>
              </w:tc>
              <w:tc>
                <w:tcPr>
                  <w:tcW w:w="653"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lang w:eastAsia="zh-CN"/>
                    </w:rPr>
                  </w:pPr>
                </w:p>
              </w:tc>
              <w:tc>
                <w:tcPr>
                  <w:tcW w:w="744"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原料</w:t>
                  </w:r>
                </w:p>
              </w:tc>
              <w:tc>
                <w:tcPr>
                  <w:tcW w:w="77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平板玻璃</w:t>
                  </w:r>
                </w:p>
              </w:tc>
              <w:tc>
                <w:tcPr>
                  <w:tcW w:w="7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厚度2mm/3mm/5mm/8mm</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653" w:type="pct"/>
                  <w:noWrap w:val="0"/>
                  <w:vAlign w:val="center"/>
                </w:tcPr>
                <w:p>
                  <w:pPr>
                    <w:keepNext w:val="0"/>
                    <w:keepLines w:val="0"/>
                    <w:pageBreakBefore w:val="0"/>
                    <w:tabs>
                      <w:tab w:val="left" w:pos="2940"/>
                    </w:tabs>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Style w:val="67"/>
                      <w:rFonts w:hint="default" w:ascii="Times New Roman" w:hAnsi="Times New Roman" w:eastAsia="宋体" w:cs="Times New Roman"/>
                      <w:b w:val="0"/>
                      <w:bCs w:val="0"/>
                      <w:i w:val="0"/>
                      <w:caps w:val="0"/>
                      <w:color w:val="auto"/>
                      <w:spacing w:val="0"/>
                      <w:w w:val="100"/>
                      <w:kern w:val="2"/>
                      <w:sz w:val="18"/>
                      <w:szCs w:val="18"/>
                      <w:highlight w:val="none"/>
                      <w:lang w:val="en-US" w:eastAsia="zh-CN"/>
                    </w:rPr>
                  </w:pPr>
                  <w:r>
                    <w:rPr>
                      <w:rStyle w:val="67"/>
                      <w:rFonts w:hint="default" w:ascii="Times New Roman" w:hAnsi="Times New Roman" w:cs="Times New Roman"/>
                      <w:b w:val="0"/>
                      <w:bCs w:val="0"/>
                      <w:i w:val="0"/>
                      <w:caps w:val="0"/>
                      <w:color w:val="auto"/>
                      <w:spacing w:val="0"/>
                      <w:w w:val="100"/>
                      <w:kern w:val="2"/>
                      <w:sz w:val="18"/>
                      <w:szCs w:val="18"/>
                      <w:highlight w:val="none"/>
                      <w:lang w:val="en-US" w:eastAsia="zh-CN"/>
                    </w:rPr>
                    <w:t>t/a</w:t>
                  </w:r>
                </w:p>
              </w:tc>
              <w:tc>
                <w:tcPr>
                  <w:tcW w:w="744"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主要原料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cyan"/>
                      <w:lang w:eastAsia="zh-CN"/>
                    </w:rPr>
                  </w:pPr>
                </w:p>
              </w:tc>
              <w:tc>
                <w:tcPr>
                  <w:tcW w:w="77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浮法玻璃</w:t>
                  </w:r>
                </w:p>
              </w:tc>
              <w:tc>
                <w:tcPr>
                  <w:tcW w:w="7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厚度10mm/ 12mm/15mm/19mm</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653" w:type="pct"/>
                  <w:noWrap w:val="0"/>
                  <w:vAlign w:val="center"/>
                </w:tcPr>
                <w:p>
                  <w:pPr>
                    <w:keepNext w:val="0"/>
                    <w:keepLines w:val="0"/>
                    <w:pageBreakBefore w:val="0"/>
                    <w:tabs>
                      <w:tab w:val="left" w:pos="2940"/>
                    </w:tabs>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Style w:val="67"/>
                      <w:rFonts w:hint="default" w:ascii="Times New Roman" w:hAnsi="Times New Roman" w:eastAsia="宋体" w:cs="Times New Roman"/>
                      <w:b w:val="0"/>
                      <w:bCs w:val="0"/>
                      <w:i w:val="0"/>
                      <w:caps w:val="0"/>
                      <w:color w:val="auto"/>
                      <w:spacing w:val="0"/>
                      <w:w w:val="100"/>
                      <w:kern w:val="2"/>
                      <w:sz w:val="18"/>
                      <w:szCs w:val="18"/>
                      <w:highlight w:val="none"/>
                      <w:lang w:val="en-US" w:eastAsia="zh-CN"/>
                    </w:rPr>
                  </w:pPr>
                  <w:r>
                    <w:rPr>
                      <w:rStyle w:val="67"/>
                      <w:rFonts w:hint="default" w:ascii="Times New Roman" w:hAnsi="Times New Roman" w:cs="Times New Roman"/>
                      <w:b w:val="0"/>
                      <w:bCs w:val="0"/>
                      <w:i w:val="0"/>
                      <w:caps w:val="0"/>
                      <w:color w:val="auto"/>
                      <w:spacing w:val="0"/>
                      <w:w w:val="100"/>
                      <w:kern w:val="2"/>
                      <w:sz w:val="18"/>
                      <w:szCs w:val="18"/>
                      <w:highlight w:val="none"/>
                      <w:lang w:val="en-US" w:eastAsia="zh-CN"/>
                    </w:rPr>
                    <w:t>t/a</w:t>
                  </w:r>
                </w:p>
              </w:tc>
              <w:tc>
                <w:tcPr>
                  <w:tcW w:w="744"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主要原料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辅</w:t>
                  </w:r>
                  <w:r>
                    <w:rPr>
                      <w:rFonts w:hint="default" w:ascii="Times New Roman" w:hAnsi="Times New Roman" w:cs="Times New Roman"/>
                      <w:color w:val="auto"/>
                      <w:sz w:val="18"/>
                      <w:szCs w:val="18"/>
                      <w:highlight w:val="none"/>
                      <w:lang w:eastAsia="zh-CN"/>
                    </w:rPr>
                    <w:t>料</w:t>
                  </w:r>
                </w:p>
              </w:tc>
              <w:tc>
                <w:tcPr>
                  <w:tcW w:w="77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三氧化二铝</w:t>
                  </w:r>
                </w:p>
              </w:tc>
              <w:tc>
                <w:tcPr>
                  <w:tcW w:w="7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1-3mm</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653" w:type="pct"/>
                  <w:noWrap w:val="0"/>
                  <w:vAlign w:val="center"/>
                </w:tcPr>
                <w:p>
                  <w:pPr>
                    <w:keepNext w:val="0"/>
                    <w:keepLines w:val="0"/>
                    <w:pageBreakBefore w:val="0"/>
                    <w:tabs>
                      <w:tab w:val="left" w:pos="2940"/>
                    </w:tabs>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Style w:val="67"/>
                      <w:rFonts w:hint="default" w:ascii="Times New Roman" w:hAnsi="Times New Roman" w:eastAsia="宋体" w:cs="Times New Roman"/>
                      <w:b w:val="0"/>
                      <w:bCs w:val="0"/>
                      <w:i w:val="0"/>
                      <w:caps w:val="0"/>
                      <w:color w:val="auto"/>
                      <w:spacing w:val="0"/>
                      <w:w w:val="100"/>
                      <w:kern w:val="2"/>
                      <w:sz w:val="18"/>
                      <w:szCs w:val="18"/>
                      <w:highlight w:val="none"/>
                      <w:lang w:val="en-US" w:eastAsia="zh-CN"/>
                    </w:rPr>
                  </w:pPr>
                  <w:r>
                    <w:rPr>
                      <w:rStyle w:val="67"/>
                      <w:rFonts w:hint="default" w:ascii="Times New Roman" w:hAnsi="Times New Roman" w:cs="Times New Roman"/>
                      <w:b w:val="0"/>
                      <w:bCs w:val="0"/>
                      <w:i w:val="0"/>
                      <w:color w:val="auto"/>
                      <w:spacing w:val="0"/>
                      <w:w w:val="100"/>
                      <w:kern w:val="2"/>
                      <w:sz w:val="18"/>
                      <w:szCs w:val="18"/>
                      <w:highlight w:val="none"/>
                      <w:lang w:val="en-US" w:eastAsia="zh-CN"/>
                    </w:rPr>
                    <w:t>k</w:t>
                  </w:r>
                  <w:r>
                    <w:rPr>
                      <w:rStyle w:val="67"/>
                      <w:rFonts w:hint="default" w:ascii="Times New Roman" w:hAnsi="Times New Roman" w:cs="Times New Roman"/>
                      <w:b w:val="0"/>
                      <w:bCs w:val="0"/>
                      <w:i w:val="0"/>
                      <w:caps w:val="0"/>
                      <w:color w:val="auto"/>
                      <w:spacing w:val="0"/>
                      <w:w w:val="100"/>
                      <w:kern w:val="2"/>
                      <w:sz w:val="18"/>
                      <w:szCs w:val="18"/>
                      <w:highlight w:val="none"/>
                      <w:lang w:val="en-US" w:eastAsia="zh-CN"/>
                    </w:rPr>
                    <w:t>g/a</w:t>
                  </w:r>
                </w:p>
              </w:tc>
              <w:tc>
                <w:tcPr>
                  <w:tcW w:w="744"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镀膜材料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p>
              </w:tc>
              <w:tc>
                <w:tcPr>
                  <w:tcW w:w="77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二氧化钛</w:t>
                  </w:r>
                </w:p>
              </w:tc>
              <w:tc>
                <w:tcPr>
                  <w:tcW w:w="7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1-3mm</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40</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20</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20</w:t>
                  </w:r>
                </w:p>
              </w:tc>
              <w:tc>
                <w:tcPr>
                  <w:tcW w:w="653" w:type="pct"/>
                  <w:noWrap w:val="0"/>
                  <w:vAlign w:val="center"/>
                </w:tcPr>
                <w:p>
                  <w:pPr>
                    <w:keepNext w:val="0"/>
                    <w:keepLines w:val="0"/>
                    <w:pageBreakBefore w:val="0"/>
                    <w:tabs>
                      <w:tab w:val="left" w:pos="2940"/>
                    </w:tabs>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Style w:val="67"/>
                      <w:rFonts w:hint="default" w:ascii="Times New Roman" w:hAnsi="Times New Roman" w:cs="Times New Roman"/>
                      <w:b w:val="0"/>
                      <w:bCs w:val="0"/>
                      <w:i w:val="0"/>
                      <w:color w:val="auto"/>
                      <w:spacing w:val="0"/>
                      <w:w w:val="100"/>
                      <w:kern w:val="2"/>
                      <w:sz w:val="18"/>
                      <w:szCs w:val="18"/>
                      <w:highlight w:val="none"/>
                      <w:lang w:val="en-US" w:eastAsia="zh-CN"/>
                    </w:rPr>
                  </w:pPr>
                  <w:r>
                    <w:rPr>
                      <w:rStyle w:val="67"/>
                      <w:rFonts w:hint="default" w:ascii="Times New Roman" w:hAnsi="Times New Roman" w:cs="Times New Roman"/>
                      <w:b w:val="0"/>
                      <w:bCs w:val="0"/>
                      <w:i w:val="0"/>
                      <w:color w:val="auto"/>
                      <w:spacing w:val="0"/>
                      <w:w w:val="100"/>
                      <w:kern w:val="2"/>
                      <w:sz w:val="18"/>
                      <w:szCs w:val="18"/>
                      <w:highlight w:val="none"/>
                      <w:lang w:val="en-US" w:eastAsia="zh-CN"/>
                    </w:rPr>
                    <w:t>k</w:t>
                  </w:r>
                  <w:r>
                    <w:rPr>
                      <w:rStyle w:val="67"/>
                      <w:rFonts w:hint="default" w:ascii="Times New Roman" w:hAnsi="Times New Roman" w:cs="Times New Roman"/>
                      <w:b w:val="0"/>
                      <w:bCs w:val="0"/>
                      <w:i w:val="0"/>
                      <w:caps w:val="0"/>
                      <w:color w:val="auto"/>
                      <w:spacing w:val="0"/>
                      <w:w w:val="100"/>
                      <w:kern w:val="2"/>
                      <w:sz w:val="18"/>
                      <w:szCs w:val="18"/>
                      <w:highlight w:val="none"/>
                      <w:lang w:val="en-US" w:eastAsia="zh-CN"/>
                    </w:rPr>
                    <w:t>g/a</w:t>
                  </w:r>
                </w:p>
              </w:tc>
              <w:tc>
                <w:tcPr>
                  <w:tcW w:w="744"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镀膜材料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p>
              </w:tc>
              <w:tc>
                <w:tcPr>
                  <w:tcW w:w="77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二氧化锆</w:t>
                  </w:r>
                </w:p>
              </w:tc>
              <w:tc>
                <w:tcPr>
                  <w:tcW w:w="7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1-3mm</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40</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-20</w:t>
                  </w:r>
                </w:p>
              </w:tc>
              <w:tc>
                <w:tcPr>
                  <w:tcW w:w="653" w:type="pct"/>
                  <w:noWrap w:val="0"/>
                  <w:vAlign w:val="center"/>
                </w:tcPr>
                <w:p>
                  <w:pPr>
                    <w:keepNext w:val="0"/>
                    <w:keepLines w:val="0"/>
                    <w:pageBreakBefore w:val="0"/>
                    <w:tabs>
                      <w:tab w:val="left" w:pos="2940"/>
                    </w:tabs>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Style w:val="67"/>
                      <w:rFonts w:hint="default" w:ascii="Times New Roman" w:hAnsi="Times New Roman" w:eastAsia="宋体" w:cs="Times New Roman"/>
                      <w:b w:val="0"/>
                      <w:bCs w:val="0"/>
                      <w:i w:val="0"/>
                      <w:caps w:val="0"/>
                      <w:color w:val="auto"/>
                      <w:spacing w:val="0"/>
                      <w:w w:val="100"/>
                      <w:kern w:val="2"/>
                      <w:sz w:val="18"/>
                      <w:szCs w:val="18"/>
                      <w:highlight w:val="none"/>
                      <w:lang w:val="en-US" w:eastAsia="zh-CN"/>
                    </w:rPr>
                  </w:pPr>
                  <w:r>
                    <w:rPr>
                      <w:rStyle w:val="67"/>
                      <w:rFonts w:hint="default" w:ascii="Times New Roman" w:hAnsi="Times New Roman" w:cs="Times New Roman"/>
                      <w:b w:val="0"/>
                      <w:bCs w:val="0"/>
                      <w:i w:val="0"/>
                      <w:color w:val="auto"/>
                      <w:spacing w:val="0"/>
                      <w:w w:val="100"/>
                      <w:kern w:val="2"/>
                      <w:sz w:val="18"/>
                      <w:szCs w:val="18"/>
                      <w:highlight w:val="none"/>
                      <w:lang w:val="en-US" w:eastAsia="zh-CN"/>
                    </w:rPr>
                    <w:t>k</w:t>
                  </w:r>
                  <w:r>
                    <w:rPr>
                      <w:rStyle w:val="67"/>
                      <w:rFonts w:hint="default" w:ascii="Times New Roman" w:hAnsi="Times New Roman" w:cs="Times New Roman"/>
                      <w:b w:val="0"/>
                      <w:bCs w:val="0"/>
                      <w:i w:val="0"/>
                      <w:caps w:val="0"/>
                      <w:color w:val="auto"/>
                      <w:spacing w:val="0"/>
                      <w:w w:val="100"/>
                      <w:kern w:val="2"/>
                      <w:sz w:val="18"/>
                      <w:szCs w:val="18"/>
                      <w:highlight w:val="none"/>
                      <w:lang w:val="en-US" w:eastAsia="zh-CN"/>
                    </w:rPr>
                    <w:t>g/a</w:t>
                  </w:r>
                </w:p>
              </w:tc>
              <w:tc>
                <w:tcPr>
                  <w:tcW w:w="744"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镀膜材料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p>
              </w:tc>
              <w:tc>
                <w:tcPr>
                  <w:tcW w:w="77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二氧化硅</w:t>
                  </w:r>
                </w:p>
              </w:tc>
              <w:tc>
                <w:tcPr>
                  <w:tcW w:w="7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1-3mm</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40</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-20</w:t>
                  </w:r>
                </w:p>
              </w:tc>
              <w:tc>
                <w:tcPr>
                  <w:tcW w:w="653" w:type="pct"/>
                  <w:noWrap w:val="0"/>
                  <w:vAlign w:val="center"/>
                </w:tcPr>
                <w:p>
                  <w:pPr>
                    <w:keepNext w:val="0"/>
                    <w:keepLines w:val="0"/>
                    <w:pageBreakBefore w:val="0"/>
                    <w:tabs>
                      <w:tab w:val="left" w:pos="2940"/>
                    </w:tabs>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Style w:val="67"/>
                      <w:rFonts w:hint="default" w:ascii="Times New Roman" w:hAnsi="Times New Roman" w:eastAsia="宋体" w:cs="Times New Roman"/>
                      <w:b w:val="0"/>
                      <w:bCs w:val="0"/>
                      <w:i w:val="0"/>
                      <w:caps w:val="0"/>
                      <w:color w:val="auto"/>
                      <w:spacing w:val="0"/>
                      <w:w w:val="100"/>
                      <w:kern w:val="2"/>
                      <w:sz w:val="18"/>
                      <w:szCs w:val="18"/>
                      <w:highlight w:val="none"/>
                      <w:lang w:val="en-US" w:eastAsia="zh-CN"/>
                    </w:rPr>
                  </w:pPr>
                  <w:r>
                    <w:rPr>
                      <w:rStyle w:val="67"/>
                      <w:rFonts w:hint="default" w:ascii="Times New Roman" w:hAnsi="Times New Roman" w:cs="Times New Roman"/>
                      <w:b w:val="0"/>
                      <w:bCs w:val="0"/>
                      <w:i w:val="0"/>
                      <w:color w:val="auto"/>
                      <w:spacing w:val="0"/>
                      <w:w w:val="100"/>
                      <w:kern w:val="2"/>
                      <w:sz w:val="18"/>
                      <w:szCs w:val="18"/>
                      <w:highlight w:val="none"/>
                      <w:lang w:val="en-US" w:eastAsia="zh-CN"/>
                    </w:rPr>
                    <w:t>k</w:t>
                  </w:r>
                  <w:r>
                    <w:rPr>
                      <w:rStyle w:val="67"/>
                      <w:rFonts w:hint="default" w:ascii="Times New Roman" w:hAnsi="Times New Roman" w:cs="Times New Roman"/>
                      <w:b w:val="0"/>
                      <w:bCs w:val="0"/>
                      <w:i w:val="0"/>
                      <w:caps w:val="0"/>
                      <w:color w:val="auto"/>
                      <w:spacing w:val="0"/>
                      <w:w w:val="100"/>
                      <w:kern w:val="2"/>
                      <w:sz w:val="18"/>
                      <w:szCs w:val="18"/>
                      <w:highlight w:val="none"/>
                      <w:lang w:val="en-US" w:eastAsia="zh-CN"/>
                    </w:rPr>
                    <w:t>g/a</w:t>
                  </w:r>
                </w:p>
              </w:tc>
              <w:tc>
                <w:tcPr>
                  <w:tcW w:w="744"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镀膜材料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p>
              </w:tc>
              <w:tc>
                <w:tcPr>
                  <w:tcW w:w="77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氟化镁</w:t>
                  </w:r>
                </w:p>
              </w:tc>
              <w:tc>
                <w:tcPr>
                  <w:tcW w:w="7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1-3</w:t>
                  </w:r>
                  <w:r>
                    <w:rPr>
                      <w:rFonts w:hint="default" w:ascii="Times New Roman" w:hAnsi="Times New Roman" w:cs="Times New Roman"/>
                      <w:color w:val="auto"/>
                      <w:sz w:val="18"/>
                      <w:szCs w:val="18"/>
                      <w:highlight w:val="none"/>
                      <w:lang w:val="en-US" w:eastAsia="zh-CN"/>
                    </w:rPr>
                    <w:t>mm</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+3</w:t>
                  </w:r>
                </w:p>
              </w:tc>
              <w:tc>
                <w:tcPr>
                  <w:tcW w:w="653" w:type="pct"/>
                  <w:noWrap w:val="0"/>
                  <w:vAlign w:val="center"/>
                </w:tcPr>
                <w:p>
                  <w:pPr>
                    <w:keepNext w:val="0"/>
                    <w:keepLines w:val="0"/>
                    <w:pageBreakBefore w:val="0"/>
                    <w:tabs>
                      <w:tab w:val="left" w:pos="2940"/>
                    </w:tabs>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Style w:val="67"/>
                      <w:rFonts w:hint="default" w:ascii="Times New Roman" w:hAnsi="Times New Roman" w:eastAsia="宋体" w:cs="Times New Roman"/>
                      <w:b w:val="0"/>
                      <w:bCs w:val="0"/>
                      <w:i w:val="0"/>
                      <w:caps w:val="0"/>
                      <w:color w:val="auto"/>
                      <w:spacing w:val="0"/>
                      <w:w w:val="100"/>
                      <w:kern w:val="2"/>
                      <w:sz w:val="18"/>
                      <w:szCs w:val="18"/>
                      <w:highlight w:val="none"/>
                      <w:lang w:val="en-US" w:eastAsia="zh-CN"/>
                    </w:rPr>
                  </w:pPr>
                  <w:r>
                    <w:rPr>
                      <w:rStyle w:val="67"/>
                      <w:rFonts w:hint="default" w:ascii="Times New Roman" w:hAnsi="Times New Roman" w:cs="Times New Roman"/>
                      <w:b w:val="0"/>
                      <w:bCs w:val="0"/>
                      <w:i w:val="0"/>
                      <w:color w:val="auto"/>
                      <w:spacing w:val="0"/>
                      <w:w w:val="100"/>
                      <w:kern w:val="2"/>
                      <w:sz w:val="18"/>
                      <w:szCs w:val="18"/>
                      <w:highlight w:val="none"/>
                      <w:lang w:val="en-US" w:eastAsia="zh-CN"/>
                    </w:rPr>
                    <w:t>k</w:t>
                  </w:r>
                  <w:r>
                    <w:rPr>
                      <w:rStyle w:val="67"/>
                      <w:rFonts w:hint="default" w:ascii="Times New Roman" w:hAnsi="Times New Roman" w:cs="Times New Roman"/>
                      <w:b w:val="0"/>
                      <w:bCs w:val="0"/>
                      <w:i w:val="0"/>
                      <w:caps w:val="0"/>
                      <w:color w:val="auto"/>
                      <w:spacing w:val="0"/>
                      <w:w w:val="100"/>
                      <w:kern w:val="2"/>
                      <w:sz w:val="18"/>
                      <w:szCs w:val="18"/>
                      <w:highlight w:val="none"/>
                      <w:lang w:val="en-US" w:eastAsia="zh-CN"/>
                    </w:rPr>
                    <w:t>g/a</w:t>
                  </w:r>
                </w:p>
              </w:tc>
              <w:tc>
                <w:tcPr>
                  <w:tcW w:w="744"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镀膜材料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p>
              </w:tc>
              <w:tc>
                <w:tcPr>
                  <w:tcW w:w="77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氧化铟锡</w:t>
                  </w:r>
                </w:p>
              </w:tc>
              <w:tc>
                <w:tcPr>
                  <w:tcW w:w="7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1-3</w:t>
                  </w:r>
                  <w:r>
                    <w:rPr>
                      <w:rFonts w:hint="default" w:ascii="Times New Roman" w:hAnsi="Times New Roman" w:cs="Times New Roman"/>
                      <w:color w:val="auto"/>
                      <w:sz w:val="18"/>
                      <w:szCs w:val="18"/>
                      <w:highlight w:val="none"/>
                      <w:lang w:val="en-US" w:eastAsia="zh-CN"/>
                    </w:rPr>
                    <w:t>mm</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653" w:type="pct"/>
                  <w:noWrap w:val="0"/>
                  <w:vAlign w:val="center"/>
                </w:tcPr>
                <w:p>
                  <w:pPr>
                    <w:keepNext w:val="0"/>
                    <w:keepLines w:val="0"/>
                    <w:pageBreakBefore w:val="0"/>
                    <w:tabs>
                      <w:tab w:val="left" w:pos="2940"/>
                    </w:tabs>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Style w:val="67"/>
                      <w:rFonts w:hint="default" w:ascii="Times New Roman" w:hAnsi="Times New Roman" w:eastAsia="宋体" w:cs="Times New Roman"/>
                      <w:b w:val="0"/>
                      <w:bCs w:val="0"/>
                      <w:i w:val="0"/>
                      <w:caps w:val="0"/>
                      <w:color w:val="auto"/>
                      <w:spacing w:val="0"/>
                      <w:w w:val="100"/>
                      <w:kern w:val="2"/>
                      <w:sz w:val="18"/>
                      <w:szCs w:val="18"/>
                      <w:highlight w:val="none"/>
                      <w:lang w:val="en-US" w:eastAsia="zh-CN"/>
                    </w:rPr>
                  </w:pPr>
                  <w:r>
                    <w:rPr>
                      <w:rStyle w:val="67"/>
                      <w:rFonts w:hint="default" w:ascii="Times New Roman" w:hAnsi="Times New Roman" w:cs="Times New Roman"/>
                      <w:b w:val="0"/>
                      <w:bCs w:val="0"/>
                      <w:i w:val="0"/>
                      <w:color w:val="auto"/>
                      <w:spacing w:val="0"/>
                      <w:w w:val="100"/>
                      <w:kern w:val="2"/>
                      <w:sz w:val="18"/>
                      <w:szCs w:val="18"/>
                      <w:highlight w:val="none"/>
                      <w:lang w:val="en-US" w:eastAsia="zh-CN"/>
                    </w:rPr>
                    <w:t>k</w:t>
                  </w:r>
                  <w:r>
                    <w:rPr>
                      <w:rStyle w:val="67"/>
                      <w:rFonts w:hint="default" w:ascii="Times New Roman" w:hAnsi="Times New Roman" w:cs="Times New Roman"/>
                      <w:b w:val="0"/>
                      <w:bCs w:val="0"/>
                      <w:i w:val="0"/>
                      <w:caps w:val="0"/>
                      <w:color w:val="auto"/>
                      <w:spacing w:val="0"/>
                      <w:w w:val="100"/>
                      <w:kern w:val="2"/>
                      <w:sz w:val="18"/>
                      <w:szCs w:val="18"/>
                      <w:highlight w:val="none"/>
                      <w:lang w:val="en-US" w:eastAsia="zh-CN"/>
                    </w:rPr>
                    <w:t>g/a</w:t>
                  </w:r>
                </w:p>
              </w:tc>
              <w:tc>
                <w:tcPr>
                  <w:tcW w:w="744"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镀膜材料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rPr>
                  </w:pPr>
                </w:p>
              </w:tc>
              <w:tc>
                <w:tcPr>
                  <w:tcW w:w="77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铝丝</w:t>
                  </w:r>
                </w:p>
              </w:tc>
              <w:tc>
                <w:tcPr>
                  <w:tcW w:w="74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0.5mm</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653" w:type="pct"/>
                  <w:noWrap w:val="0"/>
                  <w:vAlign w:val="center"/>
                </w:tcPr>
                <w:p>
                  <w:pPr>
                    <w:keepNext w:val="0"/>
                    <w:keepLines w:val="0"/>
                    <w:pageBreakBefore w:val="0"/>
                    <w:tabs>
                      <w:tab w:val="left" w:pos="2940"/>
                    </w:tabs>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Style w:val="67"/>
                      <w:rFonts w:hint="default" w:ascii="Times New Roman" w:hAnsi="Times New Roman" w:eastAsia="宋体" w:cs="Times New Roman"/>
                      <w:b w:val="0"/>
                      <w:bCs w:val="0"/>
                      <w:i w:val="0"/>
                      <w:caps w:val="0"/>
                      <w:color w:val="auto"/>
                      <w:spacing w:val="0"/>
                      <w:w w:val="100"/>
                      <w:kern w:val="2"/>
                      <w:sz w:val="18"/>
                      <w:szCs w:val="18"/>
                      <w:highlight w:val="none"/>
                      <w:lang w:val="en-US" w:eastAsia="zh-CN"/>
                    </w:rPr>
                  </w:pPr>
                  <w:r>
                    <w:rPr>
                      <w:rStyle w:val="67"/>
                      <w:rFonts w:hint="default" w:ascii="Times New Roman" w:hAnsi="Times New Roman" w:cs="Times New Roman"/>
                      <w:b w:val="0"/>
                      <w:bCs w:val="0"/>
                      <w:i w:val="0"/>
                      <w:color w:val="auto"/>
                      <w:spacing w:val="0"/>
                      <w:w w:val="100"/>
                      <w:kern w:val="2"/>
                      <w:sz w:val="18"/>
                      <w:szCs w:val="18"/>
                      <w:highlight w:val="none"/>
                      <w:lang w:val="en-US" w:eastAsia="zh-CN"/>
                    </w:rPr>
                    <w:t>k</w:t>
                  </w:r>
                  <w:r>
                    <w:rPr>
                      <w:rStyle w:val="67"/>
                      <w:rFonts w:hint="default" w:ascii="Times New Roman" w:hAnsi="Times New Roman" w:cs="Times New Roman"/>
                      <w:b w:val="0"/>
                      <w:bCs w:val="0"/>
                      <w:i w:val="0"/>
                      <w:caps w:val="0"/>
                      <w:color w:val="auto"/>
                      <w:spacing w:val="0"/>
                      <w:w w:val="100"/>
                      <w:kern w:val="2"/>
                      <w:sz w:val="18"/>
                      <w:szCs w:val="18"/>
                      <w:highlight w:val="none"/>
                      <w:lang w:val="en-US" w:eastAsia="zh-CN"/>
                    </w:rPr>
                    <w:t>g/a</w:t>
                  </w:r>
                </w:p>
              </w:tc>
              <w:tc>
                <w:tcPr>
                  <w:tcW w:w="744"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镀膜材料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p>
              </w:tc>
              <w:tc>
                <w:tcPr>
                  <w:tcW w:w="77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eastAsia="zh-CN"/>
                    </w:rPr>
                    <w:t>清洗剂</w:t>
                  </w:r>
                </w:p>
              </w:tc>
              <w:tc>
                <w:tcPr>
                  <w:tcW w:w="74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500mL/瓶</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25</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-25</w:t>
                  </w:r>
                </w:p>
              </w:tc>
              <w:tc>
                <w:tcPr>
                  <w:tcW w:w="653" w:type="pct"/>
                  <w:noWrap w:val="0"/>
                  <w:vAlign w:val="center"/>
                </w:tcPr>
                <w:p>
                  <w:pPr>
                    <w:keepNext w:val="0"/>
                    <w:keepLines w:val="0"/>
                    <w:pageBreakBefore w:val="0"/>
                    <w:tabs>
                      <w:tab w:val="left" w:pos="2940"/>
                    </w:tabs>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Style w:val="67"/>
                      <w:rFonts w:hint="default" w:ascii="Times New Roman" w:hAnsi="Times New Roman" w:eastAsia="宋体" w:cs="Times New Roman"/>
                      <w:b w:val="0"/>
                      <w:bCs w:val="0"/>
                      <w:i w:val="0"/>
                      <w:caps w:val="0"/>
                      <w:color w:val="auto"/>
                      <w:spacing w:val="0"/>
                      <w:w w:val="100"/>
                      <w:kern w:val="2"/>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L/a</w:t>
                  </w:r>
                </w:p>
              </w:tc>
              <w:tc>
                <w:tcPr>
                  <w:tcW w:w="744"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超声波清洗原料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rPr>
                  </w:pPr>
                </w:p>
              </w:tc>
              <w:tc>
                <w:tcPr>
                  <w:tcW w:w="77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jc w:val="center"/>
                    <w:textAlignment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金刚砂</w:t>
                  </w:r>
                </w:p>
                <w:p>
                  <w:pPr>
                    <w:keepNext w:val="0"/>
                    <w:keepLines w:val="0"/>
                    <w:pageBreakBefore w:val="0"/>
                    <w:widowControl/>
                    <w:kinsoku/>
                    <w:wordWrap/>
                    <w:overflowPunct/>
                    <w:topLinePunct w:val="0"/>
                    <w:autoSpaceDE/>
                    <w:autoSpaceDN/>
                    <w:bidi w:val="0"/>
                    <w:adjustRightInd/>
                    <w:snapToGrid/>
                    <w:spacing w:line="320" w:lineRule="exact"/>
                    <w:ind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（碳化硅）</w:t>
                  </w:r>
                </w:p>
              </w:tc>
              <w:tc>
                <w:tcPr>
                  <w:tcW w:w="7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25kg/袋</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5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+20</w:t>
                  </w:r>
                </w:p>
              </w:tc>
              <w:tc>
                <w:tcPr>
                  <w:tcW w:w="653" w:type="pct"/>
                  <w:noWrap w:val="0"/>
                  <w:vAlign w:val="center"/>
                </w:tcPr>
                <w:p>
                  <w:pPr>
                    <w:keepNext w:val="0"/>
                    <w:keepLines w:val="0"/>
                    <w:pageBreakBefore w:val="0"/>
                    <w:tabs>
                      <w:tab w:val="left" w:pos="2940"/>
                    </w:tabs>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Style w:val="67"/>
                      <w:rFonts w:hint="default" w:ascii="Times New Roman" w:hAnsi="Times New Roman" w:eastAsia="宋体" w:cs="Times New Roman"/>
                      <w:b w:val="0"/>
                      <w:bCs w:val="0"/>
                      <w:i w:val="0"/>
                      <w:caps w:val="0"/>
                      <w:color w:val="auto"/>
                      <w:spacing w:val="0"/>
                      <w:w w:val="100"/>
                      <w:kern w:val="2"/>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袋/a</w:t>
                  </w:r>
                </w:p>
              </w:tc>
              <w:tc>
                <w:tcPr>
                  <w:tcW w:w="744"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粗磨原料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p>
              </w:tc>
              <w:tc>
                <w:tcPr>
                  <w:tcW w:w="77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抛光块</w:t>
                  </w:r>
                </w:p>
              </w:tc>
              <w:tc>
                <w:tcPr>
                  <w:tcW w:w="7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eastAsia="zh-CN"/>
                    </w:rPr>
                    <w:t>Φ</w:t>
                  </w:r>
                  <w:r>
                    <w:rPr>
                      <w:rFonts w:hint="default" w:ascii="Times New Roman" w:hAnsi="Times New Roman" w:cs="Times New Roman"/>
                      <w:color w:val="auto"/>
                      <w:sz w:val="18"/>
                      <w:szCs w:val="18"/>
                      <w:highlight w:val="none"/>
                      <w:lang w:val="en-US" w:eastAsia="zh-CN"/>
                    </w:rPr>
                    <w:t>100*30/块</w:t>
                  </w:r>
                </w:p>
              </w:tc>
              <w:tc>
                <w:tcPr>
                  <w:tcW w:w="5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1000</w:t>
                  </w:r>
                </w:p>
              </w:tc>
              <w:tc>
                <w:tcPr>
                  <w:tcW w:w="5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500</w:t>
                  </w:r>
                </w:p>
              </w:tc>
              <w:tc>
                <w:tcPr>
                  <w:tcW w:w="5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-500</w:t>
                  </w:r>
                </w:p>
              </w:tc>
              <w:tc>
                <w:tcPr>
                  <w:tcW w:w="65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块/a</w:t>
                  </w:r>
                </w:p>
              </w:tc>
              <w:tc>
                <w:tcPr>
                  <w:tcW w:w="744"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抛光原料</w:t>
                  </w:r>
                  <w:r>
                    <w:rPr>
                      <w:rFonts w:hint="eastAsia" w:cs="Times New Roman"/>
                      <w:color w:val="auto"/>
                      <w:sz w:val="18"/>
                      <w:szCs w:val="18"/>
                      <w:highlight w:val="none"/>
                      <w:lang w:val="en-US" w:eastAsia="zh-CN"/>
                    </w:rPr>
                    <w:t>，主要为碳化硅、树脂聚合物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p>
              </w:tc>
              <w:tc>
                <w:tcPr>
                  <w:tcW w:w="77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jc w:val="center"/>
                    <w:textAlignment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抛光粉</w:t>
                  </w:r>
                </w:p>
              </w:tc>
              <w:tc>
                <w:tcPr>
                  <w:tcW w:w="7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5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30</w:t>
                  </w:r>
                </w:p>
              </w:tc>
              <w:tc>
                <w:tcPr>
                  <w:tcW w:w="5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w:t>
                  </w:r>
                </w:p>
              </w:tc>
              <w:tc>
                <w:tcPr>
                  <w:tcW w:w="5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65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kg/a</w:t>
                  </w:r>
                </w:p>
              </w:tc>
              <w:tc>
                <w:tcPr>
                  <w:tcW w:w="744"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抛光原料</w:t>
                  </w:r>
                  <w:r>
                    <w:rPr>
                      <w:rFonts w:hint="eastAsia" w:cs="Times New Roman"/>
                      <w:color w:val="auto"/>
                      <w:sz w:val="18"/>
                      <w:szCs w:val="18"/>
                      <w:highlight w:val="none"/>
                      <w:lang w:val="en-US" w:eastAsia="zh-CN"/>
                    </w:rPr>
                    <w:t>，主要成分为氧化铈、氧化铝、氧化硅、氧化铁、氧化锆等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p>
              </w:tc>
              <w:tc>
                <w:tcPr>
                  <w:tcW w:w="77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包装棉</w:t>
                  </w:r>
                </w:p>
              </w:tc>
              <w:tc>
                <w:tcPr>
                  <w:tcW w:w="7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 xml:space="preserve">厚度10mm/20mm/ 4mm </w:t>
                  </w:r>
                </w:p>
              </w:tc>
              <w:tc>
                <w:tcPr>
                  <w:tcW w:w="5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150</w:t>
                  </w:r>
                </w:p>
              </w:tc>
              <w:tc>
                <w:tcPr>
                  <w:tcW w:w="5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100</w:t>
                  </w:r>
                </w:p>
              </w:tc>
              <w:tc>
                <w:tcPr>
                  <w:tcW w:w="5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-50</w:t>
                  </w:r>
                </w:p>
              </w:tc>
              <w:tc>
                <w:tcPr>
                  <w:tcW w:w="65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rPr>
                    <w:t>张/a</w:t>
                  </w:r>
                </w:p>
              </w:tc>
              <w:tc>
                <w:tcPr>
                  <w:tcW w:w="744"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原料包装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p>
              </w:tc>
              <w:tc>
                <w:tcPr>
                  <w:tcW w:w="77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润滑油</w:t>
                  </w:r>
                </w:p>
              </w:tc>
              <w:tc>
                <w:tcPr>
                  <w:tcW w:w="74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25L/桶</w:t>
                  </w:r>
                </w:p>
              </w:tc>
              <w:tc>
                <w:tcPr>
                  <w:tcW w:w="5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10</w:t>
                  </w:r>
                </w:p>
              </w:tc>
              <w:tc>
                <w:tcPr>
                  <w:tcW w:w="5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50</w:t>
                  </w:r>
                </w:p>
              </w:tc>
              <w:tc>
                <w:tcPr>
                  <w:tcW w:w="59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+40</w:t>
                  </w:r>
                </w:p>
              </w:tc>
              <w:tc>
                <w:tcPr>
                  <w:tcW w:w="65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rPr>
                    <w:t>kg/a</w:t>
                  </w:r>
                </w:p>
              </w:tc>
              <w:tc>
                <w:tcPr>
                  <w:tcW w:w="744"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能源</w:t>
                  </w:r>
                </w:p>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资源</w:t>
                  </w:r>
                </w:p>
              </w:tc>
              <w:tc>
                <w:tcPr>
                  <w:tcW w:w="775"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用水</w:t>
                  </w:r>
                </w:p>
              </w:tc>
              <w:tc>
                <w:tcPr>
                  <w:tcW w:w="746"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w:t>
                  </w:r>
                </w:p>
              </w:tc>
              <w:tc>
                <w:tcPr>
                  <w:tcW w:w="593"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3619.8705</w:t>
                  </w:r>
                </w:p>
              </w:tc>
              <w:tc>
                <w:tcPr>
                  <w:tcW w:w="593"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2490.729</w:t>
                  </w:r>
                </w:p>
              </w:tc>
              <w:tc>
                <w:tcPr>
                  <w:tcW w:w="593"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-1129.1415</w:t>
                  </w:r>
                </w:p>
              </w:tc>
              <w:tc>
                <w:tcPr>
                  <w:tcW w:w="653"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Cs/>
                      <w:color w:val="auto"/>
                      <w:kern w:val="0"/>
                      <w:sz w:val="18"/>
                      <w:szCs w:val="18"/>
                      <w:highlight w:val="none"/>
                    </w:rPr>
                  </w:pPr>
                  <w:r>
                    <w:rPr>
                      <w:rFonts w:hint="default" w:ascii="Times New Roman" w:hAnsi="Times New Roman" w:cs="Times New Roman"/>
                      <w:bCs/>
                      <w:color w:val="auto"/>
                      <w:kern w:val="0"/>
                      <w:sz w:val="18"/>
                      <w:szCs w:val="18"/>
                      <w:highlight w:val="none"/>
                    </w:rPr>
                    <w:t>m</w:t>
                  </w:r>
                  <w:r>
                    <w:rPr>
                      <w:rFonts w:hint="default" w:ascii="Times New Roman" w:hAnsi="Times New Roman" w:cs="Times New Roman"/>
                      <w:bCs/>
                      <w:color w:val="auto"/>
                      <w:kern w:val="0"/>
                      <w:sz w:val="18"/>
                      <w:szCs w:val="18"/>
                      <w:highlight w:val="none"/>
                      <w:vertAlign w:val="superscript"/>
                    </w:rPr>
                    <w:t>3</w:t>
                  </w:r>
                  <w:r>
                    <w:rPr>
                      <w:rFonts w:hint="default" w:ascii="Times New Roman" w:hAnsi="Times New Roman" w:cs="Times New Roman"/>
                      <w:bCs/>
                      <w:color w:val="auto"/>
                      <w:kern w:val="0"/>
                      <w:sz w:val="18"/>
                      <w:szCs w:val="18"/>
                      <w:highlight w:val="none"/>
                    </w:rPr>
                    <w:t>/</w:t>
                  </w:r>
                  <w:r>
                    <w:rPr>
                      <w:rFonts w:hint="default" w:ascii="Times New Roman" w:hAnsi="Times New Roman" w:cs="Times New Roman"/>
                      <w:bCs/>
                      <w:color w:val="auto"/>
                      <w:kern w:val="0"/>
                      <w:sz w:val="18"/>
                      <w:szCs w:val="18"/>
                      <w:highlight w:val="none"/>
                      <w:lang w:val="en-US" w:eastAsia="zh-CN"/>
                    </w:rPr>
                    <w:t>a</w:t>
                  </w:r>
                </w:p>
              </w:tc>
              <w:tc>
                <w:tcPr>
                  <w:tcW w:w="7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新乡县市政供水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75"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用</w:t>
                  </w:r>
                  <w:r>
                    <w:rPr>
                      <w:rFonts w:hint="default" w:ascii="Times New Roman" w:hAnsi="Times New Roman" w:cs="Times New Roman"/>
                      <w:color w:val="auto"/>
                      <w:sz w:val="18"/>
                      <w:szCs w:val="18"/>
                      <w:highlight w:val="none"/>
                    </w:rPr>
                    <w:t>电</w:t>
                  </w:r>
                </w:p>
              </w:tc>
              <w:tc>
                <w:tcPr>
                  <w:tcW w:w="746"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c>
                <w:tcPr>
                  <w:tcW w:w="593"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593"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50</w:t>
                  </w:r>
                </w:p>
              </w:tc>
              <w:tc>
                <w:tcPr>
                  <w:tcW w:w="593"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+40</w:t>
                  </w:r>
                </w:p>
              </w:tc>
              <w:tc>
                <w:tcPr>
                  <w:tcW w:w="653"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w w:val="90"/>
                      <w:sz w:val="18"/>
                      <w:szCs w:val="18"/>
                      <w:highlight w:val="none"/>
                    </w:rPr>
                    <w:t>万kW</w:t>
                  </w:r>
                  <w:r>
                    <w:rPr>
                      <w:rFonts w:hint="default" w:ascii="Times New Roman" w:hAnsi="Times New Roman" w:eastAsia="MS Mincho" w:cs="Times New Roman"/>
                      <w:color w:val="auto"/>
                      <w:w w:val="90"/>
                      <w:sz w:val="18"/>
                      <w:szCs w:val="18"/>
                      <w:highlight w:val="none"/>
                    </w:rPr>
                    <w:t>‧</w:t>
                  </w:r>
                  <w:r>
                    <w:rPr>
                      <w:rFonts w:hint="default" w:ascii="Times New Roman" w:hAnsi="Times New Roman" w:cs="Times New Roman"/>
                      <w:color w:val="auto"/>
                      <w:w w:val="90"/>
                      <w:sz w:val="18"/>
                      <w:szCs w:val="18"/>
                      <w:highlight w:val="none"/>
                    </w:rPr>
                    <w:t>h</w:t>
                  </w:r>
                  <w:r>
                    <w:rPr>
                      <w:rFonts w:hint="default" w:ascii="Times New Roman" w:hAnsi="Times New Roman" w:cs="Times New Roman"/>
                      <w:color w:val="auto"/>
                      <w:w w:val="90"/>
                      <w:sz w:val="18"/>
                      <w:szCs w:val="18"/>
                      <w:highlight w:val="none"/>
                      <w:lang w:val="en-US" w:eastAsia="zh-CN"/>
                    </w:rPr>
                    <w:t>/a</w:t>
                  </w:r>
                </w:p>
              </w:tc>
              <w:tc>
                <w:tcPr>
                  <w:tcW w:w="74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新乡县市政供电</w:t>
                  </w:r>
                </w:p>
              </w:tc>
            </w:tr>
          </w:tbl>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主要原辅材料理化性质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64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pct"/>
                  <w:noWrap w:val="0"/>
                  <w:vAlign w:val="center"/>
                </w:tcPr>
                <w:p>
                  <w:pPr>
                    <w:pStyle w:val="28"/>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名称</w:t>
                  </w:r>
                </w:p>
              </w:tc>
              <w:tc>
                <w:tcPr>
                  <w:tcW w:w="4236" w:type="pct"/>
                  <w:noWrap w:val="0"/>
                  <w:vAlign w:val="center"/>
                </w:tcPr>
                <w:p>
                  <w:pPr>
                    <w:pStyle w:val="28"/>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理化性质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pct"/>
                  <w:noWrap w:val="0"/>
                  <w:vAlign w:val="center"/>
                </w:tcPr>
                <w:p>
                  <w:pPr>
                    <w:keepNext w:val="0"/>
                    <w:keepLines w:val="0"/>
                    <w:pageBreakBefore w:val="0"/>
                    <w:widowControl w:val="0"/>
                    <w:tabs>
                      <w:tab w:val="left" w:pos="2940"/>
                    </w:tabs>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b w:val="0"/>
                      <w:i w:val="0"/>
                      <w:caps w:val="0"/>
                      <w:color w:val="auto"/>
                      <w:spacing w:val="0"/>
                      <w:w w:val="1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三氧化二铝</w:t>
                  </w:r>
                </w:p>
              </w:tc>
              <w:tc>
                <w:tcPr>
                  <w:tcW w:w="42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氧化铝</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aluminium oxide</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是一种无机物</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化学式Al</w:t>
                  </w:r>
                  <w:r>
                    <w:rPr>
                      <w:rFonts w:hint="default" w:ascii="Times New Roman" w:hAnsi="Times New Roman" w:eastAsia="宋体" w:cs="Times New Roman"/>
                      <w:color w:val="auto"/>
                      <w:sz w:val="18"/>
                      <w:szCs w:val="18"/>
                      <w:highlight w:val="none"/>
                      <w:vertAlign w:val="subscript"/>
                    </w:rPr>
                    <w:t>2</w:t>
                  </w:r>
                  <w:r>
                    <w:rPr>
                      <w:rFonts w:hint="default" w:ascii="Times New Roman" w:hAnsi="Times New Roman" w:eastAsia="宋体" w:cs="Times New Roman"/>
                      <w:color w:val="auto"/>
                      <w:sz w:val="18"/>
                      <w:szCs w:val="18"/>
                      <w:highlight w:val="none"/>
                    </w:rPr>
                    <w:t>O</w:t>
                  </w:r>
                  <w:r>
                    <w:rPr>
                      <w:rFonts w:hint="default" w:ascii="Times New Roman" w:hAnsi="Times New Roman" w:eastAsia="宋体" w:cs="Times New Roman"/>
                      <w:color w:val="auto"/>
                      <w:sz w:val="18"/>
                      <w:szCs w:val="18"/>
                      <w:highlight w:val="none"/>
                      <w:vertAlign w:val="subscript"/>
                    </w:rPr>
                    <w:t>3</w:t>
                  </w:r>
                  <w:r>
                    <w:rPr>
                      <w:rFonts w:hint="default" w:ascii="Times New Roman" w:hAnsi="Times New Roman" w:cs="Times New Roman"/>
                      <w:color w:val="auto"/>
                      <w:sz w:val="18"/>
                      <w:szCs w:val="18"/>
                      <w:highlight w:val="none"/>
                      <w:lang w:eastAsia="zh-CN"/>
                    </w:rPr>
                    <w:t>，是一种高硬度的化合物，难溶于水的白色固体，无臭、无味、质极硬，易吸潮而不潮解（灼烧过的不吸湿）。氧化铝是典型的两性氧化物（刚玉是α形属于六方最密堆积，是惰性化合物，微溶于酸碱耐腐蚀），能溶于无机酸和碱性溶液中，几乎不溶于水及非极性有机溶剂；相对密度（d204）4.0；熔点2050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pct"/>
                  <w:noWrap w:val="0"/>
                  <w:vAlign w:val="center"/>
                </w:tcPr>
                <w:p>
                  <w:pPr>
                    <w:keepNext w:val="0"/>
                    <w:keepLines w:val="0"/>
                    <w:pageBreakBefore w:val="0"/>
                    <w:widowControl w:val="0"/>
                    <w:tabs>
                      <w:tab w:val="left" w:pos="2940"/>
                    </w:tabs>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二氧化</w:t>
                  </w:r>
                  <w:r>
                    <w:rPr>
                      <w:rFonts w:hint="default" w:ascii="Times New Roman" w:hAnsi="Times New Roman" w:eastAsia="宋体" w:cs="Times New Roman"/>
                      <w:color w:val="auto"/>
                      <w:sz w:val="18"/>
                      <w:szCs w:val="18"/>
                      <w:highlight w:val="none"/>
                    </w:rPr>
                    <w:t>锆</w:t>
                  </w:r>
                </w:p>
              </w:tc>
              <w:tc>
                <w:tcPr>
                  <w:tcW w:w="42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二氧化锆，化学式为ZrO</w:t>
                  </w:r>
                  <w:r>
                    <w:rPr>
                      <w:rFonts w:hint="default" w:ascii="Times New Roman" w:hAnsi="Times New Roman" w:eastAsia="宋体" w:cs="Times New Roman"/>
                      <w:color w:val="auto"/>
                      <w:sz w:val="18"/>
                      <w:szCs w:val="18"/>
                      <w:highlight w:val="none"/>
                      <w:vertAlign w:val="subscript"/>
                    </w:rPr>
                    <w:t>2</w:t>
                  </w:r>
                  <w:r>
                    <w:rPr>
                      <w:rFonts w:hint="default" w:ascii="Times New Roman" w:hAnsi="Times New Roman" w:eastAsia="宋体" w:cs="Times New Roman"/>
                      <w:color w:val="auto"/>
                      <w:sz w:val="18"/>
                      <w:szCs w:val="18"/>
                      <w:highlight w:val="none"/>
                    </w:rPr>
                    <w:t>，是锆的主要氧化物，熔点：2700℃</w:t>
                  </w:r>
                  <w:r>
                    <w:rPr>
                      <w:rFonts w:hint="default" w:ascii="Times New Roman" w:hAnsi="Times New Roman" w:cs="Times New Roman"/>
                      <w:color w:val="auto"/>
                      <w:sz w:val="18"/>
                      <w:szCs w:val="18"/>
                      <w:highlight w:val="none"/>
                      <w:lang w:eastAsia="zh-CN"/>
                    </w:rPr>
                    <w:t>，沸点：4300℃，闪点：5000℃，密度：5.85g/cm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通常状况下为白色无臭无味晶体，难溶于水、盐酸和稀硫酸。化学性质不活泼，且具有高熔点、高电阻率、高折射率和低热膨胀系数的性质，使它成为重要的耐高温材料、陶瓷绝缘材料和陶瓷遮光剂，亦是人工钻的主要原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pct"/>
                  <w:noWrap w:val="0"/>
                  <w:vAlign w:val="center"/>
                </w:tcPr>
                <w:p>
                  <w:pPr>
                    <w:keepNext w:val="0"/>
                    <w:keepLines w:val="0"/>
                    <w:pageBreakBefore w:val="0"/>
                    <w:widowControl w:val="0"/>
                    <w:tabs>
                      <w:tab w:val="left" w:pos="2940"/>
                    </w:tabs>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b w:val="0"/>
                      <w:i w:val="0"/>
                      <w:caps w:val="0"/>
                      <w:color w:val="auto"/>
                      <w:spacing w:val="0"/>
                      <w:w w:val="100"/>
                      <w:kern w:val="2"/>
                      <w:sz w:val="18"/>
                      <w:szCs w:val="18"/>
                      <w:highlight w:val="none"/>
                      <w:lang w:val="en-US" w:eastAsia="zh-CN" w:bidi="ar-SA"/>
                    </w:rPr>
                  </w:pPr>
                  <w:r>
                    <w:rPr>
                      <w:rFonts w:hint="default" w:ascii="Times New Roman" w:hAnsi="Times New Roman" w:eastAsia="宋体" w:cs="Times New Roman"/>
                      <w:b w:val="0"/>
                      <w:i w:val="0"/>
                      <w:caps w:val="0"/>
                      <w:color w:val="auto"/>
                      <w:spacing w:val="0"/>
                      <w:w w:val="100"/>
                      <w:sz w:val="18"/>
                      <w:szCs w:val="18"/>
                      <w:highlight w:val="none"/>
                      <w:lang w:eastAsia="zh-CN"/>
                    </w:rPr>
                    <w:t>二氧化硅</w:t>
                  </w:r>
                </w:p>
              </w:tc>
              <w:tc>
                <w:tcPr>
                  <w:tcW w:w="42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无机物，化学式为SiO</w:t>
                  </w:r>
                  <w:r>
                    <w:rPr>
                      <w:rFonts w:hint="default" w:ascii="Times New Roman" w:hAnsi="Times New Roman" w:eastAsia="宋体" w:cs="Times New Roman"/>
                      <w:color w:val="auto"/>
                      <w:sz w:val="18"/>
                      <w:szCs w:val="18"/>
                      <w:highlight w:val="none"/>
                      <w:vertAlign w:val="subscript"/>
                    </w:rPr>
                    <w:t>2</w:t>
                  </w:r>
                  <w:r>
                    <w:rPr>
                      <w:rFonts w:hint="default" w:ascii="Times New Roman" w:hAnsi="Times New Roman" w:eastAsia="宋体" w:cs="Times New Roman"/>
                      <w:color w:val="auto"/>
                      <w:sz w:val="18"/>
                      <w:szCs w:val="18"/>
                      <w:highlight w:val="none"/>
                    </w:rPr>
                    <w:t>，硅原子和氧原子长程有序排列形成晶态二氧化硅，短程有序或长程无序排列形成非晶态二氧化硅。二氧化硅晶体中，硅原子位于正四面体的中心，四个氧原子位于正四面体的四个顶角上，许多个这样的四面体又通过顶角的氧原子相连，每个氧原子为两个四面体共有，即每个氧原子与两个硅原子相结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pct"/>
                  <w:noWrap w:val="0"/>
                  <w:vAlign w:val="center"/>
                </w:tcPr>
                <w:p>
                  <w:pPr>
                    <w:keepNext w:val="0"/>
                    <w:keepLines w:val="0"/>
                    <w:pageBreakBefore w:val="0"/>
                    <w:widowControl w:val="0"/>
                    <w:tabs>
                      <w:tab w:val="left" w:pos="2940"/>
                    </w:tabs>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b w:val="0"/>
                      <w:i w:val="0"/>
                      <w:caps w:val="0"/>
                      <w:color w:val="auto"/>
                      <w:spacing w:val="0"/>
                      <w:w w:val="100"/>
                      <w:kern w:val="2"/>
                      <w:sz w:val="18"/>
                      <w:szCs w:val="18"/>
                      <w:highlight w:val="none"/>
                      <w:lang w:val="en-US" w:eastAsia="zh-CN" w:bidi="ar-SA"/>
                    </w:rPr>
                  </w:pPr>
                  <w:r>
                    <w:rPr>
                      <w:rFonts w:hint="default" w:ascii="Times New Roman" w:hAnsi="Times New Roman" w:eastAsia="宋体" w:cs="Times New Roman"/>
                      <w:b w:val="0"/>
                      <w:i w:val="0"/>
                      <w:caps w:val="0"/>
                      <w:color w:val="auto"/>
                      <w:spacing w:val="0"/>
                      <w:w w:val="100"/>
                      <w:sz w:val="18"/>
                      <w:szCs w:val="18"/>
                      <w:highlight w:val="none"/>
                      <w:lang w:eastAsia="zh-CN"/>
                    </w:rPr>
                    <w:t>氟化镁</w:t>
                  </w:r>
                </w:p>
              </w:tc>
              <w:tc>
                <w:tcPr>
                  <w:tcW w:w="42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氟化镁（MgF</w:t>
                  </w:r>
                  <w:r>
                    <w:rPr>
                      <w:rFonts w:hint="default" w:ascii="Times New Roman" w:hAnsi="Times New Roman" w:eastAsia="宋体" w:cs="Times New Roman"/>
                      <w:color w:val="auto"/>
                      <w:sz w:val="18"/>
                      <w:szCs w:val="18"/>
                      <w:highlight w:val="none"/>
                      <w:vertAlign w:val="subscript"/>
                    </w:rPr>
                    <w:t>2</w:t>
                  </w:r>
                  <w:r>
                    <w:rPr>
                      <w:rFonts w:hint="default" w:ascii="Times New Roman" w:hAnsi="Times New Roman" w:eastAsia="宋体" w:cs="Times New Roman"/>
                      <w:color w:val="auto"/>
                      <w:sz w:val="18"/>
                      <w:szCs w:val="18"/>
                      <w:highlight w:val="none"/>
                    </w:rPr>
                    <w:t>）是一种无色四方晶体或粉末，金红石型晶格。无味，难溶于水和醇，微溶于稀酸，溶于硝酸。相对密度为3.18，熔点为1248℃，沸点为2260℃。在电光下加热呈弱紫色荧光，其晶体有良好的偏振作用，特别适于紫外线和红外光谱。</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pct"/>
                  <w:noWrap w:val="0"/>
                  <w:vAlign w:val="center"/>
                </w:tcPr>
                <w:p>
                  <w:pPr>
                    <w:keepNext w:val="0"/>
                    <w:keepLines w:val="0"/>
                    <w:pageBreakBefore w:val="0"/>
                    <w:widowControl w:val="0"/>
                    <w:tabs>
                      <w:tab w:val="left" w:pos="2940"/>
                    </w:tabs>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baseline"/>
                    <w:rPr>
                      <w:rFonts w:hint="default" w:ascii="Times New Roman" w:hAnsi="Times New Roman" w:eastAsia="宋体" w:cs="Times New Roman"/>
                      <w:b w:val="0"/>
                      <w:i w:val="0"/>
                      <w:caps w:val="0"/>
                      <w:color w:val="auto"/>
                      <w:spacing w:val="0"/>
                      <w:w w:val="100"/>
                      <w:sz w:val="18"/>
                      <w:szCs w:val="18"/>
                      <w:highlight w:val="none"/>
                      <w:lang w:eastAsia="zh-CN"/>
                    </w:rPr>
                  </w:pPr>
                  <w:r>
                    <w:rPr>
                      <w:rFonts w:hint="default" w:ascii="Times New Roman" w:hAnsi="Times New Roman" w:eastAsia="宋体" w:cs="Times New Roman"/>
                      <w:color w:val="auto"/>
                      <w:kern w:val="0"/>
                      <w:sz w:val="18"/>
                      <w:szCs w:val="18"/>
                      <w:highlight w:val="none"/>
                      <w:lang w:val="en-US" w:eastAsia="zh-CN" w:bidi="ar"/>
                    </w:rPr>
                    <w:t>氧化铟锡</w:t>
                  </w:r>
                </w:p>
              </w:tc>
              <w:tc>
                <w:tcPr>
                  <w:tcW w:w="42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氧化铟锡是一种混合物，透明茶色薄膜或黄偏灰色块状，由90%In</w:t>
                  </w:r>
                  <w:r>
                    <w:rPr>
                      <w:rFonts w:hint="default" w:ascii="Times New Roman" w:hAnsi="Times New Roman" w:eastAsia="宋体" w:cs="Times New Roman"/>
                      <w:color w:val="auto"/>
                      <w:sz w:val="18"/>
                      <w:szCs w:val="18"/>
                      <w:highlight w:val="none"/>
                      <w:vertAlign w:val="subscript"/>
                    </w:rPr>
                    <w:t>2</w:t>
                  </w:r>
                  <w:r>
                    <w:rPr>
                      <w:rFonts w:hint="default" w:ascii="Times New Roman" w:hAnsi="Times New Roman" w:eastAsia="宋体" w:cs="Times New Roman"/>
                      <w:color w:val="auto"/>
                      <w:sz w:val="18"/>
                      <w:szCs w:val="18"/>
                      <w:highlight w:val="none"/>
                    </w:rPr>
                    <w:t>O</w:t>
                  </w:r>
                  <w:r>
                    <w:rPr>
                      <w:rFonts w:hint="default" w:ascii="Times New Roman" w:hAnsi="Times New Roman" w:eastAsia="宋体" w:cs="Times New Roman"/>
                      <w:color w:val="auto"/>
                      <w:sz w:val="18"/>
                      <w:szCs w:val="18"/>
                      <w:highlight w:val="none"/>
                      <w:vertAlign w:val="subscript"/>
                    </w:rPr>
                    <w:t>3</w:t>
                  </w:r>
                  <w:r>
                    <w:rPr>
                      <w:rFonts w:hint="default" w:ascii="Times New Roman" w:hAnsi="Times New Roman" w:eastAsia="宋体" w:cs="Times New Roman"/>
                      <w:color w:val="auto"/>
                      <w:sz w:val="18"/>
                      <w:szCs w:val="18"/>
                      <w:highlight w:val="none"/>
                    </w:rPr>
                    <w:t>和10% SnO</w:t>
                  </w:r>
                  <w:r>
                    <w:rPr>
                      <w:rFonts w:hint="default" w:ascii="Times New Roman" w:hAnsi="Times New Roman" w:eastAsia="宋体" w:cs="Times New Roman"/>
                      <w:color w:val="auto"/>
                      <w:sz w:val="18"/>
                      <w:szCs w:val="18"/>
                      <w:highlight w:val="none"/>
                      <w:vertAlign w:val="subscript"/>
                    </w:rPr>
                    <w:t>2</w:t>
                  </w:r>
                  <w:r>
                    <w:rPr>
                      <w:rFonts w:hint="default" w:ascii="Times New Roman" w:hAnsi="Times New Roman" w:eastAsia="宋体" w:cs="Times New Roman"/>
                      <w:color w:val="auto"/>
                      <w:sz w:val="18"/>
                      <w:szCs w:val="18"/>
                      <w:highlight w:val="none"/>
                    </w:rPr>
                    <w:t>混合而成</w:t>
                  </w:r>
                  <w:r>
                    <w:rPr>
                      <w:rFonts w:hint="default" w:ascii="Times New Roman" w:hAnsi="Times New Roman" w:eastAsia="宋体" w:cs="Times New Roman"/>
                      <w:color w:val="auto"/>
                      <w:sz w:val="18"/>
                      <w:szCs w:val="18"/>
                      <w:highlight w:val="none"/>
                      <w:lang w:eastAsia="zh-CN"/>
                    </w:rPr>
                    <w:t>。主要用于制作液晶显示器、平板显示器、等离子显示器、触摸屏、电子纸、有机发光二极管、太阳能电池、抗静电镀膜、EMI屏蔽的透明传导镀、各种光学镀膜等。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清洁剂</w:t>
                  </w:r>
                </w:p>
              </w:tc>
              <w:tc>
                <w:tcPr>
                  <w:tcW w:w="42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val="en-US" w:eastAsia="zh-CN"/>
                    </w:rPr>
                    <w:t>乳白色液体，无毒，不易燃，环保型低泡清洗剂。主要</w:t>
                  </w:r>
                  <w:r>
                    <w:rPr>
                      <w:rFonts w:hint="default" w:ascii="Times New Roman" w:hAnsi="Times New Roman" w:cs="Times New Roman"/>
                      <w:color w:val="auto"/>
                      <w:sz w:val="18"/>
                      <w:szCs w:val="18"/>
                      <w:highlight w:val="none"/>
                      <w:lang w:val="en-US" w:eastAsia="zh-CN"/>
                    </w:rPr>
                    <w:t>成分</w:t>
                  </w:r>
                  <w:r>
                    <w:rPr>
                      <w:rFonts w:hint="eastAsia" w:cs="Times New Roman"/>
                      <w:color w:val="auto"/>
                      <w:sz w:val="18"/>
                      <w:szCs w:val="18"/>
                      <w:highlight w:val="none"/>
                      <w:lang w:val="en-US" w:eastAsia="zh-CN"/>
                    </w:rPr>
                    <w:t>包括</w:t>
                  </w:r>
                  <w:r>
                    <w:rPr>
                      <w:rFonts w:hint="default" w:ascii="Times New Roman" w:hAnsi="Times New Roman" w:cs="Times New Roman"/>
                      <w:color w:val="auto"/>
                      <w:sz w:val="18"/>
                      <w:szCs w:val="18"/>
                      <w:highlight w:val="none"/>
                      <w:lang w:val="en-US" w:eastAsia="zh-CN"/>
                    </w:rPr>
                    <w:t>三聚磷酸钠8%、碳酸钠20%、硫酸钠2%、磷酸钠14%、EDTA-4Na1.5%、氢氧化钠45%、硅酸钠9%、EO-PO型表面活性剂0.5%。</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6、</w:t>
            </w:r>
            <w:r>
              <w:rPr>
                <w:rFonts w:hint="default" w:ascii="Times New Roman" w:hAnsi="Times New Roman" w:cs="Times New Roman"/>
                <w:b/>
                <w:color w:val="auto"/>
                <w:kern w:val="0"/>
                <w:szCs w:val="21"/>
                <w:highlight w:val="none"/>
              </w:rPr>
              <w:t>厂区平面布置</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eastAsia="zh-CN"/>
              </w:rPr>
              <w:t>本次技改工程无新增构筑物，主要利用现有厂区内</w:t>
            </w:r>
            <w:r>
              <w:rPr>
                <w:rFonts w:hint="default" w:ascii="Times New Roman" w:hAnsi="Times New Roman" w:cs="Times New Roman"/>
                <w:bCs/>
                <w:color w:val="auto"/>
                <w:kern w:val="0"/>
                <w:szCs w:val="21"/>
                <w:highlight w:val="none"/>
                <w:lang w:val="en-US" w:eastAsia="zh-CN"/>
              </w:rPr>
              <w:t>2#生产车间进行建设</w:t>
            </w:r>
            <w:r>
              <w:rPr>
                <w:rFonts w:hint="default" w:ascii="Times New Roman" w:hAnsi="Times New Roman" w:cs="Times New Roman"/>
                <w:bCs/>
                <w:color w:val="auto"/>
                <w:kern w:val="0"/>
                <w:szCs w:val="21"/>
                <w:highlight w:val="none"/>
                <w:lang w:eastAsia="zh-CN"/>
              </w:rPr>
              <w:t>，工程厂区总占地</w:t>
            </w:r>
            <w:r>
              <w:rPr>
                <w:rFonts w:hint="default" w:ascii="Times New Roman" w:hAnsi="Times New Roman" w:cs="Times New Roman"/>
                <w:bCs/>
                <w:color w:val="auto"/>
                <w:kern w:val="0"/>
                <w:szCs w:val="21"/>
                <w:highlight w:val="none"/>
                <w:lang w:val="en-US" w:eastAsia="zh-CN"/>
              </w:rPr>
              <w:t>44000平方米，根据现场勘查，现有工程厂区由1条入场主道路分为东西两部分区域，西侧区域主要构筑物由南向北依次布置为车棚、1#生产车间、配电室、空调间、纯水间，东侧区域主要构筑物由南向北依次布置为门卫室、2#生产车间、3#综合车间、员工宿舍楼。</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lang w:val="en-US" w:eastAsia="zh-CN"/>
              </w:rPr>
              <w:t>本次工程重新调整2#生产车间平面布局，同时新增自动化程度高、加工精度更高精磨、粗磨、抛光及热弯成型设备，淘汰部分老旧设备（主要为磨边机）。根据企业提供的技改后平面布置情况，调整后2#生产车间由西向东依次布局为下料磨边间、粗磨精磨间、抛光间、热弯间。工程</w:t>
            </w:r>
            <w:r>
              <w:rPr>
                <w:rFonts w:hint="default" w:ascii="Times New Roman" w:hAnsi="Times New Roman" w:cs="Times New Roman"/>
                <w:bCs/>
                <w:color w:val="auto"/>
                <w:kern w:val="0"/>
                <w:szCs w:val="21"/>
                <w:highlight w:val="none"/>
                <w:lang w:eastAsia="zh-CN"/>
              </w:rPr>
              <w:t>技改前后</w:t>
            </w:r>
            <w:r>
              <w:rPr>
                <w:rFonts w:hint="default" w:ascii="Times New Roman" w:hAnsi="Times New Roman" w:cs="Times New Roman"/>
                <w:bCs/>
                <w:color w:val="auto"/>
                <w:kern w:val="0"/>
                <w:szCs w:val="21"/>
                <w:highlight w:val="none"/>
                <w:lang w:val="en-US" w:eastAsia="zh-CN"/>
              </w:rPr>
              <w:t>全厂平面布局情况详见附图四和附图五</w:t>
            </w:r>
            <w:r>
              <w:rPr>
                <w:rFonts w:hint="default" w:ascii="Times New Roman" w:hAnsi="Times New Roman" w:cs="Times New Roman"/>
                <w:bCs/>
                <w:color w:val="auto"/>
                <w:kern w:val="0"/>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lang w:eastAsia="zh-CN"/>
              </w:rPr>
              <w:t>技改后工程</w:t>
            </w:r>
            <w:r>
              <w:rPr>
                <w:rFonts w:hint="default" w:ascii="Times New Roman" w:hAnsi="Times New Roman" w:cs="Times New Roman"/>
                <w:bCs/>
                <w:color w:val="auto"/>
                <w:kern w:val="0"/>
                <w:szCs w:val="21"/>
                <w:highlight w:val="none"/>
              </w:rPr>
              <w:t>工艺流程顺畅，总体布置合理紧凑，交通、管线顺畅短捷，人流与物流分开，建筑间距满足消防要求，保证生产运营安全。</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bCs w:val="0"/>
                <w:color w:val="auto"/>
                <w:kern w:val="0"/>
                <w:szCs w:val="21"/>
                <w:highlight w:val="none"/>
                <w:lang w:val="en-US" w:eastAsia="zh-CN"/>
              </w:rPr>
              <w:t>7、</w:t>
            </w:r>
            <w:r>
              <w:rPr>
                <w:rFonts w:hint="default" w:ascii="Times New Roman" w:hAnsi="Times New Roman" w:cs="Times New Roman"/>
                <w:b/>
                <w:bCs w:val="0"/>
                <w:color w:val="auto"/>
                <w:kern w:val="0"/>
                <w:szCs w:val="21"/>
                <w:highlight w:val="none"/>
              </w:rPr>
              <w:t>主要公辅设施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fldChar w:fldCharType="begin"/>
            </w:r>
            <w:r>
              <w:rPr>
                <w:rFonts w:hint="default" w:ascii="Times New Roman" w:hAnsi="Times New Roman" w:cs="Times New Roman"/>
                <w:b/>
                <w:bCs/>
                <w:color w:val="auto"/>
                <w:kern w:val="0"/>
                <w:szCs w:val="21"/>
                <w:highlight w:val="none"/>
              </w:rPr>
              <w:instrText xml:space="preserve">=1\*GB3\*MERGEFORMAT</w:instrText>
            </w:r>
            <w:r>
              <w:rPr>
                <w:rFonts w:hint="default" w:ascii="Times New Roman" w:hAnsi="Times New Roman" w:cs="Times New Roman"/>
                <w:b/>
                <w:bCs/>
                <w:color w:val="auto"/>
                <w:kern w:val="0"/>
                <w:szCs w:val="21"/>
                <w:highlight w:val="none"/>
              </w:rPr>
              <w:fldChar w:fldCharType="separate"/>
            </w:r>
            <w:r>
              <w:rPr>
                <w:rFonts w:hint="default" w:ascii="Times New Roman" w:hAnsi="Times New Roman" w:cs="Times New Roman"/>
                <w:b/>
                <w:bCs/>
                <w:color w:val="auto"/>
                <w:highlight w:val="none"/>
              </w:rPr>
              <w:t>①</w:t>
            </w:r>
            <w:r>
              <w:rPr>
                <w:rFonts w:hint="default" w:ascii="Times New Roman" w:hAnsi="Times New Roman" w:cs="Times New Roman"/>
                <w:b/>
                <w:bCs/>
                <w:color w:val="auto"/>
                <w:kern w:val="0"/>
                <w:szCs w:val="21"/>
                <w:highlight w:val="none"/>
              </w:rPr>
              <w:fldChar w:fldCharType="end"/>
            </w:r>
            <w:r>
              <w:rPr>
                <w:rFonts w:hint="default" w:ascii="Times New Roman" w:hAnsi="Times New Roman" w:cs="Times New Roman"/>
                <w:b/>
                <w:bCs/>
                <w:color w:val="auto"/>
                <w:kern w:val="0"/>
                <w:szCs w:val="21"/>
                <w:highlight w:val="none"/>
                <w:lang w:eastAsia="zh-CN"/>
              </w:rPr>
              <w:t>给</w:t>
            </w:r>
            <w:r>
              <w:rPr>
                <w:rFonts w:hint="default" w:ascii="Times New Roman" w:hAnsi="Times New Roman" w:cs="Times New Roman"/>
                <w:b/>
                <w:bCs/>
                <w:color w:val="auto"/>
                <w:kern w:val="0"/>
                <w:szCs w:val="21"/>
                <w:highlight w:val="none"/>
              </w:rPr>
              <w:t>水系统</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现有工程全厂用水量为</w:t>
            </w:r>
            <w:r>
              <w:rPr>
                <w:rFonts w:hint="default" w:ascii="Times New Roman" w:hAnsi="Times New Roman" w:cs="Times New Roman"/>
                <w:bCs/>
                <w:color w:val="auto"/>
                <w:kern w:val="0"/>
                <w:szCs w:val="21"/>
                <w:highlight w:val="none"/>
                <w:lang w:val="en-US" w:eastAsia="zh-CN"/>
              </w:rPr>
              <w:t>12.7013m</w:t>
            </w:r>
            <w:r>
              <w:rPr>
                <w:rFonts w:hint="default" w:ascii="Times New Roman" w:hAnsi="Times New Roman" w:cs="Times New Roman"/>
                <w:bCs/>
                <w:color w:val="auto"/>
                <w:kern w:val="0"/>
                <w:szCs w:val="21"/>
                <w:highlight w:val="none"/>
                <w:vertAlign w:val="superscript"/>
                <w:lang w:val="en-US" w:eastAsia="zh-CN"/>
              </w:rPr>
              <w:t>3</w:t>
            </w:r>
            <w:r>
              <w:rPr>
                <w:rFonts w:hint="default" w:ascii="Times New Roman" w:hAnsi="Times New Roman" w:cs="Times New Roman"/>
                <w:bCs/>
                <w:color w:val="auto"/>
                <w:kern w:val="0"/>
                <w:szCs w:val="21"/>
                <w:highlight w:val="none"/>
                <w:lang w:val="en-US" w:eastAsia="zh-CN"/>
              </w:rPr>
              <w:t>/d（</w:t>
            </w:r>
            <w:r>
              <w:rPr>
                <w:rFonts w:hint="default" w:ascii="Times New Roman" w:hAnsi="Times New Roman" w:cs="Times New Roman"/>
                <w:color w:val="auto"/>
                <w:sz w:val="21"/>
                <w:szCs w:val="21"/>
                <w:highlight w:val="none"/>
                <w:lang w:val="en-US" w:eastAsia="zh-CN"/>
              </w:rPr>
              <w:t>3619.8705m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r>
              <w:rPr>
                <w:rFonts w:hint="default" w:ascii="Times New Roman" w:hAnsi="Times New Roman" w:cs="Times New Roman"/>
                <w:bCs/>
                <w:color w:val="auto"/>
                <w:kern w:val="0"/>
                <w:szCs w:val="21"/>
                <w:highlight w:val="none"/>
                <w:lang w:val="en-US" w:eastAsia="zh-CN"/>
              </w:rPr>
              <w:t>）</w:t>
            </w:r>
            <w:r>
              <w:rPr>
                <w:rFonts w:hint="default" w:ascii="Times New Roman" w:hAnsi="Times New Roman" w:cs="Times New Roman"/>
                <w:bCs/>
                <w:color w:val="auto"/>
                <w:kern w:val="0"/>
                <w:szCs w:val="21"/>
                <w:highlight w:val="none"/>
                <w:lang w:eastAsia="zh-CN"/>
              </w:rPr>
              <w:t>，本次技改后全厂用水量为</w:t>
            </w:r>
            <w:r>
              <w:rPr>
                <w:rFonts w:hint="eastAsia" w:cs="Times New Roman"/>
                <w:bCs/>
                <w:color w:val="auto"/>
                <w:kern w:val="0"/>
                <w:szCs w:val="21"/>
                <w:highlight w:val="none"/>
                <w:lang w:val="en-US" w:eastAsia="zh-CN"/>
              </w:rPr>
              <w:t>8.7394</w:t>
            </w:r>
            <w:r>
              <w:rPr>
                <w:rFonts w:hint="default" w:ascii="Times New Roman" w:hAnsi="Times New Roman" w:cs="Times New Roman"/>
                <w:bCs/>
                <w:color w:val="auto"/>
                <w:kern w:val="0"/>
                <w:szCs w:val="21"/>
                <w:highlight w:val="none"/>
                <w:lang w:val="en-US" w:eastAsia="zh-CN"/>
              </w:rPr>
              <w:t>m</w:t>
            </w:r>
            <w:r>
              <w:rPr>
                <w:rFonts w:hint="default" w:ascii="Times New Roman" w:hAnsi="Times New Roman" w:cs="Times New Roman"/>
                <w:bCs/>
                <w:color w:val="auto"/>
                <w:kern w:val="0"/>
                <w:szCs w:val="21"/>
                <w:highlight w:val="none"/>
                <w:vertAlign w:val="superscript"/>
                <w:lang w:val="en-US" w:eastAsia="zh-CN"/>
              </w:rPr>
              <w:t>3</w:t>
            </w:r>
            <w:r>
              <w:rPr>
                <w:rFonts w:hint="default" w:ascii="Times New Roman" w:hAnsi="Times New Roman" w:cs="Times New Roman"/>
                <w:bCs/>
                <w:color w:val="auto"/>
                <w:kern w:val="0"/>
                <w:szCs w:val="21"/>
                <w:highlight w:val="none"/>
                <w:lang w:val="en-US" w:eastAsia="zh-CN"/>
              </w:rPr>
              <w:t>/d（</w:t>
            </w:r>
            <w:r>
              <w:rPr>
                <w:rFonts w:hint="eastAsia" w:cs="Times New Roman"/>
                <w:color w:val="auto"/>
                <w:sz w:val="21"/>
                <w:szCs w:val="21"/>
                <w:highlight w:val="none"/>
                <w:lang w:val="en-US" w:eastAsia="zh-CN"/>
              </w:rPr>
              <w:t>2490.729</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r>
              <w:rPr>
                <w:rFonts w:hint="default" w:ascii="Times New Roman" w:hAnsi="Times New Roman" w:cs="Times New Roman"/>
                <w:bCs/>
                <w:color w:val="auto"/>
                <w:kern w:val="0"/>
                <w:szCs w:val="21"/>
                <w:highlight w:val="none"/>
                <w:lang w:val="en-US" w:eastAsia="zh-CN"/>
              </w:rPr>
              <w:t>）</w:t>
            </w:r>
            <w:r>
              <w:rPr>
                <w:rFonts w:hint="default" w:ascii="Times New Roman" w:hAnsi="Times New Roman" w:cs="Times New Roman"/>
                <w:bCs/>
                <w:color w:val="auto"/>
                <w:kern w:val="0"/>
                <w:szCs w:val="21"/>
                <w:highlight w:val="none"/>
                <w:lang w:eastAsia="zh-CN"/>
              </w:rPr>
              <w:t>，本次技改后用水均依托现有工程</w:t>
            </w:r>
            <w:r>
              <w:rPr>
                <w:rFonts w:hint="default" w:ascii="Times New Roman" w:hAnsi="Times New Roman" w:cs="Times New Roman"/>
                <w:bCs/>
                <w:color w:val="auto"/>
                <w:kern w:val="0"/>
                <w:szCs w:val="21"/>
                <w:highlight w:val="none"/>
              </w:rPr>
              <w:t>供水</w:t>
            </w:r>
            <w:r>
              <w:rPr>
                <w:rFonts w:hint="default" w:ascii="Times New Roman" w:hAnsi="Times New Roman" w:cs="Times New Roman"/>
                <w:bCs/>
                <w:color w:val="auto"/>
                <w:kern w:val="0"/>
                <w:szCs w:val="21"/>
                <w:highlight w:val="none"/>
                <w:lang w:eastAsia="zh-CN"/>
              </w:rPr>
              <w:t>管道提供，来源由新乡县市政供水管道提供</w:t>
            </w:r>
            <w:r>
              <w:rPr>
                <w:rFonts w:hint="default" w:ascii="Times New Roman" w:hAnsi="Times New Roman" w:cs="Times New Roman"/>
                <w:bCs/>
                <w:color w:val="auto"/>
                <w:kern w:val="0"/>
                <w:szCs w:val="21"/>
                <w:highlight w:val="none"/>
              </w:rPr>
              <w:t>。</w:t>
            </w:r>
            <w:r>
              <w:rPr>
                <w:rFonts w:hint="default" w:ascii="Times New Roman" w:hAnsi="Times New Roman" w:cs="Times New Roman"/>
                <w:bCs/>
                <w:color w:val="auto"/>
                <w:kern w:val="0"/>
                <w:szCs w:val="21"/>
                <w:highlight w:val="none"/>
                <w:lang w:eastAsia="zh-CN"/>
              </w:rPr>
              <w:t>根据调查，目前厂区供水能力为</w:t>
            </w:r>
            <w:r>
              <w:rPr>
                <w:rFonts w:hint="default" w:ascii="Times New Roman" w:hAnsi="Times New Roman" w:cs="Times New Roman"/>
                <w:bCs/>
                <w:color w:val="auto"/>
                <w:kern w:val="0"/>
                <w:szCs w:val="21"/>
                <w:highlight w:val="none"/>
                <w:lang w:val="en-US" w:eastAsia="zh-CN"/>
              </w:rPr>
              <w:t>120m</w:t>
            </w:r>
            <w:r>
              <w:rPr>
                <w:rFonts w:hint="default" w:ascii="Times New Roman" w:hAnsi="Times New Roman" w:cs="Times New Roman"/>
                <w:bCs/>
                <w:color w:val="auto"/>
                <w:kern w:val="0"/>
                <w:szCs w:val="21"/>
                <w:highlight w:val="none"/>
                <w:vertAlign w:val="superscript"/>
                <w:lang w:val="en-US" w:eastAsia="zh-CN"/>
              </w:rPr>
              <w:t>3</w:t>
            </w:r>
            <w:r>
              <w:rPr>
                <w:rFonts w:hint="default" w:ascii="Times New Roman" w:hAnsi="Times New Roman" w:cs="Times New Roman"/>
                <w:bCs/>
                <w:color w:val="auto"/>
                <w:kern w:val="0"/>
                <w:szCs w:val="21"/>
                <w:highlight w:val="none"/>
                <w:lang w:val="en-US" w:eastAsia="zh-CN"/>
              </w:rPr>
              <w:t>/d</w:t>
            </w:r>
            <w:r>
              <w:rPr>
                <w:rFonts w:hint="default" w:ascii="Times New Roman" w:hAnsi="Times New Roman" w:cs="Times New Roman"/>
                <w:bCs/>
                <w:color w:val="auto"/>
                <w:kern w:val="0"/>
                <w:szCs w:val="21"/>
                <w:highlight w:val="none"/>
                <w:lang w:eastAsia="zh-CN"/>
              </w:rPr>
              <w:t>，能够满足本次技改后全厂用水需求。</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none"/>
                <w:lang w:val="en-US"/>
              </w:rPr>
            </w:pPr>
            <w:r>
              <w:rPr>
                <w:rFonts w:hint="eastAsia" w:cs="Times New Roman"/>
                <w:bCs/>
                <w:color w:val="auto"/>
                <w:kern w:val="0"/>
                <w:szCs w:val="21"/>
                <w:highlight w:val="none"/>
                <w:lang w:eastAsia="zh-CN"/>
              </w:rPr>
              <w:t>本次技改工程所用纯水依托现有</w:t>
            </w:r>
            <w:r>
              <w:rPr>
                <w:rFonts w:hint="eastAsia" w:cs="Times New Roman"/>
                <w:bCs/>
                <w:color w:val="auto"/>
                <w:kern w:val="0"/>
                <w:szCs w:val="21"/>
                <w:highlight w:val="none"/>
                <w:lang w:val="en-US" w:eastAsia="zh-CN"/>
              </w:rPr>
              <w:t>1套纯水设备制备，纯水制备工艺采用“多介质过滤+活性炭过滤+双级反渗透+EDI系统+抛光混床”，纯水制备能力为1t/h，纯水制备率为75%。</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fldChar w:fldCharType="begin"/>
            </w:r>
            <w:r>
              <w:rPr>
                <w:rFonts w:hint="default" w:ascii="Times New Roman" w:hAnsi="Times New Roman" w:cs="Times New Roman"/>
                <w:b/>
                <w:bCs/>
                <w:color w:val="auto"/>
                <w:kern w:val="0"/>
                <w:szCs w:val="21"/>
                <w:highlight w:val="none"/>
              </w:rPr>
              <w:instrText xml:space="preserve">=2\*GB3\*MERGEFORMAT</w:instrText>
            </w:r>
            <w:r>
              <w:rPr>
                <w:rFonts w:hint="default" w:ascii="Times New Roman" w:hAnsi="Times New Roman" w:cs="Times New Roman"/>
                <w:b/>
                <w:bCs/>
                <w:color w:val="auto"/>
                <w:kern w:val="0"/>
                <w:szCs w:val="21"/>
                <w:highlight w:val="none"/>
              </w:rPr>
              <w:fldChar w:fldCharType="separate"/>
            </w:r>
            <w:r>
              <w:rPr>
                <w:rFonts w:hint="default" w:ascii="Times New Roman" w:hAnsi="Times New Roman" w:cs="Times New Roman"/>
                <w:b/>
                <w:bCs/>
                <w:color w:val="auto"/>
                <w:highlight w:val="none"/>
              </w:rPr>
              <w:t>②</w:t>
            </w:r>
            <w:r>
              <w:rPr>
                <w:rFonts w:hint="default" w:ascii="Times New Roman" w:hAnsi="Times New Roman" w:cs="Times New Roman"/>
                <w:b/>
                <w:bCs/>
                <w:color w:val="auto"/>
                <w:kern w:val="0"/>
                <w:szCs w:val="21"/>
                <w:highlight w:val="none"/>
              </w:rPr>
              <w:fldChar w:fldCharType="end"/>
            </w:r>
            <w:r>
              <w:rPr>
                <w:rFonts w:hint="default" w:ascii="Times New Roman" w:hAnsi="Times New Roman" w:cs="Times New Roman"/>
                <w:b/>
                <w:bCs/>
                <w:color w:val="auto"/>
                <w:kern w:val="0"/>
                <w:szCs w:val="21"/>
                <w:highlight w:val="none"/>
              </w:rPr>
              <w:t>排水系统</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厂区排水采用雨污分流制排放系统。</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0" w:firstLineChars="200"/>
              <w:textAlignment w:val="auto"/>
              <w:rPr>
                <w:rFonts w:hint="default" w:cs="Times New Roman"/>
                <w:bCs/>
                <w:color w:val="auto"/>
                <w:kern w:val="0"/>
                <w:szCs w:val="21"/>
                <w:highlight w:val="none"/>
                <w:lang w:val="en-US" w:eastAsia="zh-CN"/>
              </w:rPr>
            </w:pPr>
            <w:r>
              <w:rPr>
                <w:rFonts w:hint="eastAsia" w:cs="Times New Roman"/>
                <w:bCs/>
                <w:color w:val="auto"/>
                <w:kern w:val="0"/>
                <w:szCs w:val="21"/>
                <w:highlight w:val="none"/>
                <w:lang w:eastAsia="zh-CN"/>
              </w:rPr>
              <w:t>现有工程外排放废水为生活污水和生产废水，其中生活污水经设置化粪池</w:t>
            </w:r>
            <w:r>
              <w:rPr>
                <w:rFonts w:hint="eastAsia" w:cs="Times New Roman"/>
                <w:bCs/>
                <w:color w:val="auto"/>
                <w:kern w:val="0"/>
                <w:szCs w:val="21"/>
                <w:highlight w:val="none"/>
                <w:lang w:val="en-US" w:eastAsia="zh-CN"/>
              </w:rPr>
              <w:t>处理后经厂区总排口排放，排放量为1.68m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/d；生产废水主要包括磨边工序冲洗废水以及镀膜前后清洗废水，废水经设置“沉淀池+混凝沉淀池”处理后经厂区总排口排放，生产废水排放量为9.4053m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/d</w:t>
            </w:r>
            <w:r>
              <w:rPr>
                <w:rFonts w:hint="eastAsia" w:cs="Times New Roman"/>
                <w:bCs/>
                <w:color w:val="auto"/>
                <w:kern w:val="0"/>
                <w:szCs w:val="21"/>
                <w:highlight w:val="none"/>
                <w:lang w:eastAsia="zh-CN"/>
              </w:rPr>
              <w:t>。则现有工程厂区总排口废水排放总量为</w:t>
            </w:r>
            <w:r>
              <w:rPr>
                <w:rFonts w:hint="eastAsia" w:cs="Times New Roman"/>
                <w:bCs/>
                <w:color w:val="auto"/>
                <w:kern w:val="0"/>
                <w:szCs w:val="21"/>
                <w:highlight w:val="none"/>
                <w:lang w:val="en-US" w:eastAsia="zh-CN"/>
              </w:rPr>
              <w:t>11.0853m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/d（3159.3105m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/a），总排口废水经区域污水管网排入新乡县综合污水处理厂进一步处理后，达标排入东孟姜女河。</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本次技改</w:t>
            </w:r>
            <w:r>
              <w:rPr>
                <w:rFonts w:hint="eastAsia" w:cs="Times New Roman"/>
                <w:bCs/>
                <w:color w:val="auto"/>
                <w:kern w:val="0"/>
                <w:szCs w:val="21"/>
                <w:highlight w:val="none"/>
                <w:lang w:eastAsia="zh-CN"/>
              </w:rPr>
              <w:t>后全厂外排废水为生活污水和生产废水，其中由于技改后无新增员工，因此无新增生活污水，生活污水排放量仍为</w:t>
            </w:r>
            <w:r>
              <w:rPr>
                <w:rFonts w:hint="eastAsia" w:cs="Times New Roman"/>
                <w:bCs/>
                <w:color w:val="auto"/>
                <w:kern w:val="0"/>
                <w:szCs w:val="21"/>
                <w:highlight w:val="none"/>
                <w:lang w:val="en-US" w:eastAsia="zh-CN"/>
              </w:rPr>
              <w:t>1.68m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/d</w:t>
            </w:r>
            <w:r>
              <w:rPr>
                <w:rFonts w:hint="eastAsia" w:cs="Times New Roman"/>
                <w:bCs/>
                <w:color w:val="auto"/>
                <w:kern w:val="0"/>
                <w:szCs w:val="21"/>
                <w:highlight w:val="none"/>
                <w:lang w:eastAsia="zh-CN"/>
              </w:rPr>
              <w:t>；生产废水主要</w:t>
            </w:r>
            <w:r>
              <w:rPr>
                <w:rFonts w:hint="default" w:ascii="Times New Roman" w:hAnsi="Times New Roman" w:cs="Times New Roman"/>
                <w:bCs/>
                <w:color w:val="auto"/>
                <w:kern w:val="0"/>
                <w:szCs w:val="21"/>
                <w:highlight w:val="none"/>
                <w:lang w:eastAsia="zh-CN"/>
              </w:rPr>
              <w:t>包括下料、磨边、粗磨、精磨工序</w:t>
            </w:r>
            <w:r>
              <w:rPr>
                <w:rFonts w:hint="eastAsia" w:cs="Times New Roman"/>
                <w:bCs/>
                <w:color w:val="auto"/>
                <w:kern w:val="0"/>
                <w:szCs w:val="21"/>
                <w:highlight w:val="none"/>
                <w:lang w:eastAsia="zh-CN"/>
              </w:rPr>
              <w:t>配套沉淀池定期排放</w:t>
            </w:r>
            <w:r>
              <w:rPr>
                <w:rFonts w:hint="default" w:ascii="Times New Roman" w:hAnsi="Times New Roman" w:cs="Times New Roman"/>
                <w:bCs/>
                <w:color w:val="auto"/>
                <w:kern w:val="0"/>
                <w:szCs w:val="21"/>
                <w:highlight w:val="none"/>
                <w:lang w:eastAsia="zh-CN"/>
              </w:rPr>
              <w:t>冲洗废水、镀膜前后清洗废水以及纯水制备产生的浓水，</w:t>
            </w:r>
            <w:r>
              <w:rPr>
                <w:rFonts w:hint="eastAsia" w:cs="Times New Roman"/>
                <w:bCs/>
                <w:color w:val="auto"/>
                <w:kern w:val="0"/>
                <w:szCs w:val="21"/>
                <w:highlight w:val="none"/>
                <w:lang w:eastAsia="zh-CN"/>
              </w:rPr>
              <w:t>本次技改后为节约用水，将新增的</w:t>
            </w:r>
            <w:r>
              <w:rPr>
                <w:rFonts w:hint="default" w:ascii="Times New Roman" w:hAnsi="Times New Roman" w:cs="Times New Roman"/>
                <w:bCs/>
                <w:color w:val="auto"/>
                <w:kern w:val="0"/>
                <w:szCs w:val="21"/>
                <w:highlight w:val="none"/>
                <w:lang w:eastAsia="zh-CN"/>
              </w:rPr>
              <w:t>下料、粗磨、精磨工序</w:t>
            </w:r>
            <w:r>
              <w:rPr>
                <w:rFonts w:hint="eastAsia" w:cs="Times New Roman"/>
                <w:bCs/>
                <w:color w:val="auto"/>
                <w:kern w:val="0"/>
                <w:szCs w:val="21"/>
                <w:highlight w:val="none"/>
                <w:lang w:eastAsia="zh-CN"/>
              </w:rPr>
              <w:t>冲洗废水和现有磨边工序冲洗废水改为利用现有</w:t>
            </w:r>
            <w:r>
              <w:rPr>
                <w:rFonts w:hint="eastAsia" w:cs="Times New Roman"/>
                <w:bCs/>
                <w:color w:val="auto"/>
                <w:kern w:val="0"/>
                <w:szCs w:val="21"/>
                <w:highlight w:val="none"/>
                <w:lang w:val="en-US" w:eastAsia="zh-CN"/>
              </w:rPr>
              <w:t>沉淀池（72m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）处理后循环使用，沉淀池每月定期清洗出废水排入混凝沉淀池（5m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）处理</w:t>
            </w:r>
            <w:r>
              <w:rPr>
                <w:rFonts w:hint="eastAsia" w:cs="Times New Roman"/>
                <w:bCs/>
                <w:color w:val="auto"/>
                <w:kern w:val="0"/>
                <w:szCs w:val="21"/>
                <w:highlight w:val="none"/>
                <w:lang w:eastAsia="zh-CN"/>
              </w:rPr>
              <w:t>，镀膜前后清洗废水直接排入混凝沉淀池处理，经混凝沉淀池处理后废水同软水制备浓水一同经厂区总排口排入区域污水管网</w:t>
            </w:r>
            <w:r>
              <w:rPr>
                <w:rFonts w:hint="default" w:ascii="Times New Roman" w:hAnsi="Times New Roman" w:cs="Times New Roman"/>
                <w:bCs/>
                <w:color w:val="auto"/>
                <w:kern w:val="0"/>
                <w:szCs w:val="21"/>
                <w:highlight w:val="none"/>
                <w:lang w:eastAsia="zh-CN"/>
              </w:rPr>
              <w:t>，</w:t>
            </w:r>
            <w:r>
              <w:rPr>
                <w:rFonts w:hint="eastAsia" w:cs="Times New Roman"/>
                <w:bCs/>
                <w:color w:val="auto"/>
                <w:kern w:val="0"/>
                <w:szCs w:val="21"/>
                <w:highlight w:val="none"/>
                <w:lang w:eastAsia="zh-CN"/>
              </w:rPr>
              <w:t>技改后厂区总排口废水排放总量为</w:t>
            </w:r>
            <w:r>
              <w:rPr>
                <w:rFonts w:hint="eastAsia" w:cs="Times New Roman"/>
                <w:bCs/>
                <w:color w:val="auto"/>
                <w:kern w:val="0"/>
                <w:szCs w:val="21"/>
                <w:highlight w:val="none"/>
                <w:lang w:val="en-US" w:eastAsia="zh-CN"/>
              </w:rPr>
              <w:t>6.6813m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/d（1904.1705m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/a）</w:t>
            </w:r>
            <w:r>
              <w:rPr>
                <w:rFonts w:hint="eastAsia" w:cs="Times New Roman"/>
                <w:bCs/>
                <w:color w:val="auto"/>
                <w:kern w:val="0"/>
                <w:szCs w:val="21"/>
                <w:highlight w:val="none"/>
                <w:lang w:eastAsia="zh-CN"/>
              </w:rPr>
              <w:t>，</w:t>
            </w:r>
            <w:r>
              <w:rPr>
                <w:rFonts w:hint="eastAsia" w:cs="Times New Roman"/>
                <w:bCs/>
                <w:color w:val="auto"/>
                <w:kern w:val="0"/>
                <w:szCs w:val="21"/>
                <w:highlight w:val="none"/>
                <w:lang w:val="en-US" w:eastAsia="zh-CN"/>
              </w:rPr>
              <w:t>总排口废水经区域污水管网排入新乡县综合污水处理厂进一步处理后，达标排入东孟姜女河。</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fldChar w:fldCharType="begin"/>
            </w:r>
            <w:r>
              <w:rPr>
                <w:rFonts w:hint="default" w:ascii="Times New Roman" w:hAnsi="Times New Roman" w:cs="Times New Roman"/>
                <w:b/>
                <w:bCs/>
                <w:color w:val="auto"/>
                <w:kern w:val="0"/>
                <w:szCs w:val="21"/>
                <w:highlight w:val="none"/>
              </w:rPr>
              <w:instrText xml:space="preserve"> = 3 \* GB3 \* MERGEFORMAT </w:instrText>
            </w:r>
            <w:r>
              <w:rPr>
                <w:rFonts w:hint="default" w:ascii="Times New Roman" w:hAnsi="Times New Roman" w:cs="Times New Roman"/>
                <w:b/>
                <w:bCs/>
                <w:color w:val="auto"/>
                <w:kern w:val="0"/>
                <w:szCs w:val="21"/>
                <w:highlight w:val="none"/>
              </w:rPr>
              <w:fldChar w:fldCharType="separate"/>
            </w:r>
            <w:r>
              <w:rPr>
                <w:rFonts w:hint="default" w:ascii="Times New Roman" w:hAnsi="Times New Roman" w:cs="Times New Roman"/>
                <w:b/>
                <w:bCs/>
                <w:color w:val="auto"/>
                <w:highlight w:val="none"/>
              </w:rPr>
              <w:t>③</w:t>
            </w:r>
            <w:r>
              <w:rPr>
                <w:rFonts w:hint="default" w:ascii="Times New Roman" w:hAnsi="Times New Roman" w:cs="Times New Roman"/>
                <w:b/>
                <w:bCs/>
                <w:color w:val="auto"/>
                <w:kern w:val="0"/>
                <w:szCs w:val="21"/>
                <w:highlight w:val="none"/>
              </w:rPr>
              <w:fldChar w:fldCharType="end"/>
            </w:r>
            <w:r>
              <w:rPr>
                <w:rFonts w:hint="default" w:ascii="Times New Roman" w:hAnsi="Times New Roman" w:cs="Times New Roman"/>
                <w:b/>
                <w:bCs/>
                <w:color w:val="auto"/>
                <w:kern w:val="0"/>
                <w:szCs w:val="21"/>
                <w:highlight w:val="none"/>
              </w:rPr>
              <w:t>输供电</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lang w:eastAsia="zh-CN"/>
              </w:rPr>
              <w:t>本次技改工程</w:t>
            </w:r>
            <w:r>
              <w:rPr>
                <w:rFonts w:hint="default" w:ascii="Times New Roman" w:hAnsi="Times New Roman" w:cs="Times New Roman"/>
                <w:bCs/>
                <w:color w:val="auto"/>
                <w:kern w:val="0"/>
                <w:szCs w:val="21"/>
                <w:highlight w:val="none"/>
              </w:rPr>
              <w:t>所需的动力电源</w:t>
            </w:r>
            <w:r>
              <w:rPr>
                <w:rFonts w:hint="default" w:ascii="Times New Roman" w:hAnsi="Times New Roman" w:cs="Times New Roman"/>
                <w:bCs/>
                <w:color w:val="auto"/>
                <w:kern w:val="0"/>
                <w:szCs w:val="21"/>
                <w:highlight w:val="none"/>
                <w:lang w:eastAsia="zh-CN"/>
              </w:rPr>
              <w:t>通过现有配电室提供，</w:t>
            </w:r>
            <w:r>
              <w:rPr>
                <w:rFonts w:hint="eastAsia" w:cs="Times New Roman"/>
                <w:bCs/>
                <w:color w:val="auto"/>
                <w:kern w:val="0"/>
                <w:szCs w:val="21"/>
                <w:highlight w:val="none"/>
                <w:lang w:eastAsia="zh-CN"/>
              </w:rPr>
              <w:t>配电室设置</w:t>
            </w:r>
            <w:r>
              <w:rPr>
                <w:rFonts w:hint="eastAsia" w:cs="Times New Roman"/>
                <w:bCs/>
                <w:color w:val="auto"/>
                <w:kern w:val="0"/>
                <w:szCs w:val="21"/>
                <w:highlight w:val="none"/>
                <w:lang w:val="en-US" w:eastAsia="zh-CN"/>
              </w:rPr>
              <w:t>1台10kv/0.4kv变压器，</w:t>
            </w:r>
            <w:r>
              <w:rPr>
                <w:rFonts w:hint="eastAsia" w:cs="Times New Roman"/>
                <w:bCs/>
                <w:color w:val="auto"/>
                <w:kern w:val="0"/>
                <w:szCs w:val="21"/>
                <w:highlight w:val="none"/>
                <w:lang w:eastAsia="zh-CN"/>
              </w:rPr>
              <w:t>用电</w:t>
            </w:r>
            <w:r>
              <w:rPr>
                <w:rFonts w:hint="default" w:ascii="Times New Roman" w:hAnsi="Times New Roman" w:cs="Times New Roman"/>
                <w:bCs/>
                <w:color w:val="auto"/>
                <w:kern w:val="0"/>
                <w:szCs w:val="21"/>
                <w:highlight w:val="none"/>
                <w:lang w:eastAsia="zh-CN"/>
              </w:rPr>
              <w:t>来源由新乡县市政供电管网提供</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bCs w:val="0"/>
                <w:color w:val="auto"/>
                <w:kern w:val="0"/>
                <w:szCs w:val="21"/>
                <w:highlight w:val="none"/>
                <w:lang w:val="en-US" w:eastAsia="zh-CN"/>
              </w:rPr>
              <w:t>8、</w:t>
            </w:r>
            <w:r>
              <w:rPr>
                <w:rFonts w:hint="default" w:ascii="Times New Roman" w:hAnsi="Times New Roman" w:cs="Times New Roman"/>
                <w:b/>
                <w:bCs w:val="0"/>
                <w:color w:val="auto"/>
                <w:kern w:val="0"/>
                <w:sz w:val="21"/>
                <w:szCs w:val="21"/>
                <w:highlight w:val="none"/>
              </w:rPr>
              <w:t>工作制度与劳动定员</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Times New Roman" w:hAnsi="Times New Roman" w:eastAsia="宋体" w:cs="Times New Roman"/>
                <w:bCs/>
                <w:color w:val="auto"/>
                <w:szCs w:val="21"/>
                <w:highlight w:val="cyan"/>
                <w:lang w:eastAsia="zh-CN"/>
              </w:rPr>
            </w:pPr>
            <w:r>
              <w:rPr>
                <w:rFonts w:hint="default" w:ascii="Times New Roman" w:hAnsi="Times New Roman" w:cs="Times New Roman"/>
                <w:color w:val="auto"/>
                <w:sz w:val="21"/>
                <w:szCs w:val="21"/>
                <w:highlight w:val="none"/>
                <w:lang w:eastAsia="zh-CN"/>
              </w:rPr>
              <w:t>本次技改无新增员工，从现有工程劳动定员</w:t>
            </w:r>
            <w:r>
              <w:rPr>
                <w:rFonts w:hint="default" w:ascii="Times New Roman" w:hAnsi="Times New Roman" w:cs="Times New Roman"/>
                <w:color w:val="auto"/>
                <w:sz w:val="21"/>
                <w:szCs w:val="21"/>
                <w:highlight w:val="none"/>
                <w:lang w:val="en-US" w:eastAsia="zh-CN"/>
              </w:rPr>
              <w:t>20人中调配</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现有员工均</w:t>
            </w:r>
            <w:r>
              <w:rPr>
                <w:rFonts w:hint="eastAsia" w:cs="Times New Roman"/>
                <w:color w:val="auto"/>
                <w:sz w:val="21"/>
                <w:szCs w:val="21"/>
                <w:highlight w:val="none"/>
                <w:lang w:eastAsia="zh-CN"/>
              </w:rPr>
              <w:t>不</w:t>
            </w:r>
            <w:r>
              <w:rPr>
                <w:rFonts w:hint="default" w:ascii="Times New Roman" w:hAnsi="Times New Roman" w:cs="Times New Roman"/>
                <w:color w:val="auto"/>
                <w:sz w:val="21"/>
                <w:szCs w:val="21"/>
                <w:highlight w:val="none"/>
                <w:lang w:eastAsia="zh-CN"/>
              </w:rPr>
              <w:t>在厂区内食宿，工程</w:t>
            </w:r>
            <w:r>
              <w:rPr>
                <w:rFonts w:hint="default" w:ascii="Times New Roman" w:hAnsi="Times New Roman" w:cs="Times New Roman"/>
                <w:color w:val="auto"/>
                <w:sz w:val="21"/>
                <w:szCs w:val="21"/>
                <w:highlight w:val="none"/>
              </w:rPr>
              <w:t>年工作日</w:t>
            </w:r>
            <w:r>
              <w:rPr>
                <w:rFonts w:hint="eastAsia" w:cs="Times New Roman"/>
                <w:color w:val="auto"/>
                <w:sz w:val="21"/>
                <w:szCs w:val="21"/>
                <w:highlight w:val="none"/>
                <w:lang w:val="en-US" w:eastAsia="zh-CN"/>
              </w:rPr>
              <w:t>285</w:t>
            </w:r>
            <w:r>
              <w:rPr>
                <w:rFonts w:hint="default" w:ascii="Times New Roman" w:hAnsi="Times New Roman" w:cs="Times New Roman"/>
                <w:color w:val="auto"/>
                <w:sz w:val="21"/>
                <w:szCs w:val="21"/>
                <w:highlight w:val="none"/>
              </w:rPr>
              <w:t>天</w:t>
            </w:r>
            <w:r>
              <w:rPr>
                <w:rFonts w:hint="default" w:ascii="Times New Roman" w:hAnsi="Times New Roman" w:cs="Times New Roman"/>
                <w:color w:val="auto"/>
                <w:sz w:val="21"/>
                <w:szCs w:val="21"/>
                <w:highlight w:val="none"/>
                <w:lang w:eastAsia="zh-CN"/>
              </w:rPr>
              <w:t>，每天</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班制，</w:t>
            </w:r>
            <w:r>
              <w:rPr>
                <w:rFonts w:hint="default" w:ascii="Times New Roman" w:hAnsi="Times New Roman" w:cs="Times New Roman"/>
                <w:color w:val="auto"/>
                <w:sz w:val="21"/>
                <w:szCs w:val="21"/>
                <w:highlight w:val="none"/>
              </w:rPr>
              <w:t>每</w:t>
            </w:r>
            <w:r>
              <w:rPr>
                <w:rFonts w:hint="default" w:ascii="Times New Roman" w:hAnsi="Times New Roman" w:cs="Times New Roman"/>
                <w:color w:val="auto"/>
                <w:sz w:val="21"/>
                <w:szCs w:val="21"/>
                <w:highlight w:val="none"/>
                <w:lang w:eastAsia="zh-CN"/>
              </w:rPr>
              <w:t>班</w:t>
            </w:r>
            <w:r>
              <w:rPr>
                <w:rFonts w:hint="default" w:ascii="Times New Roman" w:hAnsi="Times New Roman" w:cs="Times New Roman"/>
                <w:color w:val="auto"/>
                <w:sz w:val="21"/>
                <w:szCs w:val="21"/>
                <w:highlight w:val="none"/>
              </w:rPr>
              <w:t>8h。</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br w:type="textWrapp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0" w:hRule="atLeast"/>
          <w:jc w:val="center"/>
        </w:trPr>
        <w:tc>
          <w:tcPr>
            <w:tcW w:w="389" w:type="pct"/>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jc w:val="center"/>
              <w:textAlignment w:val="auto"/>
              <w:rPr>
                <w:rFonts w:hint="default" w:ascii="Times New Roman" w:hAnsi="Times New Roman" w:cs="Times New Roman"/>
                <w:color w:val="auto"/>
                <w:sz w:val="21"/>
                <w:szCs w:val="21"/>
                <w:highlight w:val="cyan"/>
              </w:rPr>
            </w:pPr>
            <w:r>
              <w:rPr>
                <w:rFonts w:hint="default" w:ascii="Times New Roman" w:hAnsi="Times New Roman" w:cs="Times New Roman"/>
                <w:color w:val="auto"/>
                <w:sz w:val="21"/>
                <w:szCs w:val="21"/>
                <w:highlight w:val="none"/>
              </w:rPr>
              <w:t>工艺流程和产排污环节</w:t>
            </w:r>
          </w:p>
        </w:tc>
        <w:tc>
          <w:tcPr>
            <w:tcW w:w="4610" w:type="pct"/>
            <w:noWrap w:val="0"/>
            <w:vAlign w:val="top"/>
          </w:tcPr>
          <w:p>
            <w:pPr>
              <w:keepNext w:val="0"/>
              <w:keepLines w:val="0"/>
              <w:pageBreakBefore w:val="0"/>
              <w:widowControl w:val="0"/>
              <w:numPr>
                <w:ilvl w:val="0"/>
                <w:numId w:val="9"/>
              </w:numPr>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工程工艺流程及产污环节</w:t>
            </w:r>
          </w:p>
          <w:p>
            <w:pPr>
              <w:pStyle w:val="28"/>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jc w:val="left"/>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eastAsia="宋体" w:cs="Times New Roman"/>
                <w:bCs/>
                <w:color w:val="auto"/>
                <w:kern w:val="0"/>
                <w:sz w:val="21"/>
                <w:szCs w:val="21"/>
                <w:highlight w:val="none"/>
                <w:lang w:eastAsia="zh-CN"/>
              </w:rPr>
              <w:t>本次技改工程</w:t>
            </w:r>
            <w:r>
              <w:rPr>
                <w:rFonts w:hint="default" w:ascii="Times New Roman" w:hAnsi="Times New Roman" w:eastAsia="宋体" w:cs="Times New Roman"/>
                <w:bCs/>
                <w:color w:val="auto"/>
                <w:kern w:val="0"/>
                <w:sz w:val="21"/>
                <w:szCs w:val="21"/>
                <w:highlight w:val="none"/>
                <w:lang w:eastAsia="zh-CN"/>
              </w:rPr>
              <w:t>工艺</w:t>
            </w:r>
            <w:r>
              <w:rPr>
                <w:rFonts w:hint="eastAsia" w:ascii="Times New Roman" w:eastAsia="宋体" w:cs="Times New Roman"/>
                <w:bCs/>
                <w:color w:val="auto"/>
                <w:kern w:val="0"/>
                <w:sz w:val="21"/>
                <w:szCs w:val="21"/>
                <w:highlight w:val="none"/>
                <w:lang w:eastAsia="zh-CN"/>
              </w:rPr>
              <w:t>流程及产污环节图如下</w:t>
            </w:r>
            <w:r>
              <w:rPr>
                <w:rFonts w:hint="default" w:ascii="Times New Roman" w:hAnsi="Times New Roman" w:eastAsia="宋体" w:cs="Times New Roman"/>
                <w:bCs/>
                <w:color w:val="auto"/>
                <w:kern w:val="0"/>
                <w:sz w:val="21"/>
                <w:szCs w:val="21"/>
                <w:highlight w:val="none"/>
                <w:lang w:eastAsia="zh-CN"/>
              </w:rPr>
              <w:t>：</w:t>
            </w:r>
          </w:p>
          <w:p>
            <w:pPr>
              <w:keepNext w:val="0"/>
              <w:keepLines w:val="0"/>
              <w:pageBreakBefore w:val="0"/>
              <w:widowControl w:val="0"/>
              <w:kinsoku/>
              <w:wordWrap/>
              <w:overflowPunct/>
              <w:topLinePunct w:val="0"/>
              <w:bidi w:val="0"/>
              <w:adjustRightInd/>
              <w:snapToGrid/>
              <w:spacing w:line="360" w:lineRule="auto"/>
              <w:jc w:val="center"/>
              <w:textAlignment w:val="auto"/>
              <w:rPr>
                <w:rFonts w:hint="default" w:ascii="Times New Roman" w:hAnsi="Times New Roman" w:cs="Times New Roman"/>
                <w:color w:val="auto"/>
                <w:highlight w:val="cyan"/>
                <w:lang w:eastAsia="zh-CN"/>
              </w:rPr>
            </w:pPr>
            <w:r>
              <w:rPr>
                <w:rFonts w:hint="default" w:ascii="Times New Roman" w:hAnsi="Times New Roman" w:cs="Times New Roman"/>
                <w:color w:val="auto"/>
                <w:sz w:val="21"/>
                <w:szCs w:val="21"/>
                <w:highlight w:val="none"/>
                <w:lang w:eastAsia="zh-CN"/>
              </w:rPr>
              <w:object>
                <v:shape id="_x0000_i1025" o:spt="75" type="#_x0000_t75" style="height:557.15pt;width:302.3pt;" o:ole="t" filled="f" o:preferrelative="t" stroked="f" coordsize="21600,21600">
                  <v:path/>
                  <v:fill on="f" focussize="0,0"/>
                  <v:stroke on="f"/>
                  <v:imagedata r:id="rId16" croptop="1279f" cropbottom="1279f" o:title=""/>
                  <o:lock v:ext="edit" aspectratio="t"/>
                  <w10:wrap type="none"/>
                  <w10:anchorlock/>
                </v:shape>
                <o:OLEObject Type="Embed" ProgID="Visio.Drawing.15" ShapeID="_x0000_i1025" DrawAspect="Content" ObjectID="_1468075725" r:id="rId15">
                  <o:LockedField>false</o:LockedField>
                </o:OLEObject>
              </w:object>
            </w:r>
          </w:p>
          <w:p>
            <w:pPr>
              <w:pStyle w:val="11"/>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工艺流程及产污环节图</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val="0"/>
                <w:color w:val="auto"/>
                <w:sz w:val="21"/>
                <w:szCs w:val="21"/>
                <w:highlight w:val="none"/>
                <w:lang w:eastAsia="zh-CN"/>
              </w:rPr>
            </w:pPr>
            <w:r>
              <w:rPr>
                <w:rFonts w:hint="default" w:ascii="Times New Roman" w:hAnsi="Times New Roman" w:eastAsia="宋体" w:cs="Times New Roman"/>
                <w:b/>
                <w:bCs w:val="0"/>
                <w:color w:val="auto"/>
                <w:kern w:val="0"/>
                <w:sz w:val="21"/>
                <w:szCs w:val="21"/>
                <w:highlight w:val="none"/>
                <w:lang w:eastAsia="zh-CN"/>
              </w:rPr>
              <w:t>本次技改</w:t>
            </w:r>
            <w:r>
              <w:rPr>
                <w:rFonts w:hint="eastAsia" w:ascii="Times New Roman" w:eastAsia="宋体" w:cs="Times New Roman"/>
                <w:b/>
                <w:bCs w:val="0"/>
                <w:color w:val="auto"/>
                <w:kern w:val="0"/>
                <w:sz w:val="21"/>
                <w:szCs w:val="21"/>
                <w:highlight w:val="none"/>
                <w:lang w:eastAsia="zh-CN"/>
              </w:rPr>
              <w:t>工程主要对现有下料、抛光、镀膜工序进行工艺及原料上改进，同时增加热弯、粗磨、精磨等高精度加工和异形加工工序，从而提高生产自动化水平、产品加工精度，进一步同时扩宽各产品市场适用范围。技改后各类产品加工工艺基本一致，主要包括下料、磨边（根据厚度需求）、热弯（仅曲面反射镜）、粗磨、精磨、抛光、清洗、镀膜、超声波清洗、检验等</w:t>
            </w:r>
            <w:r>
              <w:rPr>
                <w:rFonts w:hint="eastAsia" w:cs="Times New Roman"/>
                <w:b/>
                <w:bCs w:val="0"/>
                <w:color w:val="auto"/>
                <w:kern w:val="0"/>
                <w:sz w:val="21"/>
                <w:szCs w:val="21"/>
                <w:highlight w:val="none"/>
                <w:lang w:eastAsia="zh-CN"/>
              </w:rPr>
              <w:t>。其中工程</w:t>
            </w:r>
            <w:r>
              <w:rPr>
                <w:rFonts w:hint="eastAsia" w:cs="Times New Roman"/>
                <w:b/>
                <w:bCs w:val="0"/>
                <w:color w:val="auto"/>
                <w:sz w:val="21"/>
                <w:szCs w:val="21"/>
                <w:highlight w:val="none"/>
                <w:lang w:eastAsia="zh-CN"/>
              </w:rPr>
              <w:t>下料、磨边、精磨、粗磨等冷加工工序均为湿式加工方式，即冷加工过程中均通过各设备配套冲洗水系统对加工面不断使用水进行冲洗，主要目的是降低加工面因摩擦产生的高温使玻璃产品发生破裂，同时亦可抑制冷加工磨削过程产生的细小玻璃尘屑，防止其对车间工人安全造成影响。技改后工程各冷加工工序冲洗废水均</w:t>
            </w:r>
            <w:r>
              <w:rPr>
                <w:rFonts w:hint="default" w:ascii="Times New Roman" w:hAnsi="Times New Roman" w:cs="Times New Roman"/>
                <w:b/>
                <w:bCs w:val="0"/>
                <w:color w:val="auto"/>
                <w:sz w:val="21"/>
                <w:szCs w:val="21"/>
                <w:highlight w:val="none"/>
                <w:lang w:eastAsia="zh-CN"/>
              </w:rPr>
              <w:t>通过</w:t>
            </w:r>
            <w:r>
              <w:rPr>
                <w:rFonts w:hint="default" w:ascii="Times New Roman" w:hAnsi="Times New Roman" w:cs="Times New Roman"/>
                <w:b/>
                <w:bCs w:val="0"/>
                <w:snapToGrid w:val="0"/>
                <w:color w:val="auto"/>
                <w:kern w:val="0"/>
                <w:sz w:val="21"/>
                <w:szCs w:val="21"/>
                <w:highlight w:val="none"/>
                <w:lang w:eastAsia="zh-CN"/>
              </w:rPr>
              <w:t>设置沉淀池（72m</w:t>
            </w:r>
            <w:r>
              <w:rPr>
                <w:rFonts w:hint="default" w:ascii="Times New Roman" w:hAnsi="Times New Roman" w:cs="Times New Roman"/>
                <w:b/>
                <w:bCs w:val="0"/>
                <w:snapToGrid w:val="0"/>
                <w:color w:val="auto"/>
                <w:kern w:val="0"/>
                <w:sz w:val="21"/>
                <w:szCs w:val="21"/>
                <w:highlight w:val="none"/>
                <w:vertAlign w:val="superscript"/>
                <w:lang w:eastAsia="zh-CN"/>
              </w:rPr>
              <w:t>3</w:t>
            </w:r>
            <w:r>
              <w:rPr>
                <w:rFonts w:hint="default" w:ascii="Times New Roman" w:hAnsi="Times New Roman" w:cs="Times New Roman"/>
                <w:b/>
                <w:bCs w:val="0"/>
                <w:snapToGrid w:val="0"/>
                <w:color w:val="auto"/>
                <w:kern w:val="0"/>
                <w:sz w:val="21"/>
                <w:szCs w:val="21"/>
                <w:highlight w:val="none"/>
                <w:lang w:eastAsia="zh-CN"/>
              </w:rPr>
              <w:t>）处理后循环使用，沉淀池内废水每月定期排入混凝沉淀池（5m</w:t>
            </w:r>
            <w:r>
              <w:rPr>
                <w:rFonts w:hint="default" w:ascii="Times New Roman" w:hAnsi="Times New Roman" w:cs="Times New Roman"/>
                <w:b/>
                <w:bCs w:val="0"/>
                <w:snapToGrid w:val="0"/>
                <w:color w:val="auto"/>
                <w:kern w:val="0"/>
                <w:sz w:val="21"/>
                <w:szCs w:val="21"/>
                <w:highlight w:val="none"/>
                <w:vertAlign w:val="superscript"/>
                <w:lang w:eastAsia="zh-CN"/>
              </w:rPr>
              <w:t>3</w:t>
            </w:r>
            <w:r>
              <w:rPr>
                <w:rFonts w:hint="default" w:ascii="Times New Roman" w:hAnsi="Times New Roman" w:cs="Times New Roman"/>
                <w:b/>
                <w:bCs w:val="0"/>
                <w:snapToGrid w:val="0"/>
                <w:color w:val="auto"/>
                <w:kern w:val="0"/>
                <w:sz w:val="21"/>
                <w:szCs w:val="21"/>
                <w:highlight w:val="none"/>
                <w:lang w:eastAsia="zh-CN"/>
              </w:rPr>
              <w:t>）处理</w:t>
            </w:r>
            <w:r>
              <w:rPr>
                <w:rFonts w:hint="eastAsia" w:cs="Times New Roman"/>
                <w:b/>
                <w:bCs w:val="0"/>
                <w:color w:val="auto"/>
                <w:sz w:val="21"/>
                <w:szCs w:val="21"/>
                <w:highlight w:val="none"/>
                <w:lang w:eastAsia="zh-CN"/>
              </w:rPr>
              <w:t>。技改工程具体</w:t>
            </w:r>
            <w:r>
              <w:rPr>
                <w:rFonts w:hint="default" w:ascii="Times New Roman" w:hAnsi="Times New Roman" w:cs="Times New Roman"/>
                <w:b/>
                <w:bCs w:val="0"/>
                <w:color w:val="auto"/>
                <w:sz w:val="21"/>
                <w:szCs w:val="21"/>
                <w:highlight w:val="none"/>
                <w:lang w:eastAsia="zh-CN"/>
              </w:rPr>
              <w:t>工艺流程</w:t>
            </w:r>
            <w:r>
              <w:rPr>
                <w:rFonts w:hint="eastAsia" w:cs="Times New Roman"/>
                <w:b/>
                <w:bCs w:val="0"/>
                <w:color w:val="auto"/>
                <w:sz w:val="21"/>
                <w:szCs w:val="21"/>
                <w:highlight w:val="none"/>
                <w:lang w:eastAsia="zh-CN"/>
              </w:rPr>
              <w:t>叙述如下</w:t>
            </w:r>
            <w:r>
              <w:rPr>
                <w:rFonts w:hint="default" w:ascii="Times New Roman" w:hAnsi="Times New Roman" w:cs="Times New Roman"/>
                <w:b/>
                <w:bCs w:val="0"/>
                <w:color w:val="auto"/>
                <w:sz w:val="21"/>
                <w:szCs w:val="21"/>
                <w:highlight w:val="none"/>
                <w:lang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right="0" w:firstLine="422" w:firstLineChars="200"/>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下料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eastAsia="zh-CN"/>
              </w:rPr>
              <w:t>使用内圆切割机按照设计尺寸进行切割下料。内圆切割机采用金刚砂轮切割，在切割过程不断使用自来水对切割面进行冲洗</w:t>
            </w:r>
            <w:r>
              <w:rPr>
                <w:rFonts w:hint="eastAsia" w:cs="Times New Roman"/>
                <w:b w:val="0"/>
                <w:bCs w:val="0"/>
                <w:color w:val="auto"/>
                <w:sz w:val="21"/>
                <w:szCs w:val="21"/>
                <w:highlight w:val="none"/>
                <w:lang w:eastAsia="zh-CN"/>
              </w:rPr>
              <w:t>降温</w:t>
            </w:r>
            <w:r>
              <w:rPr>
                <w:rFonts w:hint="default" w:ascii="Times New Roman" w:hAnsi="Times New Roman" w:cs="Times New Roman"/>
                <w:b w:val="0"/>
                <w:bCs w:val="0"/>
                <w:color w:val="auto"/>
                <w:sz w:val="21"/>
                <w:szCs w:val="21"/>
                <w:highlight w:val="none"/>
                <w:lang w:eastAsia="zh-CN"/>
              </w:rPr>
              <w:t>，因此该过程切割产生的玻璃尘屑均进入冲洗水中，不会有粉尘排放。内圆切割机冲洗水系统流量为</w:t>
            </w:r>
            <w:r>
              <w:rPr>
                <w:rFonts w:hint="default" w:ascii="Times New Roman" w:hAnsi="Times New Roman" w:cs="Times New Roman"/>
                <w:b w:val="0"/>
                <w:bCs w:val="0"/>
                <w:color w:val="auto"/>
                <w:sz w:val="21"/>
                <w:szCs w:val="21"/>
                <w:highlight w:val="none"/>
                <w:lang w:val="en-US" w:eastAsia="zh-CN"/>
              </w:rPr>
              <w:t>2~3L/min，冲洗</w:t>
            </w:r>
            <w:r>
              <w:rPr>
                <w:rFonts w:hint="eastAsia" w:cs="Times New Roman"/>
                <w:b w:val="0"/>
                <w:bCs w:val="0"/>
                <w:color w:val="auto"/>
                <w:sz w:val="21"/>
                <w:szCs w:val="21"/>
                <w:highlight w:val="none"/>
                <w:lang w:val="en-US" w:eastAsia="zh-CN"/>
              </w:rPr>
              <w:t>产生废水经内圆机下方废水收集槽收集并通过滤网对玻璃残渣过滤后，废水排至车间外设置的沉淀池进行处理后循环使用，</w:t>
            </w:r>
            <w:r>
              <w:rPr>
                <w:rFonts w:hint="default" w:ascii="Times New Roman" w:hAnsi="Times New Roman" w:cs="Times New Roman"/>
                <w:b w:val="0"/>
                <w:bCs/>
                <w:snapToGrid w:val="0"/>
                <w:color w:val="auto"/>
                <w:kern w:val="0"/>
                <w:sz w:val="21"/>
                <w:szCs w:val="21"/>
                <w:highlight w:val="none"/>
                <w:lang w:eastAsia="zh-CN"/>
              </w:rPr>
              <w:t>沉淀池内废水每月定期排入混凝沉淀池处理</w:t>
            </w:r>
            <w:r>
              <w:rPr>
                <w:rFonts w:hint="eastAsia" w:cs="Times New Roman"/>
                <w:b w:val="0"/>
                <w:bCs w:val="0"/>
                <w:color w:val="auto"/>
                <w:sz w:val="21"/>
                <w:szCs w:val="21"/>
                <w:highlight w:val="none"/>
                <w:lang w:val="en-US" w:eastAsia="zh-CN"/>
              </w:rPr>
              <w:t>后，由</w:t>
            </w:r>
            <w:r>
              <w:rPr>
                <w:rFonts w:hint="default" w:ascii="Times New Roman" w:hAnsi="Times New Roman" w:cs="Times New Roman"/>
                <w:b w:val="0"/>
                <w:bCs w:val="0"/>
                <w:color w:val="auto"/>
                <w:sz w:val="21"/>
                <w:szCs w:val="21"/>
                <w:highlight w:val="none"/>
                <w:lang w:val="en-US" w:eastAsia="zh-CN"/>
              </w:rPr>
              <w:t>厂区总排口（DW001）排入区域污水管网。</w:t>
            </w:r>
            <w:r>
              <w:rPr>
                <w:rFonts w:hint="eastAsia" w:cs="Times New Roman"/>
                <w:b w:val="0"/>
                <w:bCs w:val="0"/>
                <w:color w:val="auto"/>
                <w:sz w:val="21"/>
                <w:szCs w:val="21"/>
                <w:highlight w:val="none"/>
                <w:lang w:val="en-US" w:eastAsia="zh-CN"/>
              </w:rPr>
              <w:t>该工序收集槽过滤的玻璃残渣采用容器收集后作为固废处理。</w:t>
            </w:r>
          </w:p>
          <w:p>
            <w:pPr>
              <w:pStyle w:val="11"/>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该工序产污环节为：下料过程产生的废水、</w:t>
            </w:r>
            <w:r>
              <w:rPr>
                <w:rFonts w:hint="eastAsia" w:cs="Times New Roman"/>
                <w:b w:val="0"/>
                <w:bCs w:val="0"/>
                <w:color w:val="auto"/>
                <w:sz w:val="21"/>
                <w:szCs w:val="21"/>
                <w:highlight w:val="none"/>
                <w:lang w:eastAsia="zh-CN"/>
              </w:rPr>
              <w:t>过滤残渣</w:t>
            </w:r>
            <w:r>
              <w:rPr>
                <w:rFonts w:hint="default" w:ascii="Times New Roman" w:hAnsi="Times New Roman" w:cs="Times New Roman"/>
                <w:b w:val="0"/>
                <w:bCs w:val="0"/>
                <w:color w:val="auto"/>
                <w:sz w:val="21"/>
                <w:szCs w:val="21"/>
                <w:highlight w:val="none"/>
                <w:lang w:eastAsia="zh-CN"/>
              </w:rPr>
              <w:t>和设备噪声。</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right="0" w:firstLine="422" w:firstLineChars="200"/>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磨边（根据需求）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eastAsia="zh-CN"/>
              </w:rPr>
              <w:t>部分</w:t>
            </w:r>
            <w:r>
              <w:rPr>
                <w:rFonts w:hint="default" w:ascii="Times New Roman" w:hAnsi="Times New Roman" w:cs="Times New Roman"/>
                <w:b w:val="0"/>
                <w:bCs w:val="0"/>
                <w:color w:val="auto"/>
                <w:sz w:val="21"/>
                <w:szCs w:val="21"/>
                <w:highlight w:val="none"/>
                <w:lang w:eastAsia="zh-CN"/>
              </w:rPr>
              <w:t>厚度较大的浮法玻璃在切割下料过程由于切割边缝不齐且粗糙，需使用磨边机进行磨边处理，以防止后续加工过程中固定不牢固而影响产品质量。磨边机采用金刚砂磨轮进行打磨，磨边</w:t>
            </w:r>
            <w:r>
              <w:rPr>
                <w:rFonts w:hint="eastAsia" w:cs="Times New Roman"/>
                <w:b w:val="0"/>
                <w:bCs w:val="0"/>
                <w:color w:val="auto"/>
                <w:sz w:val="21"/>
                <w:szCs w:val="21"/>
                <w:highlight w:val="none"/>
                <w:lang w:eastAsia="zh-CN"/>
              </w:rPr>
              <w:t>工序通过磨边机配套冲洗水系统</w:t>
            </w:r>
            <w:r>
              <w:rPr>
                <w:rFonts w:hint="default" w:ascii="Times New Roman" w:hAnsi="Times New Roman" w:cs="Times New Roman"/>
                <w:b w:val="0"/>
                <w:bCs w:val="0"/>
                <w:color w:val="auto"/>
                <w:sz w:val="21"/>
                <w:szCs w:val="21"/>
                <w:highlight w:val="none"/>
                <w:lang w:eastAsia="zh-CN"/>
              </w:rPr>
              <w:t>不断对打磨</w:t>
            </w:r>
            <w:r>
              <w:rPr>
                <w:rFonts w:hint="eastAsia" w:cs="Times New Roman"/>
                <w:b w:val="0"/>
                <w:bCs w:val="0"/>
                <w:color w:val="auto"/>
                <w:sz w:val="21"/>
                <w:szCs w:val="21"/>
                <w:highlight w:val="none"/>
                <w:lang w:eastAsia="zh-CN"/>
              </w:rPr>
              <w:t>面</w:t>
            </w:r>
            <w:r>
              <w:rPr>
                <w:rFonts w:hint="default" w:ascii="Times New Roman" w:hAnsi="Times New Roman" w:cs="Times New Roman"/>
                <w:b w:val="0"/>
                <w:bCs w:val="0"/>
                <w:color w:val="auto"/>
                <w:sz w:val="21"/>
                <w:szCs w:val="21"/>
                <w:highlight w:val="none"/>
                <w:lang w:eastAsia="zh-CN"/>
              </w:rPr>
              <w:t>进行冲洗</w:t>
            </w:r>
            <w:r>
              <w:rPr>
                <w:rFonts w:hint="eastAsia" w:cs="Times New Roman"/>
                <w:b w:val="0"/>
                <w:bCs w:val="0"/>
                <w:color w:val="auto"/>
                <w:sz w:val="21"/>
                <w:szCs w:val="21"/>
                <w:highlight w:val="none"/>
                <w:lang w:eastAsia="zh-CN"/>
              </w:rPr>
              <w:t>降温</w:t>
            </w:r>
            <w:r>
              <w:rPr>
                <w:rFonts w:hint="default" w:ascii="Times New Roman" w:hAnsi="Times New Roman" w:cs="Times New Roman"/>
                <w:b w:val="0"/>
                <w:bCs w:val="0"/>
                <w:color w:val="auto"/>
                <w:sz w:val="21"/>
                <w:szCs w:val="21"/>
                <w:highlight w:val="none"/>
                <w:lang w:eastAsia="zh-CN"/>
              </w:rPr>
              <w:t>，因此在磨边过程中产生的玻璃尘屑均进入冲洗冷却水中，</w:t>
            </w:r>
            <w:r>
              <w:rPr>
                <w:rFonts w:hint="eastAsia" w:cs="Times New Roman"/>
                <w:b w:val="0"/>
                <w:bCs w:val="0"/>
                <w:color w:val="auto"/>
                <w:sz w:val="21"/>
                <w:szCs w:val="21"/>
                <w:highlight w:val="none"/>
                <w:lang w:eastAsia="zh-CN"/>
              </w:rPr>
              <w:t>冲洗水系统冲洗流量为</w:t>
            </w:r>
            <w:r>
              <w:rPr>
                <w:rFonts w:hint="eastAsia" w:cs="Times New Roman"/>
                <w:b w:val="0"/>
                <w:bCs w:val="0"/>
                <w:color w:val="auto"/>
                <w:sz w:val="21"/>
                <w:szCs w:val="21"/>
                <w:highlight w:val="none"/>
                <w:lang w:val="en-US" w:eastAsia="zh-CN"/>
              </w:rPr>
              <w:t>2</w:t>
            </w:r>
            <w:r>
              <w:rPr>
                <w:rFonts w:hint="default" w:ascii="Times New Roman" w:hAnsi="Times New Roman"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3</w:t>
            </w:r>
            <w:r>
              <w:rPr>
                <w:rFonts w:hint="default" w:ascii="Times New Roman" w:hAnsi="Times New Roman" w:cs="Times New Roman"/>
                <w:b w:val="0"/>
                <w:bCs w:val="0"/>
                <w:color w:val="auto"/>
                <w:sz w:val="21"/>
                <w:szCs w:val="21"/>
                <w:highlight w:val="none"/>
                <w:lang w:val="en-US" w:eastAsia="zh-CN"/>
              </w:rPr>
              <w:t>L/min</w:t>
            </w:r>
            <w:r>
              <w:rPr>
                <w:rFonts w:hint="eastAsia"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冲洗</w:t>
            </w:r>
            <w:r>
              <w:rPr>
                <w:rFonts w:hint="eastAsia" w:cs="Times New Roman"/>
                <w:b w:val="0"/>
                <w:bCs w:val="0"/>
                <w:color w:val="auto"/>
                <w:sz w:val="21"/>
                <w:szCs w:val="21"/>
                <w:highlight w:val="none"/>
                <w:lang w:val="en-US" w:eastAsia="zh-CN"/>
              </w:rPr>
              <w:t>产生废水经磨边机下方废水收集槽收集并通过滤网对玻璃残渣过滤后，废水排至车间外设置的沉淀池进行处理后循环使用，</w:t>
            </w:r>
            <w:r>
              <w:rPr>
                <w:rFonts w:hint="default" w:ascii="Times New Roman" w:hAnsi="Times New Roman" w:cs="Times New Roman"/>
                <w:b w:val="0"/>
                <w:bCs/>
                <w:snapToGrid w:val="0"/>
                <w:color w:val="auto"/>
                <w:kern w:val="0"/>
                <w:sz w:val="21"/>
                <w:szCs w:val="21"/>
                <w:highlight w:val="none"/>
                <w:lang w:eastAsia="zh-CN"/>
              </w:rPr>
              <w:t>沉淀池内废水每月定期排入混凝沉淀池处理</w:t>
            </w:r>
            <w:r>
              <w:rPr>
                <w:rFonts w:hint="eastAsia" w:cs="Times New Roman"/>
                <w:b w:val="0"/>
                <w:bCs w:val="0"/>
                <w:color w:val="auto"/>
                <w:sz w:val="21"/>
                <w:szCs w:val="21"/>
                <w:highlight w:val="none"/>
                <w:lang w:val="en-US" w:eastAsia="zh-CN"/>
              </w:rPr>
              <w:t>后，由</w:t>
            </w:r>
            <w:r>
              <w:rPr>
                <w:rFonts w:hint="default" w:ascii="Times New Roman" w:hAnsi="Times New Roman" w:cs="Times New Roman"/>
                <w:b w:val="0"/>
                <w:bCs w:val="0"/>
                <w:color w:val="auto"/>
                <w:sz w:val="21"/>
                <w:szCs w:val="21"/>
                <w:highlight w:val="none"/>
                <w:lang w:val="en-US" w:eastAsia="zh-CN"/>
              </w:rPr>
              <w:t>厂区总排口（DW001）排入区域污水管网。</w:t>
            </w:r>
            <w:r>
              <w:rPr>
                <w:rFonts w:hint="eastAsia" w:cs="Times New Roman"/>
                <w:b w:val="0"/>
                <w:bCs w:val="0"/>
                <w:color w:val="auto"/>
                <w:sz w:val="21"/>
                <w:szCs w:val="21"/>
                <w:highlight w:val="none"/>
                <w:lang w:val="en-US" w:eastAsia="zh-CN"/>
              </w:rPr>
              <w:t>该工序收集槽过滤的玻璃残渣采用容器收集后作为固废处理。</w:t>
            </w:r>
          </w:p>
          <w:p>
            <w:pPr>
              <w:pStyle w:val="11"/>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该工序产污环节为：磨边过程产生的废水、</w:t>
            </w:r>
            <w:r>
              <w:rPr>
                <w:rFonts w:hint="eastAsia" w:cs="Times New Roman"/>
                <w:b w:val="0"/>
                <w:bCs w:val="0"/>
                <w:color w:val="auto"/>
                <w:sz w:val="21"/>
                <w:szCs w:val="21"/>
                <w:highlight w:val="none"/>
                <w:lang w:eastAsia="zh-CN"/>
              </w:rPr>
              <w:t>过滤残渣</w:t>
            </w:r>
            <w:r>
              <w:rPr>
                <w:rFonts w:hint="default" w:ascii="Times New Roman" w:hAnsi="Times New Roman" w:cs="Times New Roman"/>
                <w:b w:val="0"/>
                <w:bCs w:val="0"/>
                <w:color w:val="auto"/>
                <w:sz w:val="21"/>
                <w:szCs w:val="21"/>
                <w:highlight w:val="none"/>
                <w:lang w:eastAsia="zh-CN"/>
              </w:rPr>
              <w:t>和设备噪声</w:t>
            </w:r>
            <w:r>
              <w:rPr>
                <w:rFonts w:hint="default" w:ascii="Times New Roman" w:hAnsi="Times New Roman" w:cs="Times New Roman"/>
                <w:b w:val="0"/>
                <w:bCs w:val="0"/>
                <w:color w:val="auto"/>
                <w:sz w:val="21"/>
                <w:szCs w:val="21"/>
                <w:highlight w:val="none"/>
                <w:lang w:val="en-US" w:eastAsia="zh-CN"/>
              </w:rPr>
              <w:t>。</w:t>
            </w:r>
          </w:p>
          <w:p>
            <w:pPr>
              <w:pStyle w:val="11"/>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right="0" w:firstLine="422" w:firstLineChars="200"/>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热弯（仅曲面反射镜）</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eastAsia="zh-CN"/>
              </w:rPr>
              <w:t>主要用于制作曲面反射镜类产品，该工序均在间歇式热弯成型机中进行，首先将待加工工件放入热弯成型机中固定架上进行固定，之后通过热弯成型机对其进行缓慢加热使其逐渐软化达到可弯曲温度（约</w:t>
            </w:r>
            <w:r>
              <w:rPr>
                <w:rFonts w:hint="default" w:ascii="Times New Roman" w:hAnsi="Times New Roman" w:cs="Times New Roman"/>
                <w:b w:val="0"/>
                <w:bCs w:val="0"/>
                <w:color w:val="auto"/>
                <w:sz w:val="21"/>
                <w:szCs w:val="21"/>
                <w:highlight w:val="none"/>
                <w:lang w:val="en-US" w:eastAsia="zh-CN"/>
              </w:rPr>
              <w:t>500</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~600</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eastAsia="zh-CN"/>
              </w:rPr>
              <w:t>）后即停止加热，之后通过模具将其压制型一定曲率的曲面，该过程加热、压型所需时间共约</w:t>
            </w:r>
            <w:r>
              <w:rPr>
                <w:rFonts w:hint="default" w:ascii="Times New Roman" w:hAnsi="Times New Roman" w:cs="Times New Roman"/>
                <w:b w:val="0"/>
                <w:bCs w:val="0"/>
                <w:color w:val="auto"/>
                <w:sz w:val="21"/>
                <w:szCs w:val="21"/>
                <w:highlight w:val="none"/>
                <w:lang w:val="en-US" w:eastAsia="zh-CN"/>
              </w:rPr>
              <w:t>2h</w:t>
            </w:r>
            <w:r>
              <w:rPr>
                <w:rFonts w:hint="default" w:ascii="Times New Roman" w:hAnsi="Times New Roman" w:cs="Times New Roman"/>
                <w:b w:val="0"/>
                <w:bCs w:val="0"/>
                <w:color w:val="auto"/>
                <w:sz w:val="21"/>
                <w:szCs w:val="21"/>
                <w:highlight w:val="none"/>
                <w:lang w:eastAsia="zh-CN"/>
              </w:rPr>
              <w:t>。压制成型后通过热弯成型机控制加热温度成梯度降低逐渐降温直至约</w:t>
            </w:r>
            <w:r>
              <w:rPr>
                <w:rFonts w:hint="default" w:ascii="Times New Roman" w:hAnsi="Times New Roman" w:cs="Times New Roman"/>
                <w:b w:val="0"/>
                <w:bCs w:val="0"/>
                <w:color w:val="auto"/>
                <w:sz w:val="21"/>
                <w:szCs w:val="21"/>
                <w:highlight w:val="none"/>
                <w:lang w:val="en-US" w:eastAsia="zh-CN"/>
              </w:rPr>
              <w:t>30</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~40</w:t>
            </w:r>
            <w:r>
              <w:rPr>
                <w:rFonts w:hint="default" w:ascii="Times New Roman" w:hAnsi="Times New Roman" w:eastAsia="宋体" w:cs="Times New Roman"/>
                <w:b w:val="0"/>
                <w:bCs w:val="0"/>
                <w:color w:val="auto"/>
                <w:sz w:val="21"/>
                <w:szCs w:val="21"/>
                <w:highlight w:val="none"/>
                <w:lang w:val="en-US" w:eastAsia="zh-CN"/>
              </w:rPr>
              <w:t>℃后即完成热弯工序，</w:t>
            </w:r>
            <w:r>
              <w:rPr>
                <w:rFonts w:hint="default" w:ascii="Times New Roman" w:hAnsi="Times New Roman" w:cs="Times New Roman"/>
                <w:b w:val="0"/>
                <w:bCs w:val="0"/>
                <w:color w:val="auto"/>
                <w:sz w:val="21"/>
                <w:szCs w:val="21"/>
                <w:highlight w:val="none"/>
                <w:lang w:val="en-US" w:eastAsia="zh-CN"/>
              </w:rPr>
              <w:t>降温</w:t>
            </w:r>
            <w:r>
              <w:rPr>
                <w:rFonts w:hint="default" w:ascii="Times New Roman" w:hAnsi="Times New Roman" w:eastAsia="宋体" w:cs="Times New Roman"/>
                <w:b w:val="0"/>
                <w:bCs w:val="0"/>
                <w:color w:val="auto"/>
                <w:sz w:val="21"/>
                <w:szCs w:val="21"/>
                <w:highlight w:val="none"/>
                <w:lang w:val="en-US" w:eastAsia="zh-CN"/>
              </w:rPr>
              <w:t>工序约</w:t>
            </w:r>
            <w:r>
              <w:rPr>
                <w:rFonts w:hint="default" w:ascii="Times New Roman" w:hAnsi="Times New Roman"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lang w:val="en-US" w:eastAsia="zh-CN"/>
              </w:rPr>
              <w:t>h</w:t>
            </w:r>
            <w:r>
              <w:rPr>
                <w:rFonts w:hint="default" w:ascii="Times New Roman" w:hAnsi="Times New Roman" w:cs="Times New Roman"/>
                <w:b w:val="0"/>
                <w:bCs w:val="0"/>
                <w:color w:val="auto"/>
                <w:sz w:val="21"/>
                <w:szCs w:val="21"/>
                <w:highlight w:val="none"/>
                <w:lang w:eastAsia="zh-CN"/>
              </w:rPr>
              <w:t>。热弯成型机加热方式通过热弯成型机外壁布置的电阻丝间接对热弯成型机内空气进行加热，并对热弯成型机内产品进行间接加热</w:t>
            </w:r>
            <w:r>
              <w:rPr>
                <w:rFonts w:hint="default" w:ascii="Times New Roman" w:hAnsi="Times New Roman" w:eastAsia="宋体" w:cs="Times New Roman"/>
                <w:b w:val="0"/>
                <w:bCs w:val="0"/>
                <w:color w:val="auto"/>
                <w:sz w:val="21"/>
                <w:szCs w:val="21"/>
                <w:highlight w:val="none"/>
                <w:lang w:val="en-US"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right="0" w:firstLine="422" w:firstLineChars="200"/>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粗磨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eastAsia="zh-CN"/>
              </w:rPr>
              <w:t>首先将待加工工件于磨砂机上进行固定，之后</w:t>
            </w:r>
            <w:r>
              <w:rPr>
                <w:rFonts w:hint="default" w:ascii="Times New Roman" w:hAnsi="Times New Roman" w:cs="Times New Roman"/>
                <w:b w:val="0"/>
                <w:bCs w:val="0"/>
                <w:color w:val="auto"/>
                <w:sz w:val="21"/>
                <w:szCs w:val="21"/>
                <w:highlight w:val="none"/>
                <w:lang w:val="en-US" w:eastAsia="zh-CN"/>
              </w:rPr>
              <w:t>人工将湿金刚砂均匀涂抹在待加工工件表面上（该过程所用金刚砂均在金刚砂槽中水封储存），然后开启磨砂机，通过磨砂机上磨具</w:t>
            </w:r>
            <w:r>
              <w:rPr>
                <w:rFonts w:hint="default" w:ascii="Times New Roman" w:hAnsi="Times New Roman" w:cs="Times New Roman"/>
                <w:b w:val="0"/>
                <w:bCs w:val="0"/>
                <w:color w:val="auto"/>
                <w:sz w:val="21"/>
                <w:szCs w:val="21"/>
                <w:highlight w:val="none"/>
                <w:lang w:eastAsia="zh-CN"/>
              </w:rPr>
              <w:t>对待加工件表面进行研磨，加工完成后使用自来水将待加工件表面金刚砂冲洗后进行后续加工</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eastAsia="zh-CN"/>
              </w:rPr>
              <w:t>粗磨目的是去除毛坯的大部分余量，从而提高磨削效率，减少磨具的磨损，粗磨后所达到的效果要产品达到大致的几何形状与粗糙度。</w:t>
            </w:r>
            <w:r>
              <w:rPr>
                <w:rFonts w:hint="default" w:ascii="Times New Roman" w:hAnsi="Times New Roman" w:cs="Times New Roman"/>
                <w:b w:val="0"/>
                <w:bCs w:val="0"/>
                <w:color w:val="auto"/>
                <w:sz w:val="21"/>
                <w:szCs w:val="21"/>
                <w:highlight w:val="none"/>
                <w:lang w:val="en-US" w:eastAsia="zh-CN"/>
              </w:rPr>
              <w:t>工程粗磨过程磨具转速较慢（约30转/min），且粗磨过程削磨下的玻璃颗粒均混入湿金刚砂中，因此该过程不会有粉尘排放。粗磨结束后使用自来水将工件表面金刚砂冲洗</w:t>
            </w:r>
            <w:r>
              <w:rPr>
                <w:rFonts w:hint="eastAsia" w:cs="Times New Roman"/>
                <w:b w:val="0"/>
                <w:bCs w:val="0"/>
                <w:color w:val="auto"/>
                <w:sz w:val="21"/>
                <w:szCs w:val="21"/>
                <w:highlight w:val="none"/>
                <w:lang w:val="en-US" w:eastAsia="zh-CN"/>
              </w:rPr>
              <w:t>，冲下的金刚砂经磨砂机下方设置集水槽收集，并通过过滤网对冲洗水中金刚砂进行过滤，过滤出的金刚砂</w:t>
            </w:r>
            <w:r>
              <w:rPr>
                <w:rFonts w:hint="default" w:ascii="Times New Roman" w:hAnsi="Times New Roman" w:cs="Times New Roman"/>
                <w:b w:val="0"/>
                <w:bCs w:val="0"/>
                <w:color w:val="auto"/>
                <w:sz w:val="21"/>
                <w:szCs w:val="21"/>
                <w:highlight w:val="none"/>
                <w:lang w:val="en-US" w:eastAsia="zh-CN"/>
              </w:rPr>
              <w:t>循环使用</w:t>
            </w:r>
            <w:r>
              <w:rPr>
                <w:rFonts w:hint="eastAsia" w:cs="Times New Roman"/>
                <w:b w:val="0"/>
                <w:bCs w:val="0"/>
                <w:color w:val="auto"/>
                <w:sz w:val="21"/>
                <w:szCs w:val="21"/>
                <w:highlight w:val="none"/>
                <w:lang w:val="en-US" w:eastAsia="zh-CN"/>
              </w:rPr>
              <w:t>（长期使用因磨损情况会降低粗磨质量，约每3月定期全部更换），过滤后废水排至车间外设置的沉淀池进行处理后循环使用，</w:t>
            </w:r>
            <w:r>
              <w:rPr>
                <w:rFonts w:hint="default" w:ascii="Times New Roman" w:hAnsi="Times New Roman" w:cs="Times New Roman"/>
                <w:b w:val="0"/>
                <w:bCs/>
                <w:snapToGrid w:val="0"/>
                <w:color w:val="auto"/>
                <w:kern w:val="0"/>
                <w:sz w:val="21"/>
                <w:szCs w:val="21"/>
                <w:highlight w:val="none"/>
                <w:lang w:eastAsia="zh-CN"/>
              </w:rPr>
              <w:t>沉淀池内废水每月定期排入混凝沉淀池处理</w:t>
            </w:r>
            <w:r>
              <w:rPr>
                <w:rFonts w:hint="eastAsia" w:cs="Times New Roman"/>
                <w:b w:val="0"/>
                <w:bCs w:val="0"/>
                <w:color w:val="auto"/>
                <w:sz w:val="21"/>
                <w:szCs w:val="21"/>
                <w:highlight w:val="none"/>
                <w:lang w:val="en-US" w:eastAsia="zh-CN"/>
              </w:rPr>
              <w:t>后，由</w:t>
            </w:r>
            <w:r>
              <w:rPr>
                <w:rFonts w:hint="default" w:ascii="Times New Roman" w:hAnsi="Times New Roman" w:cs="Times New Roman"/>
                <w:b w:val="0"/>
                <w:bCs w:val="0"/>
                <w:color w:val="auto"/>
                <w:sz w:val="21"/>
                <w:szCs w:val="21"/>
                <w:highlight w:val="none"/>
                <w:lang w:val="en-US" w:eastAsia="zh-CN"/>
              </w:rPr>
              <w:t>厂区总排口（DW001）排入区域污水管网。</w:t>
            </w:r>
          </w:p>
          <w:p>
            <w:pPr>
              <w:pStyle w:val="11"/>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该工序产污环节为：粗磨过程产生的冲洗废水、</w:t>
            </w:r>
            <w:r>
              <w:rPr>
                <w:rFonts w:hint="eastAsia" w:cs="Times New Roman"/>
                <w:b w:val="0"/>
                <w:bCs w:val="0"/>
                <w:color w:val="auto"/>
                <w:sz w:val="21"/>
                <w:szCs w:val="21"/>
                <w:highlight w:val="none"/>
                <w:lang w:eastAsia="zh-CN"/>
              </w:rPr>
              <w:t>更换的废金刚砂</w:t>
            </w:r>
            <w:r>
              <w:rPr>
                <w:rFonts w:hint="default" w:ascii="Times New Roman" w:hAnsi="Times New Roman" w:cs="Times New Roman"/>
                <w:b w:val="0"/>
                <w:bCs w:val="0"/>
                <w:color w:val="auto"/>
                <w:sz w:val="21"/>
                <w:szCs w:val="21"/>
                <w:highlight w:val="none"/>
                <w:lang w:eastAsia="zh-CN"/>
              </w:rPr>
              <w:t>和设备噪声。</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right="0" w:firstLine="422" w:firstLineChars="200"/>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精磨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eastAsia="zh-CN"/>
              </w:rPr>
              <w:t>使用灯杯数控机对粗磨后产品进行进一步精磨处理，精磨是发生在粗磨的基础上，又是为抛光前准备的一步，最终达到能够保持最精确的几何形状以及精细的裂纹深度。精磨加工方式同粗磨相同均采用研磨方式，不同之处在于精磨所用金刚砂细度更小，磨具转速更为缓慢（约</w:t>
            </w:r>
            <w:r>
              <w:rPr>
                <w:rFonts w:hint="default" w:ascii="Times New Roman" w:hAnsi="Times New Roman" w:cs="Times New Roman"/>
                <w:b w:val="0"/>
                <w:bCs w:val="0"/>
                <w:color w:val="auto"/>
                <w:sz w:val="21"/>
                <w:szCs w:val="21"/>
                <w:highlight w:val="none"/>
                <w:lang w:val="en-US" w:eastAsia="zh-CN"/>
              </w:rPr>
              <w:t>20转/min</w:t>
            </w:r>
            <w:r>
              <w:rPr>
                <w:rFonts w:hint="default" w:ascii="Times New Roman" w:hAnsi="Times New Roman" w:cs="Times New Roman"/>
                <w:b w:val="0"/>
                <w:bCs w:val="0"/>
                <w:color w:val="auto"/>
                <w:sz w:val="21"/>
                <w:szCs w:val="21"/>
                <w:highlight w:val="none"/>
                <w:lang w:eastAsia="zh-CN"/>
              </w:rPr>
              <w:t>），同时模具研磨过程施加力度控制更为精准。</w:t>
            </w:r>
            <w:r>
              <w:rPr>
                <w:rFonts w:hint="eastAsia" w:cs="Times New Roman"/>
                <w:b w:val="0"/>
                <w:bCs w:val="0"/>
                <w:color w:val="auto"/>
                <w:sz w:val="21"/>
                <w:szCs w:val="21"/>
                <w:highlight w:val="none"/>
                <w:lang w:val="en-US" w:eastAsia="zh-CN"/>
              </w:rPr>
              <w:t>精磨</w:t>
            </w:r>
            <w:r>
              <w:rPr>
                <w:rFonts w:hint="default" w:ascii="Times New Roman" w:hAnsi="Times New Roman" w:cs="Times New Roman"/>
                <w:b w:val="0"/>
                <w:bCs w:val="0"/>
                <w:color w:val="auto"/>
                <w:sz w:val="21"/>
                <w:szCs w:val="21"/>
                <w:highlight w:val="none"/>
                <w:lang w:val="en-US" w:eastAsia="zh-CN"/>
              </w:rPr>
              <w:t>结束后使用自来水将工件表面金刚砂冲洗</w:t>
            </w:r>
            <w:r>
              <w:rPr>
                <w:rFonts w:hint="eastAsia" w:cs="Times New Roman"/>
                <w:b w:val="0"/>
                <w:bCs w:val="0"/>
                <w:color w:val="auto"/>
                <w:sz w:val="21"/>
                <w:szCs w:val="21"/>
                <w:highlight w:val="none"/>
                <w:lang w:val="en-US" w:eastAsia="zh-CN"/>
              </w:rPr>
              <w:t>，冲下的金刚砂经磨砂机下方设置集水槽收集，并通过过滤网对冲洗水中金刚砂进行过滤，过滤出的金刚砂</w:t>
            </w:r>
            <w:r>
              <w:rPr>
                <w:rFonts w:hint="default" w:ascii="Times New Roman" w:hAnsi="Times New Roman" w:cs="Times New Roman"/>
                <w:b w:val="0"/>
                <w:bCs w:val="0"/>
                <w:color w:val="auto"/>
                <w:sz w:val="21"/>
                <w:szCs w:val="21"/>
                <w:highlight w:val="none"/>
                <w:lang w:val="en-US" w:eastAsia="zh-CN"/>
              </w:rPr>
              <w:t>循环使用</w:t>
            </w:r>
            <w:r>
              <w:rPr>
                <w:rFonts w:hint="eastAsia" w:cs="Times New Roman"/>
                <w:b w:val="0"/>
                <w:bCs w:val="0"/>
                <w:color w:val="auto"/>
                <w:sz w:val="21"/>
                <w:szCs w:val="21"/>
                <w:highlight w:val="none"/>
                <w:lang w:val="en-US" w:eastAsia="zh-CN"/>
              </w:rPr>
              <w:t>（长期使用因磨损情况会降低粗磨质量，约每3月定期全部更换），</w:t>
            </w:r>
            <w:r>
              <w:rPr>
                <w:rFonts w:hint="default" w:ascii="Times New Roman" w:hAnsi="Times New Roman" w:cs="Times New Roman"/>
                <w:b w:val="0"/>
                <w:bCs w:val="0"/>
                <w:color w:val="auto"/>
                <w:sz w:val="21"/>
                <w:szCs w:val="21"/>
                <w:highlight w:val="none"/>
                <w:lang w:val="en-US" w:eastAsia="zh-CN"/>
              </w:rPr>
              <w:t>过滤</w:t>
            </w:r>
            <w:r>
              <w:rPr>
                <w:rFonts w:hint="eastAsia" w:cs="Times New Roman"/>
                <w:b w:val="0"/>
                <w:bCs w:val="0"/>
                <w:color w:val="auto"/>
                <w:sz w:val="21"/>
                <w:szCs w:val="21"/>
                <w:highlight w:val="none"/>
                <w:lang w:val="en-US" w:eastAsia="zh-CN"/>
              </w:rPr>
              <w:t>后</w:t>
            </w:r>
            <w:r>
              <w:rPr>
                <w:rFonts w:hint="default" w:ascii="Times New Roman" w:hAnsi="Times New Roman" w:cs="Times New Roman"/>
                <w:b w:val="0"/>
                <w:bCs w:val="0"/>
                <w:color w:val="auto"/>
                <w:sz w:val="21"/>
                <w:szCs w:val="21"/>
                <w:highlight w:val="none"/>
                <w:lang w:val="en-US" w:eastAsia="zh-CN"/>
              </w:rPr>
              <w:t>废水</w:t>
            </w:r>
            <w:r>
              <w:rPr>
                <w:rFonts w:hint="eastAsia" w:cs="Times New Roman"/>
                <w:b w:val="0"/>
                <w:bCs w:val="0"/>
                <w:color w:val="auto"/>
                <w:sz w:val="21"/>
                <w:szCs w:val="21"/>
                <w:highlight w:val="none"/>
                <w:lang w:val="en-US" w:eastAsia="zh-CN"/>
              </w:rPr>
              <w:t>排至车间外设置的沉淀池进行处理后循环使用，</w:t>
            </w:r>
            <w:r>
              <w:rPr>
                <w:rFonts w:hint="default" w:ascii="Times New Roman" w:hAnsi="Times New Roman" w:cs="Times New Roman"/>
                <w:b w:val="0"/>
                <w:bCs/>
                <w:snapToGrid w:val="0"/>
                <w:color w:val="auto"/>
                <w:kern w:val="0"/>
                <w:sz w:val="21"/>
                <w:szCs w:val="21"/>
                <w:highlight w:val="none"/>
                <w:lang w:eastAsia="zh-CN"/>
              </w:rPr>
              <w:t>沉淀池内废水每月定期排入混凝沉淀池处理</w:t>
            </w:r>
            <w:r>
              <w:rPr>
                <w:rFonts w:hint="eastAsia" w:cs="Times New Roman"/>
                <w:b w:val="0"/>
                <w:bCs w:val="0"/>
                <w:color w:val="auto"/>
                <w:sz w:val="21"/>
                <w:szCs w:val="21"/>
                <w:highlight w:val="none"/>
                <w:lang w:val="en-US" w:eastAsia="zh-CN"/>
              </w:rPr>
              <w:t>后，由</w:t>
            </w:r>
            <w:r>
              <w:rPr>
                <w:rFonts w:hint="default" w:ascii="Times New Roman" w:hAnsi="Times New Roman" w:cs="Times New Roman"/>
                <w:b w:val="0"/>
                <w:bCs w:val="0"/>
                <w:color w:val="auto"/>
                <w:sz w:val="21"/>
                <w:szCs w:val="21"/>
                <w:highlight w:val="none"/>
                <w:lang w:val="en-US" w:eastAsia="zh-CN"/>
              </w:rPr>
              <w:t>厂区总排口（DW001）排入区域污水管网。</w:t>
            </w:r>
          </w:p>
          <w:p>
            <w:pPr>
              <w:pStyle w:val="11"/>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该工序产污环节为：精磨过程产生的冲洗废水、</w:t>
            </w:r>
            <w:r>
              <w:rPr>
                <w:rFonts w:hint="eastAsia" w:cs="Times New Roman"/>
                <w:b w:val="0"/>
                <w:bCs w:val="0"/>
                <w:color w:val="auto"/>
                <w:sz w:val="21"/>
                <w:szCs w:val="21"/>
                <w:highlight w:val="none"/>
                <w:lang w:eastAsia="zh-CN"/>
              </w:rPr>
              <w:t>更换的废金刚砂</w:t>
            </w:r>
            <w:r>
              <w:rPr>
                <w:rFonts w:hint="default" w:ascii="Times New Roman" w:hAnsi="Times New Roman" w:cs="Times New Roman"/>
                <w:b w:val="0"/>
                <w:bCs w:val="0"/>
                <w:color w:val="auto"/>
                <w:sz w:val="21"/>
                <w:szCs w:val="21"/>
                <w:highlight w:val="none"/>
                <w:lang w:eastAsia="zh-CN"/>
              </w:rPr>
              <w:t>和设备噪声。</w:t>
            </w:r>
          </w:p>
          <w:p>
            <w:pPr>
              <w:pStyle w:val="11"/>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right="0" w:firstLine="422" w:firstLineChars="200"/>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抛光</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textAlignment w:val="auto"/>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将精磨后产品根据产品种类不同分别采用抛光机、环抛机、灯杯抛光机等对产品表面进行抛光处理，使得产品获得光亮、平整表面。</w:t>
            </w:r>
            <w:r>
              <w:rPr>
                <w:rFonts w:hint="eastAsia" w:cs="Times New Roman"/>
                <w:b w:val="0"/>
                <w:bCs w:val="0"/>
                <w:color w:val="auto"/>
                <w:sz w:val="21"/>
                <w:szCs w:val="21"/>
                <w:highlight w:val="none"/>
                <w:lang w:eastAsia="zh-CN"/>
              </w:rPr>
              <w:t>本项目抛光均采用物理抛光方法，其</w:t>
            </w:r>
            <w:r>
              <w:rPr>
                <w:rFonts w:hint="default" w:ascii="Times New Roman" w:hAnsi="Times New Roman" w:cs="Times New Roman"/>
                <w:b w:val="0"/>
                <w:bCs w:val="0"/>
                <w:color w:val="auto"/>
                <w:sz w:val="21"/>
                <w:szCs w:val="21"/>
                <w:highlight w:val="none"/>
                <w:lang w:eastAsia="zh-CN"/>
              </w:rPr>
              <w:t>抛光</w:t>
            </w:r>
            <w:r>
              <w:rPr>
                <w:rFonts w:hint="eastAsia" w:cs="Times New Roman"/>
                <w:b w:val="0"/>
                <w:bCs w:val="0"/>
                <w:color w:val="auto"/>
                <w:sz w:val="21"/>
                <w:szCs w:val="21"/>
                <w:highlight w:val="none"/>
                <w:lang w:eastAsia="zh-CN"/>
              </w:rPr>
              <w:t>原理是利用抛光粉中细小金属氧化物的高速摩擦，去除玻璃表面划痕、擦毛等，最大限度提高玻璃的透光性和折射效果。抛光过程首先将</w:t>
            </w:r>
            <w:r>
              <w:rPr>
                <w:rFonts w:hint="default" w:ascii="Times New Roman" w:hAnsi="Times New Roman" w:cs="Times New Roman"/>
                <w:b w:val="0"/>
                <w:bCs w:val="0"/>
                <w:color w:val="auto"/>
                <w:sz w:val="21"/>
                <w:szCs w:val="21"/>
                <w:highlight w:val="none"/>
                <w:lang w:eastAsia="zh-CN"/>
              </w:rPr>
              <w:t>抛光块</w:t>
            </w:r>
            <w:r>
              <w:rPr>
                <w:rFonts w:hint="eastAsia" w:cs="Times New Roman"/>
                <w:b w:val="0"/>
                <w:bCs w:val="0"/>
                <w:color w:val="auto"/>
                <w:sz w:val="21"/>
                <w:szCs w:val="21"/>
                <w:highlight w:val="none"/>
                <w:lang w:eastAsia="zh-CN"/>
              </w:rPr>
              <w:t>于抛光设备上固定通过抛光设备电机带动高速旋转，后开启</w:t>
            </w:r>
            <w:r>
              <w:rPr>
                <w:rFonts w:hint="default" w:ascii="Times New Roman" w:hAnsi="Times New Roman" w:cs="Times New Roman"/>
                <w:b w:val="0"/>
                <w:bCs w:val="0"/>
                <w:color w:val="auto"/>
                <w:sz w:val="21"/>
                <w:szCs w:val="21"/>
                <w:highlight w:val="none"/>
                <w:lang w:eastAsia="zh-CN"/>
              </w:rPr>
              <w:t>抛光液</w:t>
            </w:r>
            <w:r>
              <w:rPr>
                <w:rFonts w:hint="eastAsia" w:cs="Times New Roman"/>
                <w:b w:val="0"/>
                <w:bCs w:val="0"/>
                <w:color w:val="auto"/>
                <w:sz w:val="21"/>
                <w:szCs w:val="21"/>
                <w:highlight w:val="none"/>
                <w:lang w:eastAsia="zh-CN"/>
              </w:rPr>
              <w:t>冲洗系统不断将抛光液冲洗在待抛光工件表面，通过高速旋转的抛光块带动工件表面抛光液进行高速抛磨。</w:t>
            </w:r>
            <w:r>
              <w:rPr>
                <w:rFonts w:hint="default" w:ascii="Times New Roman" w:hAnsi="Times New Roman" w:cs="Times New Roman"/>
                <w:b w:val="0"/>
                <w:bCs w:val="0"/>
                <w:color w:val="auto"/>
                <w:sz w:val="21"/>
                <w:szCs w:val="21"/>
                <w:highlight w:val="none"/>
                <w:lang w:eastAsia="zh-CN"/>
              </w:rPr>
              <w:t>在抛光过程产生的玻璃粉尘均进入抛光液中，不会有粉尘废气排放。抛光液是将抛光粉（成分主要为氧化铈、氧化铝、氧化硅、氧化铁、氧化锆等）和纯水水按照1：5比例调配使用，抛光过程</w:t>
            </w:r>
            <w:r>
              <w:rPr>
                <w:rFonts w:hint="eastAsia" w:cs="Times New Roman"/>
                <w:b w:val="0"/>
                <w:bCs w:val="0"/>
                <w:color w:val="auto"/>
                <w:sz w:val="21"/>
                <w:szCs w:val="21"/>
                <w:highlight w:val="none"/>
                <w:lang w:eastAsia="zh-CN"/>
              </w:rPr>
              <w:t>在高速摩擦产生的</w:t>
            </w:r>
            <w:r>
              <w:rPr>
                <w:rFonts w:hint="default" w:ascii="Times New Roman" w:hAnsi="Times New Roman" w:cs="Times New Roman"/>
                <w:b w:val="0"/>
                <w:bCs w:val="0"/>
                <w:color w:val="auto"/>
                <w:sz w:val="21"/>
                <w:szCs w:val="21"/>
                <w:highlight w:val="none"/>
                <w:lang w:eastAsia="zh-CN"/>
              </w:rPr>
              <w:t>高温下，</w:t>
            </w:r>
            <w:r>
              <w:rPr>
                <w:rFonts w:hint="eastAsia" w:cs="Times New Roman"/>
                <w:b w:val="0"/>
                <w:bCs w:val="0"/>
                <w:color w:val="auto"/>
                <w:sz w:val="21"/>
                <w:szCs w:val="21"/>
                <w:highlight w:val="none"/>
                <w:lang w:eastAsia="zh-CN"/>
              </w:rPr>
              <w:t>会将</w:t>
            </w:r>
            <w:r>
              <w:rPr>
                <w:rFonts w:hint="default" w:ascii="Times New Roman" w:hAnsi="Times New Roman" w:cs="Times New Roman"/>
                <w:b w:val="0"/>
                <w:bCs w:val="0"/>
                <w:color w:val="auto"/>
                <w:sz w:val="21"/>
                <w:szCs w:val="21"/>
                <w:highlight w:val="none"/>
                <w:lang w:eastAsia="zh-CN"/>
              </w:rPr>
              <w:t>抛光液中水分约</w:t>
            </w:r>
            <w:r>
              <w:rPr>
                <w:rFonts w:hint="default" w:ascii="Times New Roman" w:hAnsi="Times New Roman" w:cs="Times New Roman"/>
                <w:b w:val="0"/>
                <w:bCs w:val="0"/>
                <w:color w:val="auto"/>
                <w:sz w:val="21"/>
                <w:szCs w:val="21"/>
                <w:highlight w:val="none"/>
                <w:lang w:val="en-US" w:eastAsia="zh-CN"/>
              </w:rPr>
              <w:t>20</w:t>
            </w:r>
            <w:r>
              <w:rPr>
                <w:rFonts w:hint="default" w:ascii="Times New Roman" w:hAnsi="Times New Roman" w:cs="Times New Roman"/>
                <w:b w:val="0"/>
                <w:bCs w:val="0"/>
                <w:color w:val="auto"/>
                <w:sz w:val="21"/>
                <w:szCs w:val="21"/>
                <w:highlight w:val="none"/>
                <w:lang w:eastAsia="zh-CN"/>
              </w:rPr>
              <w:t>%</w:t>
            </w:r>
            <w:r>
              <w:rPr>
                <w:rFonts w:hint="eastAsia" w:cs="Times New Roman"/>
                <w:b w:val="0"/>
                <w:bCs w:val="0"/>
                <w:color w:val="auto"/>
                <w:sz w:val="21"/>
                <w:szCs w:val="21"/>
                <w:highlight w:val="none"/>
                <w:lang w:eastAsia="zh-CN"/>
              </w:rPr>
              <w:t>蒸发</w:t>
            </w:r>
            <w:r>
              <w:rPr>
                <w:rFonts w:hint="default" w:ascii="Times New Roman" w:hAnsi="Times New Roman" w:cs="Times New Roman"/>
                <w:b w:val="0"/>
                <w:bCs w:val="0"/>
                <w:color w:val="auto"/>
                <w:sz w:val="21"/>
                <w:szCs w:val="21"/>
                <w:highlight w:val="none"/>
                <w:lang w:eastAsia="zh-CN"/>
              </w:rPr>
              <w:t>损耗，</w:t>
            </w:r>
            <w:r>
              <w:rPr>
                <w:rFonts w:hint="eastAsia" w:cs="Times New Roman"/>
                <w:b w:val="0"/>
                <w:bCs w:val="0"/>
                <w:color w:val="auto"/>
                <w:sz w:val="21"/>
                <w:szCs w:val="21"/>
                <w:highlight w:val="none"/>
                <w:lang w:eastAsia="zh-CN"/>
              </w:rPr>
              <w:t>其余</w:t>
            </w:r>
            <w:r>
              <w:rPr>
                <w:rFonts w:hint="default" w:ascii="Times New Roman" w:hAnsi="Times New Roman" w:cs="Times New Roman"/>
                <w:b w:val="0"/>
                <w:bCs w:val="0"/>
                <w:color w:val="auto"/>
                <w:sz w:val="21"/>
                <w:szCs w:val="21"/>
                <w:highlight w:val="none"/>
                <w:lang w:eastAsia="zh-CN"/>
              </w:rPr>
              <w:t>则抽入配套抛光液储罐（高0.35m，直径0.3m）中收集</w:t>
            </w:r>
            <w:r>
              <w:rPr>
                <w:rFonts w:hint="eastAsia" w:cs="Times New Roman"/>
                <w:b w:val="0"/>
                <w:bCs w:val="0"/>
                <w:color w:val="auto"/>
                <w:sz w:val="21"/>
                <w:szCs w:val="21"/>
                <w:highlight w:val="none"/>
                <w:lang w:eastAsia="zh-CN"/>
              </w:rPr>
              <w:t>后循环使用，工程所用抛光液定期进行过滤、消毒处理后重复使用</w:t>
            </w:r>
            <w:r>
              <w:rPr>
                <w:rFonts w:hint="default" w:ascii="Times New Roman" w:hAnsi="Times New Roman" w:cs="Times New Roman"/>
                <w:b w:val="0"/>
                <w:bCs w:val="0"/>
                <w:color w:val="auto"/>
                <w:sz w:val="21"/>
                <w:szCs w:val="21"/>
                <w:highlight w:val="none"/>
                <w:lang w:eastAsia="zh-CN"/>
              </w:rPr>
              <w:t>，</w:t>
            </w:r>
            <w:r>
              <w:rPr>
                <w:rFonts w:hint="eastAsia" w:cs="Times New Roman"/>
                <w:b w:val="0"/>
                <w:bCs w:val="0"/>
                <w:color w:val="auto"/>
                <w:sz w:val="21"/>
                <w:szCs w:val="21"/>
                <w:highlight w:val="none"/>
                <w:lang w:eastAsia="zh-CN"/>
              </w:rPr>
              <w:t>不外排，</w:t>
            </w:r>
            <w:r>
              <w:rPr>
                <w:rFonts w:hint="default" w:ascii="Times New Roman" w:hAnsi="Times New Roman" w:cs="Times New Roman"/>
                <w:b w:val="0"/>
                <w:bCs w:val="0"/>
                <w:color w:val="auto"/>
                <w:sz w:val="21"/>
                <w:szCs w:val="21"/>
                <w:highlight w:val="none"/>
                <w:lang w:eastAsia="zh-CN"/>
              </w:rPr>
              <w:t>每日根据损耗补充纯水或抛光粉</w:t>
            </w:r>
            <w:r>
              <w:rPr>
                <w:rFonts w:hint="eastAsia" w:cs="Times New Roman"/>
                <w:b w:val="0"/>
                <w:bCs w:val="0"/>
                <w:color w:val="auto"/>
                <w:sz w:val="21"/>
                <w:szCs w:val="21"/>
                <w:highlight w:val="none"/>
                <w:lang w:eastAsia="zh-CN"/>
              </w:rPr>
              <w:t>，过滤出的残渣经容器收集后作为固废处理</w:t>
            </w:r>
            <w:r>
              <w:rPr>
                <w:rFonts w:hint="default" w:ascii="Times New Roman" w:hAnsi="Times New Roman" w:cs="Times New Roman"/>
                <w:b w:val="0"/>
                <w:bCs w:val="0"/>
                <w:color w:val="auto"/>
                <w:sz w:val="21"/>
                <w:szCs w:val="21"/>
                <w:highlight w:val="none"/>
                <w:lang w:eastAsia="zh-CN"/>
              </w:rPr>
              <w:t>。</w:t>
            </w:r>
          </w:p>
          <w:p>
            <w:pPr>
              <w:pStyle w:val="11"/>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该工序产污环节为：</w:t>
            </w:r>
            <w:r>
              <w:rPr>
                <w:rFonts w:hint="default" w:ascii="Times New Roman" w:hAnsi="Times New Roman" w:cs="Times New Roman"/>
                <w:b w:val="0"/>
                <w:bCs w:val="0"/>
                <w:color w:val="auto"/>
                <w:sz w:val="21"/>
                <w:szCs w:val="21"/>
                <w:highlight w:val="none"/>
                <w:lang w:val="en-US" w:eastAsia="zh-CN"/>
              </w:rPr>
              <w:t>抛光过程</w:t>
            </w:r>
            <w:r>
              <w:rPr>
                <w:rFonts w:hint="eastAsia" w:cs="Times New Roman"/>
                <w:b w:val="0"/>
                <w:bCs w:val="0"/>
                <w:color w:val="auto"/>
                <w:sz w:val="21"/>
                <w:szCs w:val="21"/>
                <w:highlight w:val="none"/>
                <w:lang w:val="en-US" w:eastAsia="zh-CN"/>
              </w:rPr>
              <w:t>抛光液过滤残渣和设备</w:t>
            </w:r>
            <w:r>
              <w:rPr>
                <w:rFonts w:hint="default" w:ascii="Times New Roman" w:hAnsi="Times New Roman" w:cs="Times New Roman"/>
                <w:b w:val="0"/>
                <w:bCs w:val="0"/>
                <w:color w:val="auto"/>
                <w:sz w:val="21"/>
                <w:szCs w:val="21"/>
                <w:highlight w:val="none"/>
                <w:lang w:val="en-US" w:eastAsia="zh-CN"/>
              </w:rPr>
              <w:t>噪声。</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right="0" w:firstLine="422" w:firstLineChars="200"/>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清洗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eastAsia="zh-CN"/>
              </w:rPr>
              <w:t>镀膜之前主要使用纯水对原料表面进行冲洗，以保证镀膜前产品表面洁净度，对于部分难以清除污垢、手印等则使用无尘擦拭纸蘸取清洗液将污垢擦除后，再使用纯水进行冲洗后即可，冲洗产生的废水</w:t>
            </w:r>
            <w:r>
              <w:rPr>
                <w:rFonts w:hint="default" w:ascii="Times New Roman" w:hAnsi="Times New Roman" w:cs="Times New Roman"/>
                <w:b w:val="0"/>
                <w:bCs w:val="0"/>
                <w:color w:val="auto"/>
                <w:sz w:val="21"/>
                <w:szCs w:val="21"/>
                <w:highlight w:val="none"/>
                <w:lang w:val="en-US" w:eastAsia="zh-CN"/>
              </w:rPr>
              <w:t>经企业设置的“沉淀池+混凝沉淀池”处理后，经厂区总排口（DW001）排入区域污水管网。</w:t>
            </w:r>
          </w:p>
          <w:p>
            <w:pPr>
              <w:pStyle w:val="11"/>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该工序产污环节为：</w:t>
            </w:r>
            <w:r>
              <w:rPr>
                <w:rFonts w:hint="default" w:ascii="Times New Roman" w:hAnsi="Times New Roman" w:cs="Times New Roman"/>
                <w:b w:val="0"/>
                <w:bCs w:val="0"/>
                <w:color w:val="auto"/>
                <w:sz w:val="21"/>
                <w:szCs w:val="21"/>
                <w:highlight w:val="none"/>
                <w:lang w:val="en-US" w:eastAsia="zh-CN"/>
              </w:rPr>
              <w:t>纯水冲洗产生的废水，擦拭产生的废擦拭纸和混凝沉淀池沉渣。</w:t>
            </w:r>
          </w:p>
          <w:p>
            <w:pPr>
              <w:pStyle w:val="21"/>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left="0" w:leftChars="0" w:right="0" w:rightChars="0" w:firstLine="422" w:firstLineChars="200"/>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镀膜</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20" w:firstLineChars="200"/>
              <w:textAlignment w:val="auto"/>
              <w:rPr>
                <w:rFonts w:hint="eastAsia"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根据要求由镀膜工程师将镀膜程式输入镀膜机后，启动镀膜程式即开始自动镀膜。工程采用真空蒸发镀膜方式，真空蒸发镀是利用膜材加热装置的热能将膜材加热蒸发，并在真空条件下，使膜材原子靠热运动而逸出膜材表面，并沉积到基片表面上去的一种沉积技术。项目镀膜机膜材加热采用离子源栅网对盛放有镀膜材料的石英杯进行加热，从而间接对镀膜材料加热，后膜材加热蒸发通过热运动沉积在镀件表面。</w:t>
            </w:r>
            <w:r>
              <w:rPr>
                <w:rFonts w:hint="eastAsia" w:cs="Times New Roman"/>
                <w:b w:val="0"/>
                <w:bCs w:val="0"/>
                <w:color w:val="auto"/>
                <w:sz w:val="21"/>
                <w:szCs w:val="21"/>
                <w:highlight w:val="none"/>
                <w:lang w:val="en-US" w:eastAsia="zh-CN"/>
              </w:rPr>
              <w:t>镀膜过程中</w:t>
            </w:r>
            <w:r>
              <w:rPr>
                <w:rFonts w:hint="default" w:ascii="Times New Roman" w:hAnsi="Times New Roman" w:cs="Times New Roman"/>
                <w:b w:val="0"/>
                <w:bCs w:val="0"/>
                <w:color w:val="auto"/>
                <w:sz w:val="21"/>
                <w:szCs w:val="21"/>
                <w:highlight w:val="none"/>
                <w:lang w:val="en-US" w:eastAsia="zh-CN"/>
              </w:rPr>
              <w:t>膜材的加热温度根据材料的不同有所变化，一般加热温度为1000℃~1200℃之间，当达到设计的镀膜厚度时停止加热，真空镀膜过程中镀膜机内镀膜温度约100℃~150℃。</w:t>
            </w:r>
            <w:r>
              <w:rPr>
                <w:rFonts w:hint="eastAsia" w:cs="Times New Roman"/>
                <w:b w:val="0"/>
                <w:bCs w:val="0"/>
                <w:color w:val="auto"/>
                <w:sz w:val="21"/>
                <w:szCs w:val="21"/>
                <w:highlight w:val="none"/>
                <w:lang w:val="en-US" w:eastAsia="zh-CN"/>
              </w:rPr>
              <w:t>镀膜过程于封闭真空条件下进行，镀膜过程中不会有废气产生。</w:t>
            </w:r>
            <w:r>
              <w:rPr>
                <w:rFonts w:hint="default" w:ascii="Times New Roman" w:hAnsi="Times New Roman" w:cs="Times New Roman"/>
                <w:b w:val="0"/>
                <w:bCs w:val="0"/>
                <w:color w:val="auto"/>
                <w:sz w:val="21"/>
                <w:szCs w:val="21"/>
                <w:highlight w:val="none"/>
                <w:lang w:val="en-US" w:eastAsia="zh-CN"/>
              </w:rPr>
              <w:t>工程镀膜机内离子源筛网、石英杯等部件在长期镀膜过程会沉积一定量镀膜材料，需定期</w:t>
            </w:r>
            <w:r>
              <w:rPr>
                <w:rFonts w:hint="eastAsia" w:cs="Times New Roman"/>
                <w:b w:val="0"/>
                <w:bCs w:val="0"/>
                <w:color w:val="auto"/>
                <w:sz w:val="21"/>
                <w:szCs w:val="21"/>
                <w:highlight w:val="none"/>
                <w:lang w:val="en-US" w:eastAsia="zh-CN"/>
              </w:rPr>
              <w:t>（每年1次）</w:t>
            </w:r>
            <w:r>
              <w:rPr>
                <w:rFonts w:hint="default" w:ascii="Times New Roman" w:hAnsi="Times New Roman" w:cs="Times New Roman"/>
                <w:b w:val="0"/>
                <w:bCs w:val="0"/>
                <w:color w:val="auto"/>
                <w:sz w:val="21"/>
                <w:szCs w:val="21"/>
                <w:highlight w:val="none"/>
                <w:lang w:val="en-US" w:eastAsia="zh-CN"/>
              </w:rPr>
              <w:t>返回厂家进行保养清理。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lang w:val="en-US" w:eastAsia="zh-CN"/>
              </w:rPr>
            </w:pPr>
            <w:r>
              <w:rPr>
                <w:rFonts w:hint="default" w:ascii="Times New Roman" w:hAnsi="Times New Roman" w:cs="Times New Roman"/>
                <w:b w:val="0"/>
                <w:bCs w:val="0"/>
                <w:color w:val="auto"/>
                <w:sz w:val="21"/>
                <w:szCs w:val="21"/>
                <w:highlight w:val="none"/>
                <w:lang w:eastAsia="zh-CN"/>
              </w:rPr>
              <w:t>该工序产污环节为：</w:t>
            </w:r>
            <w:r>
              <w:rPr>
                <w:rFonts w:hint="eastAsia" w:cs="Times New Roman"/>
                <w:b w:val="0"/>
                <w:bCs w:val="0"/>
                <w:color w:val="auto"/>
                <w:sz w:val="21"/>
                <w:szCs w:val="21"/>
                <w:highlight w:val="none"/>
                <w:lang w:eastAsia="zh-CN"/>
              </w:rPr>
              <w:t>设备配套真空泵运行产生的噪声。</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right="0" w:firstLine="422" w:firstLineChars="200"/>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超声波清洗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将检验合格的产品使用超声波清洗机对镀膜后产品肯能残留的未形成稳定镀层的膜料、灰尘、手印等进行清洗，该过程所用清洗介质为纯水和清洗剂</w:t>
            </w:r>
            <w:r>
              <w:rPr>
                <w:rFonts w:hint="eastAsia" w:cs="Times New Roman"/>
                <w:b w:val="0"/>
                <w:bCs w:val="0"/>
                <w:color w:val="auto"/>
                <w:sz w:val="21"/>
                <w:szCs w:val="21"/>
                <w:highlight w:val="none"/>
                <w:lang w:val="en-US" w:eastAsia="zh-CN"/>
              </w:rPr>
              <w:t>按照49:1比例</w:t>
            </w:r>
            <w:r>
              <w:rPr>
                <w:rFonts w:hint="default" w:ascii="Times New Roman" w:hAnsi="Times New Roman" w:cs="Times New Roman"/>
                <w:b w:val="0"/>
                <w:bCs w:val="0"/>
                <w:color w:val="auto"/>
                <w:sz w:val="21"/>
                <w:szCs w:val="21"/>
                <w:highlight w:val="none"/>
                <w:lang w:val="en-US" w:eastAsia="zh-CN"/>
              </w:rPr>
              <w:t>调配后清洗液。超声波清洗机内清洗水每日定期更换，废水排入设置的“沉淀池+混凝沉淀池”处理后，经厂区总排口（DW001）排入区域污水管网。</w:t>
            </w:r>
          </w:p>
          <w:p>
            <w:pPr>
              <w:pStyle w:val="11"/>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该工序产污环节为：超声波清洗过程产生的清洗废水、噪声和</w:t>
            </w:r>
            <w:r>
              <w:rPr>
                <w:rFonts w:hint="default" w:ascii="Times New Roman" w:hAnsi="Times New Roman" w:cs="Times New Roman"/>
                <w:b w:val="0"/>
                <w:bCs w:val="0"/>
                <w:color w:val="auto"/>
                <w:sz w:val="21"/>
                <w:szCs w:val="21"/>
                <w:highlight w:val="none"/>
                <w:lang w:val="en-US" w:eastAsia="zh-CN"/>
              </w:rPr>
              <w:t>混凝沉淀池沉渣。</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right="0" w:rightChars="0" w:firstLine="422" w:firstLineChars="200"/>
              <w:jc w:val="left"/>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检验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left"/>
              <w:textAlignment w:val="auto"/>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检验包括人工目视检验和仪器检验，其中目视检验主要通过人工肉眼观察产品是否存在裂缝、瑕疵，目视合格产品则分别使用分光光度计、影像仪、高低温试验机等设备检验产品是否达到预期的功能要求。</w:t>
            </w:r>
          </w:p>
          <w:p>
            <w:pPr>
              <w:pStyle w:val="11"/>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eastAsia="zh-CN"/>
              </w:rPr>
              <w:t>该工序产污环节为：检验过程产生的不合格品。</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2、水平衡分析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工程用水包括生活用水和生产用水，本次技改工程由于无新增员工，因此无新增生活用水，生产用水方面由于技改后工程产品生产规模发生调整，因此</w:t>
            </w:r>
            <w:r>
              <w:rPr>
                <w:rFonts w:hint="eastAsia" w:cs="Times New Roman"/>
                <w:color w:val="auto"/>
                <w:highlight w:val="none"/>
                <w:lang w:val="en-US" w:eastAsia="zh-CN"/>
              </w:rPr>
              <w:t>生产过程中各用水工序的</w:t>
            </w:r>
            <w:r>
              <w:rPr>
                <w:rFonts w:hint="default" w:ascii="Times New Roman" w:hAnsi="Times New Roman" w:cs="Times New Roman"/>
                <w:color w:val="auto"/>
                <w:highlight w:val="none"/>
                <w:lang w:val="en-US" w:eastAsia="zh-CN"/>
              </w:rPr>
              <w:t>用水情况</w:t>
            </w:r>
            <w:r>
              <w:rPr>
                <w:rFonts w:hint="eastAsia" w:cs="Times New Roman"/>
                <w:color w:val="auto"/>
                <w:highlight w:val="none"/>
                <w:lang w:val="en-US" w:eastAsia="zh-CN"/>
              </w:rPr>
              <w:t>均</w:t>
            </w:r>
            <w:r>
              <w:rPr>
                <w:rFonts w:hint="default" w:ascii="Times New Roman" w:hAnsi="Times New Roman" w:cs="Times New Roman"/>
                <w:color w:val="auto"/>
                <w:highlight w:val="none"/>
                <w:lang w:val="en-US" w:eastAsia="zh-CN"/>
              </w:rPr>
              <w:t>发生改变，故本次评价对</w:t>
            </w:r>
            <w:r>
              <w:rPr>
                <w:rFonts w:hint="eastAsia" w:cs="Times New Roman"/>
                <w:color w:val="auto"/>
                <w:highlight w:val="none"/>
                <w:lang w:val="en-US" w:eastAsia="zh-CN"/>
              </w:rPr>
              <w:t>全厂</w:t>
            </w:r>
            <w:r>
              <w:rPr>
                <w:rFonts w:hint="default" w:ascii="Times New Roman" w:hAnsi="Times New Roman" w:cs="Times New Roman"/>
                <w:color w:val="auto"/>
                <w:highlight w:val="none"/>
                <w:lang w:val="en-US" w:eastAsia="zh-CN"/>
              </w:rPr>
              <w:t>用水</w:t>
            </w:r>
            <w:r>
              <w:rPr>
                <w:rFonts w:hint="eastAsia" w:cs="Times New Roman"/>
                <w:color w:val="auto"/>
                <w:highlight w:val="none"/>
                <w:lang w:val="en-US" w:eastAsia="zh-CN"/>
              </w:rPr>
              <w:t>情况</w:t>
            </w:r>
            <w:r>
              <w:rPr>
                <w:rFonts w:hint="default" w:ascii="Times New Roman" w:hAnsi="Times New Roman" w:cs="Times New Roman"/>
                <w:color w:val="auto"/>
                <w:highlight w:val="none"/>
                <w:lang w:val="en-US" w:eastAsia="zh-CN"/>
              </w:rPr>
              <w:t>进行重新核算，具体水平衡情况如下：</w:t>
            </w:r>
          </w:p>
          <w:p>
            <w:pPr>
              <w:pStyle w:val="21"/>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left="0" w:leftChars="0" w:firstLine="422" w:firstLineChars="200"/>
              <w:jc w:val="left"/>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技改工程水平衡图</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eastAsiaTheme="majorEastAsia"/>
                <w:b/>
                <w:bCs/>
                <w:color w:val="auto"/>
                <w:sz w:val="21"/>
                <w:szCs w:val="21"/>
                <w:highlight w:val="none"/>
                <w:lang w:eastAsia="zh-CN"/>
              </w:rPr>
              <w:object>
                <v:shape id="_x0000_i1026" o:spt="75" type="#_x0000_t75" style="height:407.5pt;width:387.9pt;" o:ole="t" filled="f" o:preferrelative="t" stroked="f" coordsize="21600,21600">
                  <v:path/>
                  <v:fill on="f" focussize="0,0"/>
                  <v:stroke on="f"/>
                  <v:imagedata r:id="rId18" cropleft="2324f" cropright="1205f" cropbottom="1157f" o:title=""/>
                  <o:lock v:ext="edit" aspectratio="t"/>
                  <w10:wrap type="none"/>
                  <w10:anchorlock/>
                </v:shape>
                <o:OLEObject Type="Embed" ProgID="Visio.Drawing.15" ShapeID="_x0000_i1026" DrawAspect="Content" ObjectID="_1468075726" r:id="rId17">
                  <o:LockedField>false</o:LockedField>
                </o:OLEObject>
              </w:object>
            </w:r>
          </w:p>
          <w:p>
            <w:pPr>
              <w:pStyle w:val="11"/>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本次技改工程水平衡图（单位：m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p>
            <w:pPr>
              <w:pStyle w:val="2"/>
              <w:keepNext/>
              <w:keepLines w:val="0"/>
              <w:pageBreakBefore w:val="0"/>
              <w:widowControl w:val="0"/>
              <w:kinsoku/>
              <w:wordWrap/>
              <w:overflowPunct w:val="0"/>
              <w:topLinePunct w:val="0"/>
              <w:autoSpaceDE/>
              <w:autoSpaceDN/>
              <w:bidi w:val="0"/>
              <w:adjustRightInd/>
              <w:snapToGrid/>
              <w:spacing w:before="0" w:after="0" w:line="36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br w:type="textWrapping"/>
            </w:r>
            <w:r>
              <w:rPr>
                <w:rFonts w:hint="default" w:ascii="Times New Roman" w:hAnsi="Times New Roman" w:eastAsia="宋体" w:cs="Times New Roman"/>
                <w:color w:val="auto"/>
                <w:sz w:val="21"/>
                <w:szCs w:val="21"/>
                <w:highlight w:val="none"/>
                <w:lang w:val="en-US" w:eastAsia="zh-CN"/>
              </w:rPr>
              <w:br w:type="textWrapping"/>
            </w:r>
            <w:r>
              <w:rPr>
                <w:rFonts w:hint="default" w:ascii="Times New Roman" w:hAnsi="Times New Roman" w:eastAsia="宋体" w:cs="Times New Roman"/>
                <w:color w:val="auto"/>
                <w:sz w:val="21"/>
                <w:szCs w:val="21"/>
                <w:highlight w:val="none"/>
                <w:lang w:val="en-US" w:eastAsia="zh-CN"/>
              </w:rPr>
              <w:br w:type="textWrapping"/>
            </w:r>
          </w:p>
          <w:p>
            <w:pPr>
              <w:pStyle w:val="21"/>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left="0" w:leftChars="0" w:firstLine="422" w:firstLineChars="200"/>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技改后全厂水平衡图如下：</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default" w:ascii="Times New Roman" w:hAnsi="Times New Roman" w:cs="Times New Roman"/>
                <w:color w:val="auto"/>
                <w:highlight w:val="cyan"/>
                <w:lang w:val="en-US" w:eastAsia="zh-CN"/>
              </w:rPr>
            </w:pPr>
            <w:r>
              <w:rPr>
                <w:rFonts w:hint="default" w:ascii="Times New Roman" w:hAnsi="Times New Roman" w:cs="Times New Roman" w:eastAsiaTheme="majorEastAsia"/>
                <w:b/>
                <w:bCs/>
                <w:color w:val="auto"/>
                <w:sz w:val="21"/>
                <w:szCs w:val="21"/>
                <w:highlight w:val="none"/>
                <w:lang w:eastAsia="zh-CN"/>
              </w:rPr>
              <w:object>
                <v:shape id="_x0000_i1027" o:spt="75" type="#_x0000_t75" style="height:451.65pt;width:387.9pt;" o:ole="t" filled="f" o:preferrelative="t" stroked="f" coordsize="21600,21600">
                  <v:path/>
                  <v:fill on="f" focussize="0,0"/>
                  <v:stroke on="f"/>
                  <v:imagedata r:id="rId20" cropleft="2324f" cropright="1205f" cropbottom="1157f" o:title=""/>
                  <o:lock v:ext="edit" aspectratio="t"/>
                  <w10:wrap type="none"/>
                  <w10:anchorlock/>
                </v:shape>
                <o:OLEObject Type="Embed" ProgID="Visio.Drawing.15" ShapeID="_x0000_i1027" DrawAspect="Content" ObjectID="_1468075727" r:id="rId19">
                  <o:LockedField>false</o:LockedField>
                </o:OLEObject>
              </w:object>
            </w:r>
          </w:p>
          <w:p>
            <w:pPr>
              <w:pStyle w:val="11"/>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技改后全厂水水平衡图（单位：m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2" w:firstLineChars="200"/>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val="en-US" w:eastAsia="zh-CN"/>
              </w:rPr>
              <w:t>3、</w:t>
            </w:r>
            <w:r>
              <w:rPr>
                <w:rFonts w:hint="default" w:ascii="Times New Roman" w:hAnsi="Times New Roman" w:cs="Times New Roman"/>
                <w:b/>
                <w:color w:val="auto"/>
                <w:kern w:val="0"/>
                <w:sz w:val="21"/>
                <w:szCs w:val="21"/>
                <w:highlight w:val="none"/>
                <w:lang w:eastAsia="zh-CN"/>
              </w:rPr>
              <w:t>工程</w:t>
            </w:r>
            <w:r>
              <w:rPr>
                <w:rFonts w:hint="default" w:ascii="Times New Roman" w:hAnsi="Times New Roman" w:cs="Times New Roman"/>
                <w:b/>
                <w:color w:val="auto"/>
                <w:kern w:val="0"/>
                <w:sz w:val="21"/>
                <w:szCs w:val="21"/>
                <w:highlight w:val="none"/>
              </w:rPr>
              <w:t>产污环节分析</w:t>
            </w:r>
          </w:p>
          <w:p>
            <w:pPr>
              <w:keepNext w:val="0"/>
              <w:keepLines w:val="0"/>
              <w:pageBreakBefore w:val="0"/>
              <w:widowControl w:val="0"/>
              <w:kinsoku/>
              <w:wordWrap/>
              <w:overflowPunct/>
              <w:topLinePunct w:val="0"/>
              <w:autoSpaceDE w:val="0"/>
              <w:autoSpaceDN w:val="0"/>
              <w:bidi w:val="0"/>
              <w:adjustRightInd/>
              <w:snapToGrid/>
              <w:spacing w:line="360" w:lineRule="auto"/>
              <w:ind w:leftChars="0" w:firstLine="420" w:firstLineChars="200"/>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根据上述工艺分析，工程生产过程中产污环节分析详见</w:t>
            </w:r>
            <w:r>
              <w:rPr>
                <w:rFonts w:hint="default" w:ascii="Times New Roman" w:hAnsi="Times New Roman" w:cs="Times New Roman"/>
                <w:bCs/>
                <w:color w:val="auto"/>
                <w:kern w:val="0"/>
                <w:sz w:val="21"/>
                <w:szCs w:val="21"/>
                <w:highlight w:val="none"/>
                <w:lang w:eastAsia="zh-CN"/>
              </w:rPr>
              <w:t>下表</w:t>
            </w:r>
            <w:r>
              <w:rPr>
                <w:rFonts w:hint="default" w:ascii="Times New Roman" w:hAnsi="Times New Roman" w:cs="Times New Roman"/>
                <w:bCs/>
                <w:color w:val="auto"/>
                <w:kern w:val="0"/>
                <w:sz w:val="21"/>
                <w:szCs w:val="21"/>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项目产污节点一览表</w:t>
            </w:r>
          </w:p>
          <w:tbl>
            <w:tblPr>
              <w:tblStyle w:val="22"/>
              <w:tblW w:w="4998"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1"/>
              <w:gridCol w:w="2162"/>
              <w:gridCol w:w="1831"/>
              <w:gridCol w:w="1325"/>
              <w:gridCol w:w="1629"/>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类别</w:t>
                  </w:r>
                </w:p>
              </w:tc>
              <w:tc>
                <w:tcPr>
                  <w:tcW w:w="14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污染源名称</w:t>
                  </w:r>
                </w:p>
              </w:tc>
              <w:tc>
                <w:tcPr>
                  <w:tcW w:w="11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污染因子</w:t>
                  </w:r>
                </w:p>
              </w:tc>
              <w:tc>
                <w:tcPr>
                  <w:tcW w:w="193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治理措施</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废水</w:t>
                  </w:r>
                </w:p>
              </w:tc>
              <w:tc>
                <w:tcPr>
                  <w:tcW w:w="14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下料、磨边、粗磨、精磨工序冲洗废水</w:t>
                  </w:r>
                </w:p>
              </w:tc>
              <w:tc>
                <w:tcPr>
                  <w:tcW w:w="11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pH、COD、SS</w:t>
                  </w:r>
                </w:p>
              </w:tc>
              <w:tc>
                <w:tcPr>
                  <w:tcW w:w="867" w:type="pct"/>
                  <w:vMerge w:val="restar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eastAsia="zh-CN"/>
                    </w:rPr>
                    <w:t>沉淀池</w:t>
                  </w:r>
                  <w:r>
                    <w:rPr>
                      <w:rFonts w:hint="default" w:ascii="Times New Roman" w:hAnsi="Times New Roman" w:cs="Times New Roman"/>
                      <w:color w:val="auto"/>
                      <w:sz w:val="18"/>
                      <w:szCs w:val="1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混凝沉淀池</w:t>
                  </w:r>
                </w:p>
              </w:tc>
              <w:tc>
                <w:tcPr>
                  <w:tcW w:w="1066" w:type="pct"/>
                  <w:vMerge w:val="restar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经当地污水管网排入新乡县综合污水处理厂</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p>
              </w:tc>
              <w:tc>
                <w:tcPr>
                  <w:tcW w:w="14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eastAsia" w:cs="Times New Roman" w:eastAsiaTheme="minorEastAsia"/>
                      <w:color w:val="auto"/>
                      <w:sz w:val="18"/>
                      <w:szCs w:val="18"/>
                      <w:highlight w:val="none"/>
                      <w:lang w:eastAsia="zh-CN"/>
                    </w:rPr>
                    <w:t>镀膜前清洗废水</w:t>
                  </w:r>
                </w:p>
              </w:tc>
              <w:tc>
                <w:tcPr>
                  <w:tcW w:w="11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pH、COD、SS</w:t>
                  </w:r>
                </w:p>
              </w:tc>
              <w:tc>
                <w:tcPr>
                  <w:tcW w:w="867" w:type="pct"/>
                  <w:vMerge w:val="continue"/>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p>
              </w:tc>
              <w:tc>
                <w:tcPr>
                  <w:tcW w:w="1066" w:type="pct"/>
                  <w:vMerge w:val="continue"/>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p>
              </w:tc>
              <w:tc>
                <w:tcPr>
                  <w:tcW w:w="14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eastAsia" w:cs="Times New Roman" w:eastAsiaTheme="minorEastAsia"/>
                      <w:color w:val="auto"/>
                      <w:sz w:val="18"/>
                      <w:szCs w:val="18"/>
                      <w:highlight w:val="none"/>
                      <w:lang w:eastAsia="zh-CN"/>
                    </w:rPr>
                    <w:t>镀膜后</w:t>
                  </w:r>
                  <w:r>
                    <w:rPr>
                      <w:rFonts w:hint="default" w:ascii="Times New Roman" w:hAnsi="Times New Roman" w:cs="Times New Roman" w:eastAsiaTheme="minorEastAsia"/>
                      <w:color w:val="auto"/>
                      <w:sz w:val="18"/>
                      <w:szCs w:val="18"/>
                      <w:highlight w:val="none"/>
                      <w:lang w:eastAsia="zh-CN"/>
                    </w:rPr>
                    <w:t>超声波清洗废水</w:t>
                  </w:r>
                </w:p>
              </w:tc>
              <w:tc>
                <w:tcPr>
                  <w:tcW w:w="1198" w:type="pct"/>
                  <w:tcBorders>
                    <w:bottom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pH、COD、SS、</w:t>
                  </w:r>
                  <w:r>
                    <w:rPr>
                      <w:rFonts w:hint="eastAsia" w:cs="Times New Roman" w:eastAsiaTheme="minorEastAsia"/>
                      <w:color w:val="auto"/>
                      <w:sz w:val="18"/>
                      <w:szCs w:val="18"/>
                      <w:highlight w:val="none"/>
                      <w:lang w:val="en-US" w:eastAsia="zh-CN"/>
                    </w:rPr>
                    <w:t>NH</w:t>
                  </w:r>
                  <w:r>
                    <w:rPr>
                      <w:rFonts w:hint="eastAsia" w:cs="Times New Roman" w:eastAsiaTheme="minorEastAsia"/>
                      <w:color w:val="auto"/>
                      <w:sz w:val="18"/>
                      <w:szCs w:val="18"/>
                      <w:highlight w:val="none"/>
                      <w:vertAlign w:val="subscript"/>
                      <w:lang w:val="en-US" w:eastAsia="zh-CN"/>
                    </w:rPr>
                    <w:t>3</w:t>
                  </w:r>
                  <w:r>
                    <w:rPr>
                      <w:rFonts w:hint="eastAsia" w:cs="Times New Roman" w:eastAsiaTheme="minorEastAsia"/>
                      <w:color w:val="auto"/>
                      <w:sz w:val="18"/>
                      <w:szCs w:val="18"/>
                      <w:highlight w:val="none"/>
                      <w:lang w:val="en-US" w:eastAsia="zh-CN"/>
                    </w:rPr>
                    <w:t>-N、TP、</w:t>
                  </w:r>
                  <w:r>
                    <w:rPr>
                      <w:rFonts w:hint="default" w:ascii="Times New Roman" w:hAnsi="Times New Roman" w:cs="Times New Roman" w:eastAsiaTheme="minorEastAsia"/>
                      <w:color w:val="auto"/>
                      <w:sz w:val="18"/>
                      <w:szCs w:val="18"/>
                      <w:highlight w:val="none"/>
                      <w:lang w:val="en-US" w:eastAsia="zh-CN"/>
                    </w:rPr>
                    <w:t>LAS</w:t>
                  </w:r>
                </w:p>
              </w:tc>
              <w:tc>
                <w:tcPr>
                  <w:tcW w:w="867" w:type="pct"/>
                  <w:vMerge w:val="continue"/>
                  <w:tcBorders>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p>
              </w:tc>
              <w:tc>
                <w:tcPr>
                  <w:tcW w:w="1066" w:type="pct"/>
                  <w:vMerge w:val="continue"/>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p>
              </w:tc>
              <w:tc>
                <w:tcPr>
                  <w:tcW w:w="14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纯水制备浓水</w:t>
                  </w:r>
                </w:p>
              </w:tc>
              <w:tc>
                <w:tcPr>
                  <w:tcW w:w="1198" w:type="pct"/>
                  <w:tcBorders>
                    <w:top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pH、COD、SS</w:t>
                  </w:r>
                </w:p>
              </w:tc>
              <w:tc>
                <w:tcPr>
                  <w:tcW w:w="867" w:type="pct"/>
                  <w:tcBorders>
                    <w:top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1066" w:type="pct"/>
                  <w:vMerge w:val="continue"/>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固废</w:t>
                  </w:r>
                </w:p>
              </w:tc>
              <w:tc>
                <w:tcPr>
                  <w:tcW w:w="14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擦拭过程</w:t>
                  </w:r>
                </w:p>
              </w:tc>
              <w:tc>
                <w:tcPr>
                  <w:tcW w:w="11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废擦无尘布</w:t>
                  </w:r>
                </w:p>
              </w:tc>
              <w:tc>
                <w:tcPr>
                  <w:tcW w:w="193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一般固废暂存间暂存后，定期交由环卫部门处理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4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原辅材料使用</w:t>
                  </w:r>
                </w:p>
              </w:tc>
              <w:tc>
                <w:tcPr>
                  <w:tcW w:w="11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bCs/>
                      <w:color w:val="auto"/>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废包装材料</w:t>
                  </w:r>
                </w:p>
              </w:tc>
              <w:tc>
                <w:tcPr>
                  <w:tcW w:w="1933"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一般固废暂存间暂存后，外售废品回收公司</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4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下料工序</w:t>
                  </w:r>
                </w:p>
              </w:tc>
              <w:tc>
                <w:tcPr>
                  <w:tcW w:w="11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auto"/>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废边角料</w:t>
                  </w:r>
                </w:p>
              </w:tc>
              <w:tc>
                <w:tcPr>
                  <w:tcW w:w="1933"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4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检验工序</w:t>
                  </w:r>
                </w:p>
              </w:tc>
              <w:tc>
                <w:tcPr>
                  <w:tcW w:w="11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不合格品</w:t>
                  </w:r>
                </w:p>
              </w:tc>
              <w:tc>
                <w:tcPr>
                  <w:tcW w:w="1933"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4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r>
                    <w:rPr>
                      <w:rFonts w:hint="eastAsia" w:cs="Times New Roman"/>
                      <w:color w:val="auto"/>
                      <w:sz w:val="18"/>
                      <w:szCs w:val="18"/>
                      <w:highlight w:val="none"/>
                      <w:lang w:val="en-US" w:eastAsia="zh-CN" w:bidi="ar-SA"/>
                    </w:rPr>
                    <w:t>精磨、粗磨工序</w:t>
                  </w:r>
                </w:p>
              </w:tc>
              <w:tc>
                <w:tcPr>
                  <w:tcW w:w="11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Cs/>
                      <w:color w:val="auto"/>
                      <w:sz w:val="18"/>
                      <w:szCs w:val="18"/>
                      <w:highlight w:val="none"/>
                      <w:lang w:val="en-US" w:eastAsia="zh-CN" w:bidi="ar-SA"/>
                    </w:rPr>
                  </w:pPr>
                  <w:r>
                    <w:rPr>
                      <w:rFonts w:hint="eastAsia" w:cs="Times New Roman"/>
                      <w:bCs/>
                      <w:color w:val="auto"/>
                      <w:sz w:val="18"/>
                      <w:szCs w:val="18"/>
                      <w:highlight w:val="none"/>
                      <w:lang w:val="en-US" w:eastAsia="zh-CN" w:bidi="ar-SA"/>
                    </w:rPr>
                    <w:t>废金刚砂</w:t>
                  </w:r>
                </w:p>
              </w:tc>
              <w:tc>
                <w:tcPr>
                  <w:tcW w:w="1933"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4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沉淀池、混凝沉淀池清理</w:t>
                  </w:r>
                </w:p>
              </w:tc>
              <w:tc>
                <w:tcPr>
                  <w:tcW w:w="11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Cs/>
                      <w:color w:val="auto"/>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沉渣</w:t>
                  </w:r>
                </w:p>
              </w:tc>
              <w:tc>
                <w:tcPr>
                  <w:tcW w:w="1933"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密闭容器收集并于一般固废暂存间暂存后，定期交由环卫部门处理</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4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切割、磨边设备过滤系统</w:t>
                  </w:r>
                </w:p>
              </w:tc>
              <w:tc>
                <w:tcPr>
                  <w:tcW w:w="11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Cs/>
                      <w:color w:val="auto"/>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玻璃残渣</w:t>
                  </w:r>
                </w:p>
              </w:tc>
              <w:tc>
                <w:tcPr>
                  <w:tcW w:w="1933"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4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r>
                    <w:rPr>
                      <w:rFonts w:hint="eastAsia" w:cs="Times New Roman"/>
                      <w:color w:val="auto"/>
                      <w:sz w:val="18"/>
                      <w:szCs w:val="18"/>
                      <w:highlight w:val="none"/>
                      <w:lang w:val="en-US" w:eastAsia="zh-CN" w:bidi="ar-SA"/>
                    </w:rPr>
                    <w:t>抛光液过滤系统</w:t>
                  </w:r>
                </w:p>
              </w:tc>
              <w:tc>
                <w:tcPr>
                  <w:tcW w:w="11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Cs/>
                      <w:color w:val="auto"/>
                      <w:sz w:val="18"/>
                      <w:szCs w:val="18"/>
                      <w:highlight w:val="none"/>
                      <w:lang w:val="en-US" w:eastAsia="zh-CN" w:bidi="ar-SA"/>
                    </w:rPr>
                  </w:pPr>
                  <w:r>
                    <w:rPr>
                      <w:rFonts w:hint="eastAsia" w:cs="Times New Roman"/>
                      <w:bCs/>
                      <w:color w:val="auto"/>
                      <w:sz w:val="18"/>
                      <w:szCs w:val="18"/>
                      <w:highlight w:val="none"/>
                      <w:lang w:val="en-US" w:eastAsia="zh-CN" w:bidi="ar-SA"/>
                    </w:rPr>
                    <w:t>过滤残渣</w:t>
                  </w:r>
                </w:p>
              </w:tc>
              <w:tc>
                <w:tcPr>
                  <w:tcW w:w="1933"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415" w:type="pct"/>
                  <w:tcBorders>
                    <w:tl2br w:val="nil"/>
                    <w:tr2bl w:val="nil"/>
                  </w:tcBorders>
                  <w:noWrap w:val="0"/>
                  <w:vAlign w:val="center"/>
                </w:tcPr>
                <w:p>
                  <w:pPr>
                    <w:autoSpaceDE w:val="0"/>
                    <w:adjustRightInd w:val="0"/>
                    <w:snapToGrid w:val="0"/>
                    <w:spacing w:line="240" w:lineRule="exact"/>
                    <w:jc w:val="center"/>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eastAsiaTheme="minorEastAsia"/>
                      <w:color w:val="auto"/>
                      <w:sz w:val="18"/>
                      <w:szCs w:val="18"/>
                      <w:highlight w:val="none"/>
                      <w:lang w:eastAsia="zh-CN"/>
                    </w:rPr>
                    <w:t>纯水系统反渗透装置</w:t>
                  </w:r>
                </w:p>
              </w:tc>
              <w:tc>
                <w:tcPr>
                  <w:tcW w:w="1198" w:type="pct"/>
                  <w:tcBorders>
                    <w:tl2br w:val="nil"/>
                    <w:tr2bl w:val="nil"/>
                  </w:tcBorders>
                  <w:noWrap w:val="0"/>
                  <w:vAlign w:val="center"/>
                </w:tcPr>
                <w:p>
                  <w:pPr>
                    <w:autoSpaceDE w:val="0"/>
                    <w:adjustRightInd w:val="0"/>
                    <w:snapToGrid w:val="0"/>
                    <w:spacing w:line="240" w:lineRule="exact"/>
                    <w:jc w:val="center"/>
                    <w:rPr>
                      <w:rFonts w:hint="default" w:ascii="Times New Roman" w:hAnsi="Times New Roman" w:cs="Times New Roman"/>
                      <w:bCs/>
                      <w:color w:val="auto"/>
                      <w:sz w:val="18"/>
                      <w:szCs w:val="18"/>
                      <w:highlight w:val="none"/>
                      <w:lang w:val="en-US" w:eastAsia="zh-CN" w:bidi="ar-SA"/>
                    </w:rPr>
                  </w:pPr>
                  <w:r>
                    <w:rPr>
                      <w:rFonts w:hint="default" w:ascii="Times New Roman" w:hAnsi="Times New Roman" w:cs="Times New Roman" w:eastAsiaTheme="minorEastAsia"/>
                      <w:color w:val="auto"/>
                      <w:sz w:val="18"/>
                      <w:szCs w:val="18"/>
                      <w:highlight w:val="none"/>
                      <w:lang w:eastAsia="zh-CN"/>
                    </w:rPr>
                    <w:t>废石英砂、反渗透膜</w:t>
                  </w:r>
                </w:p>
              </w:tc>
              <w:tc>
                <w:tcPr>
                  <w:tcW w:w="1933"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4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员工日常办公</w:t>
                  </w:r>
                </w:p>
              </w:tc>
              <w:tc>
                <w:tcPr>
                  <w:tcW w:w="11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bCs/>
                      <w:color w:val="auto"/>
                      <w:sz w:val="18"/>
                      <w:szCs w:val="18"/>
                      <w:highlight w:val="none"/>
                      <w:lang w:val="en-US" w:eastAsia="zh-CN" w:bidi="ar-SA"/>
                    </w:rPr>
                  </w:pPr>
                  <w:r>
                    <w:rPr>
                      <w:rFonts w:hint="default" w:ascii="Times New Roman" w:hAnsi="Times New Roman" w:cs="Times New Roman"/>
                      <w:bCs/>
                      <w:color w:val="auto"/>
                      <w:sz w:val="18"/>
                      <w:szCs w:val="18"/>
                      <w:highlight w:val="none"/>
                    </w:rPr>
                    <w:t>生活垃圾</w:t>
                  </w:r>
                </w:p>
              </w:tc>
              <w:tc>
                <w:tcPr>
                  <w:tcW w:w="1933"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rPr>
                    <w:t>交由环卫部门定期清运</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41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机械设备维护</w:t>
                  </w:r>
                </w:p>
              </w:tc>
              <w:tc>
                <w:tcPr>
                  <w:tcW w:w="11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bCs/>
                      <w:color w:val="auto"/>
                      <w:sz w:val="18"/>
                      <w:szCs w:val="18"/>
                      <w:highlight w:val="none"/>
                      <w:lang w:eastAsia="zh-CN"/>
                    </w:rPr>
                    <w:t>废润滑油</w:t>
                  </w:r>
                </w:p>
              </w:tc>
              <w:tc>
                <w:tcPr>
                  <w:tcW w:w="1933"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设置危险固废暂存间暂存，定期委托有资质危废处置单处置</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eastAsiaTheme="minorEastAsia"/>
                      <w:color w:val="auto"/>
                      <w:sz w:val="18"/>
                      <w:szCs w:val="18"/>
                      <w:highlight w:val="none"/>
                    </w:rPr>
                    <w:t>噪声</w:t>
                  </w:r>
                </w:p>
              </w:tc>
              <w:tc>
                <w:tcPr>
                  <w:tcW w:w="14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机械设备运行</w:t>
                  </w:r>
                </w:p>
              </w:tc>
              <w:tc>
                <w:tcPr>
                  <w:tcW w:w="11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机械噪声</w:t>
                  </w:r>
                </w:p>
              </w:tc>
              <w:tc>
                <w:tcPr>
                  <w:tcW w:w="193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室内布置，设置减震基础</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p>
              </w:tc>
              <w:tc>
                <w:tcPr>
                  <w:tcW w:w="14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空压机</w:t>
                  </w:r>
                </w:p>
              </w:tc>
              <w:tc>
                <w:tcPr>
                  <w:tcW w:w="11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空气动力噪声</w:t>
                  </w:r>
                </w:p>
              </w:tc>
              <w:tc>
                <w:tcPr>
                  <w:tcW w:w="193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室内布置，安装隔声罩</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auto"/>
                <w:szCs w:val="21"/>
                <w:highlight w:val="cyan"/>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6" w:hRule="atLeast"/>
          <w:jc w:val="center"/>
        </w:trPr>
        <w:tc>
          <w:tcPr>
            <w:tcW w:w="389" w:type="pct"/>
            <w:noWrap w:val="0"/>
            <w:vAlign w:val="center"/>
          </w:tcPr>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220" w:lineRule="exact"/>
              <w:jc w:val="center"/>
              <w:textAlignment w:val="auto"/>
              <w:rPr>
                <w:rFonts w:hint="default" w:ascii="Times New Roman" w:hAnsi="Times New Roman" w:cs="Times New Roman"/>
                <w:color w:val="auto"/>
                <w:sz w:val="21"/>
                <w:szCs w:val="21"/>
                <w:highlight w:val="cyan"/>
              </w:rPr>
            </w:pPr>
            <w:r>
              <w:rPr>
                <w:rFonts w:hint="default" w:ascii="Times New Roman" w:hAnsi="Times New Roman" w:cs="Times New Roman"/>
                <w:bCs/>
                <w:color w:val="auto"/>
                <w:kern w:val="2"/>
                <w:sz w:val="21"/>
                <w:szCs w:val="21"/>
                <w:highlight w:val="none"/>
              </w:rPr>
              <w:t>与项目有关的原有环境污染问题</w:t>
            </w:r>
          </w:p>
        </w:tc>
        <w:tc>
          <w:tcPr>
            <w:tcW w:w="461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1、现有项目概况</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eastAsia="zh-CN"/>
              </w:rPr>
              <w:t>新乡市百合光电有限公司位于新乡县新乡经济开发区玉龙路西段，现有工程占地</w:t>
            </w:r>
            <w:r>
              <w:rPr>
                <w:rFonts w:hint="default" w:ascii="Times New Roman" w:hAnsi="Times New Roman" w:cs="Times New Roman"/>
                <w:bCs/>
                <w:color w:val="auto"/>
                <w:kern w:val="0"/>
                <w:sz w:val="21"/>
                <w:szCs w:val="21"/>
                <w:highlight w:val="none"/>
                <w:lang w:val="en-US" w:eastAsia="zh-CN"/>
              </w:rPr>
              <w:t>15000平方米</w:t>
            </w:r>
            <w:r>
              <w:rPr>
                <w:rFonts w:hint="default" w:ascii="Times New Roman" w:hAnsi="Times New Roman" w:cs="Times New Roman"/>
                <w:bCs/>
                <w:color w:val="auto"/>
                <w:kern w:val="0"/>
                <w:sz w:val="21"/>
                <w:szCs w:val="21"/>
                <w:highlight w:val="none"/>
                <w:lang w:eastAsia="zh-CN"/>
              </w:rPr>
              <w:t>，劳动员工</w:t>
            </w:r>
            <w:r>
              <w:rPr>
                <w:rFonts w:hint="default" w:ascii="Times New Roman" w:hAnsi="Times New Roman" w:cs="Times New Roman"/>
                <w:bCs/>
                <w:color w:val="auto"/>
                <w:kern w:val="0"/>
                <w:sz w:val="21"/>
                <w:szCs w:val="21"/>
                <w:highlight w:val="none"/>
                <w:lang w:val="en-US" w:eastAsia="zh-CN"/>
              </w:rPr>
              <w:t>30余人</w:t>
            </w:r>
            <w:r>
              <w:rPr>
                <w:rFonts w:hint="default" w:ascii="Times New Roman" w:hAnsi="Times New Roman" w:cs="Times New Roman"/>
                <w:bCs/>
                <w:color w:val="auto"/>
                <w:kern w:val="0"/>
                <w:sz w:val="21"/>
                <w:szCs w:val="21"/>
                <w:highlight w:val="none"/>
                <w:lang w:eastAsia="zh-CN"/>
              </w:rPr>
              <w:t>，公司现有“年加工真空镀膜光学零件</w:t>
            </w:r>
            <w:r>
              <w:rPr>
                <w:rFonts w:hint="default" w:ascii="Times New Roman" w:hAnsi="Times New Roman" w:cs="Times New Roman"/>
                <w:bCs/>
                <w:color w:val="auto"/>
                <w:kern w:val="0"/>
                <w:sz w:val="21"/>
                <w:szCs w:val="21"/>
                <w:highlight w:val="none"/>
                <w:lang w:val="en-US" w:eastAsia="zh-CN"/>
              </w:rPr>
              <w:t>40万片</w:t>
            </w:r>
            <w:r>
              <w:rPr>
                <w:rFonts w:hint="default" w:ascii="Times New Roman" w:hAnsi="Times New Roman" w:cs="Times New Roman"/>
                <w:bCs/>
                <w:color w:val="auto"/>
                <w:kern w:val="0"/>
                <w:sz w:val="21"/>
                <w:szCs w:val="21"/>
                <w:highlight w:val="none"/>
                <w:lang w:eastAsia="zh-CN"/>
              </w:rPr>
              <w:t>项目”于</w:t>
            </w:r>
            <w:r>
              <w:rPr>
                <w:rFonts w:hint="default" w:ascii="Times New Roman" w:hAnsi="Times New Roman" w:cs="Times New Roman"/>
                <w:bCs/>
                <w:color w:val="auto"/>
                <w:kern w:val="0"/>
                <w:sz w:val="21"/>
                <w:szCs w:val="21"/>
                <w:highlight w:val="none"/>
                <w:lang w:val="en-US" w:eastAsia="zh-CN"/>
              </w:rPr>
              <w:t>2007年7月19日以“新环监（2007）247号”通过新乡市环境保护局审批，并于2007年10月22日以“新环验（2007）53号”完成验收，目前企业已于2020年5月23日进行排污许可登记，登记编号：91410700766208059P001X。公司现具备年产真空镀膜光学零件40万片生产能力，公司现有工程环保履行情况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现有项目环评及验收情况一览表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572"/>
              <w:gridCol w:w="1555"/>
              <w:gridCol w:w="990"/>
              <w:gridCol w:w="1896"/>
              <w:gridCol w:w="9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restart"/>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序号</w:t>
                  </w:r>
                </w:p>
              </w:tc>
              <w:tc>
                <w:tcPr>
                  <w:tcW w:w="1028" w:type="pct"/>
                  <w:vMerge w:val="restart"/>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项目名称</w:t>
                  </w:r>
                </w:p>
              </w:tc>
              <w:tc>
                <w:tcPr>
                  <w:tcW w:w="1665" w:type="pct"/>
                  <w:gridSpan w:val="2"/>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环境影响评价</w:t>
                  </w:r>
                </w:p>
              </w:tc>
              <w:tc>
                <w:tcPr>
                  <w:tcW w:w="1870" w:type="pct"/>
                  <w:gridSpan w:val="2"/>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环境保护验收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p>
              </w:tc>
              <w:tc>
                <w:tcPr>
                  <w:tcW w:w="1028" w:type="pct"/>
                  <w:vMerge w:val="continue"/>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p>
              </w:tc>
              <w:tc>
                <w:tcPr>
                  <w:tcW w:w="1017" w:type="pct"/>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批复文号及时间</w:t>
                  </w:r>
                </w:p>
              </w:tc>
              <w:tc>
                <w:tcPr>
                  <w:tcW w:w="647" w:type="pct"/>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审批</w:t>
                  </w:r>
                </w:p>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单位</w:t>
                  </w:r>
                </w:p>
              </w:tc>
              <w:tc>
                <w:tcPr>
                  <w:tcW w:w="1240" w:type="pct"/>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验收文号及时间</w:t>
                  </w:r>
                </w:p>
              </w:tc>
              <w:tc>
                <w:tcPr>
                  <w:tcW w:w="630" w:type="pct"/>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审批</w:t>
                  </w:r>
                </w:p>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单位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val="en-US" w:eastAsia="zh-CN"/>
                    </w:rPr>
                    <w:t>1</w:t>
                  </w:r>
                </w:p>
              </w:tc>
              <w:tc>
                <w:tcPr>
                  <w:tcW w:w="1028" w:type="pct"/>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val="en-US" w:eastAsia="zh-CN"/>
                    </w:rPr>
                    <w:t>年加工真空镀膜光学零件40万片</w:t>
                  </w:r>
                </w:p>
              </w:tc>
              <w:tc>
                <w:tcPr>
                  <w:tcW w:w="101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val="en-US" w:eastAsia="zh-CN"/>
                    </w:rPr>
                    <w:t>新环监（2007）247号</w:t>
                  </w:r>
                </w:p>
              </w:tc>
              <w:tc>
                <w:tcPr>
                  <w:tcW w:w="647" w:type="pct"/>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新乡市环境保护局</w:t>
                  </w:r>
                </w:p>
              </w:tc>
              <w:tc>
                <w:tcPr>
                  <w:tcW w:w="1240" w:type="pct"/>
                  <w:noWrap w:val="0"/>
                  <w:vAlign w:val="center"/>
                </w:tcPr>
                <w:p>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val="en-US" w:eastAsia="zh-CN"/>
                    </w:rPr>
                    <w:t>新环验（2007）53号</w:t>
                  </w:r>
                </w:p>
              </w:tc>
              <w:tc>
                <w:tcPr>
                  <w:tcW w:w="630" w:type="pct"/>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eastAsia="宋体" w:cs="Times New Roman"/>
                      <w:snapToGrid w:val="0"/>
                      <w:color w:val="auto"/>
                      <w:kern w:val="0"/>
                      <w:sz w:val="18"/>
                      <w:szCs w:val="18"/>
                      <w:highlight w:val="none"/>
                      <w:lang w:eastAsia="zh-CN"/>
                    </w:rPr>
                    <w:t>新乡县环境保护局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2</w:t>
                  </w:r>
                </w:p>
              </w:tc>
              <w:tc>
                <w:tcPr>
                  <w:tcW w:w="1028" w:type="pct"/>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排污许可登记</w:t>
                  </w:r>
                </w:p>
              </w:tc>
              <w:tc>
                <w:tcPr>
                  <w:tcW w:w="101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登记编号：91410700766208059P001X</w:t>
                  </w:r>
                </w:p>
              </w:tc>
              <w:tc>
                <w:tcPr>
                  <w:tcW w:w="647" w:type="pct"/>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辉县市环境保护局</w:t>
                  </w:r>
                </w:p>
              </w:tc>
              <w:tc>
                <w:tcPr>
                  <w:tcW w:w="1870" w:type="pct"/>
                  <w:gridSpan w:val="2"/>
                  <w:noWrap w:val="0"/>
                  <w:vAlign w:val="center"/>
                </w:tcPr>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eastAsia"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val="en-US" w:eastAsia="zh-CN"/>
                    </w:rPr>
                    <w:t>首次登记：</w:t>
                  </w:r>
                  <w:r>
                    <w:rPr>
                      <w:rFonts w:hint="default" w:ascii="Times New Roman" w:hAnsi="Times New Roman" w:cs="Times New Roman"/>
                      <w:snapToGrid w:val="0"/>
                      <w:color w:val="auto"/>
                      <w:kern w:val="0"/>
                      <w:sz w:val="18"/>
                      <w:szCs w:val="18"/>
                      <w:highlight w:val="none"/>
                      <w:lang w:val="en-US" w:eastAsia="zh-CN"/>
                    </w:rPr>
                    <w:t>2020年5月23日</w:t>
                  </w:r>
                  <w:r>
                    <w:rPr>
                      <w:rFonts w:hint="eastAsia" w:cs="Times New Roman"/>
                      <w:snapToGrid w:val="0"/>
                      <w:color w:val="auto"/>
                      <w:kern w:val="0"/>
                      <w:sz w:val="18"/>
                      <w:szCs w:val="18"/>
                      <w:highlight w:val="none"/>
                      <w:lang w:val="en-US" w:eastAsia="zh-CN"/>
                    </w:rPr>
                    <w:t>；</w:t>
                  </w:r>
                </w:p>
                <w:p>
                  <w:pPr>
                    <w:keepNext w:val="0"/>
                    <w:keepLines w:val="0"/>
                    <w:pageBreakBefore w:val="0"/>
                    <w:widowControl w:val="0"/>
                    <w:kinsoku/>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val="en-US" w:eastAsia="zh-CN"/>
                    </w:rPr>
                    <w:t>2022年8月26日变更</w:t>
                  </w:r>
                </w:p>
              </w:tc>
            </w:tr>
          </w:tbl>
          <w:p>
            <w:pPr>
              <w:keepNext w:val="0"/>
              <w:keepLines w:val="0"/>
              <w:pageBreakBefore w:val="0"/>
              <w:widowControl w:val="0"/>
              <w:numPr>
                <w:ilvl w:val="0"/>
                <w:numId w:val="9"/>
              </w:numPr>
              <w:kinsoku/>
              <w:wordWrap/>
              <w:overflowPunct/>
              <w:topLinePunct w:val="0"/>
              <w:autoSpaceDE w:val="0"/>
              <w:autoSpaceDN w:val="0"/>
              <w:bidi w:val="0"/>
              <w:adjustRightInd/>
              <w:snapToGrid/>
              <w:spacing w:line="360" w:lineRule="auto"/>
              <w:ind w:left="0" w:leftChars="0" w:firstLine="422" w:firstLineChars="200"/>
              <w:jc w:val="left"/>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现有</w:t>
            </w:r>
            <w:r>
              <w:rPr>
                <w:rFonts w:hint="eastAsia" w:ascii="Times New Roman" w:hAnsi="Times New Roman" w:cs="Times New Roman"/>
                <w:b/>
                <w:bCs/>
                <w:color w:val="auto"/>
                <w:kern w:val="0"/>
                <w:szCs w:val="21"/>
                <w:highlight w:val="none"/>
                <w:lang w:eastAsia="zh-CN"/>
              </w:rPr>
              <w:t>项目</w:t>
            </w:r>
            <w:r>
              <w:rPr>
                <w:rFonts w:hint="default" w:ascii="Times New Roman" w:hAnsi="Times New Roman" w:cs="Times New Roman"/>
                <w:b/>
                <w:bCs/>
                <w:color w:val="auto"/>
                <w:kern w:val="0"/>
                <w:szCs w:val="21"/>
                <w:highlight w:val="none"/>
              </w:rPr>
              <w:t>基本组成</w:t>
            </w:r>
          </w:p>
          <w:p>
            <w:pPr>
              <w:pStyle w:val="21"/>
              <w:ind w:left="0" w:leftChars="0" w:firstLine="0" w:firstLineChars="0"/>
              <w:rPr>
                <w:rFonts w:hint="default"/>
                <w:color w:val="auto"/>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现有项目主要建设内容一览表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538"/>
              <w:gridCol w:w="3718"/>
              <w:gridCol w:w="17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类别</w:t>
                  </w:r>
                </w:p>
              </w:tc>
              <w:tc>
                <w:tcPr>
                  <w:tcW w:w="10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名称</w:t>
                  </w:r>
                </w:p>
              </w:tc>
              <w:tc>
                <w:tcPr>
                  <w:tcW w:w="35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内容或规模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主体工程</w:t>
                  </w:r>
                </w:p>
              </w:tc>
              <w:tc>
                <w:tcPr>
                  <w:tcW w:w="10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val="en-US" w:eastAsia="zh-CN"/>
                    </w:rPr>
                    <w:t>1#</w:t>
                  </w:r>
                  <w:r>
                    <w:rPr>
                      <w:rFonts w:hint="default" w:ascii="Times New Roman" w:hAnsi="Times New Roman" w:cs="Times New Roman"/>
                      <w:snapToGrid w:val="0"/>
                      <w:color w:val="auto"/>
                      <w:kern w:val="0"/>
                      <w:sz w:val="18"/>
                      <w:szCs w:val="18"/>
                      <w:highlight w:val="none"/>
                      <w:lang w:eastAsia="zh-CN"/>
                    </w:rPr>
                    <w:t>生产车间</w:t>
                  </w:r>
                </w:p>
              </w:tc>
              <w:tc>
                <w:tcPr>
                  <w:tcW w:w="35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1座1层，钢结构，1000m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，主要包括镀膜间、清洗区、检验室、仓储间、办公区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10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val="en-US" w:eastAsia="zh-CN"/>
                    </w:rPr>
                    <w:t>2#</w:t>
                  </w:r>
                  <w:r>
                    <w:rPr>
                      <w:rFonts w:hint="default" w:ascii="Times New Roman" w:hAnsi="Times New Roman" w:cs="Times New Roman"/>
                      <w:snapToGrid w:val="0"/>
                      <w:color w:val="auto"/>
                      <w:kern w:val="0"/>
                      <w:sz w:val="18"/>
                      <w:szCs w:val="18"/>
                      <w:highlight w:val="none"/>
                      <w:lang w:eastAsia="zh-CN"/>
                    </w:rPr>
                    <w:t>生产车间</w:t>
                  </w:r>
                </w:p>
              </w:tc>
              <w:tc>
                <w:tcPr>
                  <w:tcW w:w="35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1座1层，钢结构，建筑面积600m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lang w:val="en-US" w:eastAsia="zh-CN"/>
                    </w:rPr>
                    <w:t>，主要为冷加工间（包括划片、磨边、抛光）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10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3#</w:t>
                  </w:r>
                  <w:r>
                    <w:rPr>
                      <w:rFonts w:hint="default" w:ascii="Times New Roman" w:hAnsi="Times New Roman" w:cs="Times New Roman"/>
                      <w:snapToGrid w:val="0"/>
                      <w:color w:val="auto"/>
                      <w:kern w:val="0"/>
                      <w:sz w:val="18"/>
                      <w:szCs w:val="18"/>
                      <w:highlight w:val="none"/>
                      <w:lang w:eastAsia="zh-CN"/>
                    </w:rPr>
                    <w:t>综合厂房</w:t>
                  </w:r>
                </w:p>
              </w:tc>
              <w:tc>
                <w:tcPr>
                  <w:tcW w:w="35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1座1层，钢结构，建筑面积400m</w:t>
                  </w:r>
                  <w:r>
                    <w:rPr>
                      <w:rFonts w:hint="default" w:ascii="Times New Roman" w:hAnsi="Times New Roman" w:cs="Times New Roman"/>
                      <w:snapToGrid w:val="0"/>
                      <w:color w:val="auto"/>
                      <w:kern w:val="0"/>
                      <w:sz w:val="18"/>
                      <w:szCs w:val="18"/>
                      <w:highlight w:val="none"/>
                      <w:vertAlign w:val="superscript"/>
                      <w:lang w:val="en-US" w:eastAsia="zh-CN"/>
                    </w:rPr>
                    <w:t>2</w:t>
                  </w:r>
                  <w:r>
                    <w:rPr>
                      <w:rFonts w:hint="default" w:ascii="Times New Roman" w:hAnsi="Times New Roman" w:cs="Times New Roman"/>
                      <w:snapToGrid w:val="0"/>
                      <w:color w:val="auto"/>
                      <w:kern w:val="0"/>
                      <w:sz w:val="18"/>
                      <w:szCs w:val="18"/>
                      <w:highlight w:val="none"/>
                      <w:vertAlign w:val="baseline"/>
                      <w:lang w:val="en-US" w:eastAsia="zh-CN"/>
                    </w:rPr>
                    <w:t>，包括磨具间、维修间、食堂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辅助工程</w:t>
                  </w:r>
                </w:p>
              </w:tc>
              <w:tc>
                <w:tcPr>
                  <w:tcW w:w="10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门卫室</w:t>
                  </w:r>
                </w:p>
              </w:tc>
              <w:tc>
                <w:tcPr>
                  <w:tcW w:w="35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1座1层，砖混结构，建筑面积20m</w:t>
                  </w:r>
                  <w:r>
                    <w:rPr>
                      <w:rFonts w:hint="default" w:ascii="Times New Roman" w:hAnsi="Times New Roman" w:cs="Times New Roman"/>
                      <w:snapToGrid w:val="0"/>
                      <w:color w:val="auto"/>
                      <w:kern w:val="0"/>
                      <w:sz w:val="18"/>
                      <w:szCs w:val="18"/>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p>
              </w:tc>
              <w:tc>
                <w:tcPr>
                  <w:tcW w:w="10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宿舍楼</w:t>
                  </w:r>
                </w:p>
              </w:tc>
              <w:tc>
                <w:tcPr>
                  <w:tcW w:w="35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1座2层，砖混结构，建筑面积800m</w:t>
                  </w:r>
                  <w:r>
                    <w:rPr>
                      <w:rFonts w:hint="default" w:ascii="Times New Roman" w:hAnsi="Times New Roman" w:cs="Times New Roman"/>
                      <w:snapToGrid w:val="0"/>
                      <w:color w:val="auto"/>
                      <w:kern w:val="0"/>
                      <w:sz w:val="18"/>
                      <w:szCs w:val="18"/>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p>
              </w:tc>
              <w:tc>
                <w:tcPr>
                  <w:tcW w:w="10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val="en-US" w:eastAsia="zh-CN"/>
                    </w:rPr>
                    <w:t>车棚</w:t>
                  </w:r>
                </w:p>
              </w:tc>
              <w:tc>
                <w:tcPr>
                  <w:tcW w:w="35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1座1层，钢结构棚，建筑面积100m</w:t>
                  </w:r>
                  <w:r>
                    <w:rPr>
                      <w:rFonts w:hint="default" w:ascii="Times New Roman" w:hAnsi="Times New Roman" w:cs="Times New Roman"/>
                      <w:snapToGrid w:val="0"/>
                      <w:color w:val="auto"/>
                      <w:kern w:val="0"/>
                      <w:sz w:val="18"/>
                      <w:szCs w:val="18"/>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公用</w:t>
                  </w:r>
                </w:p>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工程</w:t>
                  </w:r>
                </w:p>
              </w:tc>
              <w:tc>
                <w:tcPr>
                  <w:tcW w:w="10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sz w:val="18"/>
                      <w:szCs w:val="18"/>
                      <w:highlight w:val="none"/>
                    </w:rPr>
                    <w:t>供水</w:t>
                  </w:r>
                </w:p>
              </w:tc>
              <w:tc>
                <w:tcPr>
                  <w:tcW w:w="35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sz w:val="18"/>
                      <w:szCs w:val="18"/>
                      <w:highlight w:val="none"/>
                      <w:lang w:eastAsia="zh-CN"/>
                    </w:rPr>
                    <w:t>新乡县市政供水管网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10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排水</w:t>
                  </w:r>
                </w:p>
              </w:tc>
              <w:tc>
                <w:tcPr>
                  <w:tcW w:w="35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sz w:val="18"/>
                      <w:szCs w:val="18"/>
                      <w:highlight w:val="none"/>
                      <w:lang w:eastAsia="zh-CN"/>
                    </w:rPr>
                    <w:t>厂区总排口</w:t>
                  </w:r>
                  <w:r>
                    <w:rPr>
                      <w:rFonts w:hint="eastAsia" w:cs="Times New Roman"/>
                      <w:snapToGrid w:val="0"/>
                      <w:color w:val="auto"/>
                      <w:sz w:val="18"/>
                      <w:szCs w:val="18"/>
                      <w:highlight w:val="none"/>
                      <w:lang w:eastAsia="zh-CN"/>
                    </w:rPr>
                    <w:t>接入</w:t>
                  </w:r>
                  <w:r>
                    <w:rPr>
                      <w:rFonts w:hint="default" w:ascii="Times New Roman" w:hAnsi="Times New Roman" w:cs="Times New Roman"/>
                      <w:snapToGrid w:val="0"/>
                      <w:color w:val="auto"/>
                      <w:sz w:val="18"/>
                      <w:szCs w:val="18"/>
                      <w:highlight w:val="none"/>
                      <w:lang w:val="en-US" w:eastAsia="zh-CN"/>
                    </w:rPr>
                    <w:t>区域污水管网，后排入新乡县综合污水处理厂进一步处理后达标排入东孟姜女河，最终汇入卫河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10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供电</w:t>
                  </w:r>
                </w:p>
              </w:tc>
              <w:tc>
                <w:tcPr>
                  <w:tcW w:w="35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sz w:val="18"/>
                      <w:szCs w:val="18"/>
                      <w:highlight w:val="none"/>
                      <w:lang w:eastAsia="zh-CN"/>
                    </w:rPr>
                    <w:t>新乡县市政供电管网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2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环保</w:t>
                  </w:r>
                </w:p>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工程</w:t>
                  </w:r>
                </w:p>
              </w:tc>
              <w:tc>
                <w:tcPr>
                  <w:tcW w:w="100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bCs/>
                      <w:snapToGrid w:val="0"/>
                      <w:color w:val="auto"/>
                      <w:kern w:val="0"/>
                      <w:sz w:val="18"/>
                      <w:szCs w:val="18"/>
                      <w:highlight w:val="none"/>
                    </w:rPr>
                    <w:t>废水治理</w:t>
                  </w:r>
                </w:p>
              </w:tc>
              <w:tc>
                <w:tcPr>
                  <w:tcW w:w="243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default" w:ascii="Times New Roman" w:hAnsi="Times New Roman" w:eastAsia="宋体"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生活污水</w:t>
                  </w:r>
                  <w:r>
                    <w:rPr>
                      <w:rFonts w:hint="eastAsia" w:ascii="Times New Roman" w:hAnsi="Times New Roman" w:cs="Times New Roman"/>
                      <w:snapToGrid w:val="0"/>
                      <w:color w:val="auto"/>
                      <w:sz w:val="18"/>
                      <w:szCs w:val="18"/>
                      <w:highlight w:val="none"/>
                      <w:lang w:val="en-US" w:eastAsia="zh-CN"/>
                    </w:rPr>
                    <w:t>经化粪池处理后排入厂区总排口</w:t>
                  </w:r>
                </w:p>
              </w:tc>
              <w:tc>
                <w:tcPr>
                  <w:tcW w:w="113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厂区总排口</w:t>
                  </w:r>
                  <w:r>
                    <w:rPr>
                      <w:rFonts w:hint="eastAsia" w:ascii="Times New Roman" w:hAnsi="Times New Roman" w:cs="Times New Roman"/>
                      <w:snapToGrid w:val="0"/>
                      <w:color w:val="auto"/>
                      <w:sz w:val="18"/>
                      <w:szCs w:val="18"/>
                      <w:highlight w:val="none"/>
                      <w:lang w:val="en-US" w:eastAsia="zh-CN"/>
                    </w:rPr>
                    <w:t>接入</w:t>
                  </w:r>
                  <w:r>
                    <w:rPr>
                      <w:rFonts w:hint="default" w:ascii="Times New Roman" w:hAnsi="Times New Roman" w:cs="Times New Roman"/>
                      <w:snapToGrid w:val="0"/>
                      <w:color w:val="auto"/>
                      <w:sz w:val="18"/>
                      <w:szCs w:val="18"/>
                      <w:highlight w:val="none"/>
                      <w:lang w:val="en-US" w:eastAsia="zh-CN"/>
                    </w:rPr>
                    <w:t>区域污水管网，后排入新乡县综合污水处理厂进一步处理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10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bCs/>
                      <w:snapToGrid w:val="0"/>
                      <w:color w:val="auto"/>
                      <w:kern w:val="0"/>
                      <w:sz w:val="18"/>
                      <w:szCs w:val="18"/>
                      <w:highlight w:val="none"/>
                    </w:rPr>
                  </w:pPr>
                </w:p>
              </w:tc>
              <w:tc>
                <w:tcPr>
                  <w:tcW w:w="243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default" w:ascii="Times New Roman" w:hAnsi="Times New Roman" w:cs="Times New Roman"/>
                      <w:snapToGrid w:val="0"/>
                      <w:color w:val="auto"/>
                      <w:sz w:val="18"/>
                      <w:szCs w:val="18"/>
                      <w:highlight w:val="none"/>
                      <w:lang w:val="en-US" w:eastAsia="zh-CN"/>
                    </w:rPr>
                  </w:pPr>
                  <w:r>
                    <w:rPr>
                      <w:rFonts w:hint="eastAsia" w:ascii="Times New Roman" w:hAnsi="Times New Roman" w:cs="Times New Roman"/>
                      <w:snapToGrid w:val="0"/>
                      <w:color w:val="auto"/>
                      <w:sz w:val="18"/>
                      <w:szCs w:val="18"/>
                      <w:highlight w:val="none"/>
                      <w:lang w:val="en-US" w:eastAsia="zh-CN"/>
                    </w:rPr>
                    <w:t>磨边工序冲洗废水、镀膜前后清洗废水均通过厂区设置“沉淀池+混凝沉淀池”处理后，排入厂区总排口</w:t>
                  </w:r>
                </w:p>
              </w:tc>
              <w:tc>
                <w:tcPr>
                  <w:tcW w:w="113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default" w:ascii="Times New Roman" w:hAnsi="Times New Roman" w:cs="Times New Roman"/>
                      <w:snapToGrid w:val="0"/>
                      <w:color w:val="auto"/>
                      <w:sz w:val="18"/>
                      <w:szCs w:val="18"/>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default" w:ascii="Times New Roman" w:hAnsi="Times New Roman" w:cs="Times New Roman"/>
                      <w:snapToGrid w:val="0"/>
                      <w:color w:val="auto"/>
                      <w:kern w:val="0"/>
                      <w:sz w:val="18"/>
                      <w:szCs w:val="18"/>
                      <w:highlight w:val="none"/>
                    </w:rPr>
                  </w:pPr>
                </w:p>
              </w:tc>
              <w:tc>
                <w:tcPr>
                  <w:tcW w:w="10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bCs/>
                      <w:snapToGrid w:val="0"/>
                      <w:color w:val="auto"/>
                      <w:kern w:val="0"/>
                      <w:sz w:val="18"/>
                      <w:szCs w:val="18"/>
                      <w:highlight w:val="none"/>
                    </w:rPr>
                  </w:pPr>
                </w:p>
              </w:tc>
              <w:tc>
                <w:tcPr>
                  <w:tcW w:w="243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default" w:ascii="Times New Roman" w:hAnsi="Times New Roman" w:cs="Times New Roman"/>
                      <w:snapToGrid w:val="0"/>
                      <w:color w:val="auto"/>
                      <w:sz w:val="18"/>
                      <w:szCs w:val="18"/>
                      <w:highlight w:val="none"/>
                      <w:lang w:eastAsia="zh-CN"/>
                    </w:rPr>
                  </w:pPr>
                  <w:r>
                    <w:rPr>
                      <w:rFonts w:hint="default" w:ascii="Times New Roman" w:hAnsi="Times New Roman" w:cs="Times New Roman"/>
                      <w:snapToGrid w:val="0"/>
                      <w:color w:val="auto"/>
                      <w:sz w:val="18"/>
                      <w:szCs w:val="18"/>
                      <w:highlight w:val="none"/>
                      <w:lang w:eastAsia="zh-CN"/>
                    </w:rPr>
                    <w:t>纯水制备浓水</w:t>
                  </w:r>
                  <w:r>
                    <w:rPr>
                      <w:rFonts w:hint="eastAsia" w:cs="Times New Roman"/>
                      <w:snapToGrid w:val="0"/>
                      <w:color w:val="auto"/>
                      <w:sz w:val="18"/>
                      <w:szCs w:val="18"/>
                      <w:highlight w:val="none"/>
                      <w:lang w:eastAsia="zh-CN"/>
                    </w:rPr>
                    <w:t>直接排入厂区总排口</w:t>
                  </w:r>
                </w:p>
              </w:tc>
              <w:tc>
                <w:tcPr>
                  <w:tcW w:w="113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default" w:ascii="Times New Roman" w:hAnsi="Times New Roman" w:cs="Times New Roman"/>
                      <w:snapToGrid w:val="0"/>
                      <w:color w:val="auto"/>
                      <w:sz w:val="18"/>
                      <w:szCs w:val="18"/>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default" w:ascii="Times New Roman" w:hAnsi="Times New Roman" w:cs="Times New Roman"/>
                      <w:snapToGrid w:val="0"/>
                      <w:color w:val="auto"/>
                      <w:kern w:val="0"/>
                      <w:sz w:val="18"/>
                      <w:szCs w:val="18"/>
                      <w:highlight w:val="none"/>
                    </w:rPr>
                  </w:pPr>
                </w:p>
              </w:tc>
              <w:tc>
                <w:tcPr>
                  <w:tcW w:w="100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噪声控制</w:t>
                  </w:r>
                </w:p>
              </w:tc>
              <w:tc>
                <w:tcPr>
                  <w:tcW w:w="35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机械设备噪声采取室内布置，设置减振基础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default" w:ascii="Times New Roman" w:hAnsi="Times New Roman" w:cs="Times New Roman"/>
                      <w:snapToGrid w:val="0"/>
                      <w:color w:val="auto"/>
                      <w:kern w:val="0"/>
                      <w:sz w:val="18"/>
                      <w:szCs w:val="18"/>
                      <w:highlight w:val="none"/>
                    </w:rPr>
                  </w:pPr>
                </w:p>
              </w:tc>
              <w:tc>
                <w:tcPr>
                  <w:tcW w:w="100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固废处置</w:t>
                  </w:r>
                </w:p>
              </w:tc>
              <w:tc>
                <w:tcPr>
                  <w:tcW w:w="35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原辅材料使用后废包装、划片过程产生的废边料、检验不合格品以及软水设备反渗透系统更换的废石英砂、反渗透膜均经设置一般固废暂存间分类暂存后，定期外售废品回收单位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default" w:ascii="Times New Roman" w:hAnsi="Times New Roman" w:cs="Times New Roman"/>
                      <w:snapToGrid w:val="0"/>
                      <w:color w:val="auto"/>
                      <w:kern w:val="0"/>
                      <w:sz w:val="18"/>
                      <w:szCs w:val="18"/>
                      <w:highlight w:val="none"/>
                    </w:rPr>
                  </w:pPr>
                </w:p>
              </w:tc>
              <w:tc>
                <w:tcPr>
                  <w:tcW w:w="10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35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各沉淀池清理残渣以及镀膜前玻璃擦拭工序产生的废无尘布经收集并于一般固废暂存间暂存后，定期交由环卫部门清运处理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default" w:ascii="Times New Roman" w:hAnsi="Times New Roman" w:cs="Times New Roman"/>
                      <w:snapToGrid w:val="0"/>
                      <w:color w:val="auto"/>
                      <w:kern w:val="0"/>
                      <w:sz w:val="18"/>
                      <w:szCs w:val="18"/>
                      <w:highlight w:val="none"/>
                    </w:rPr>
                  </w:pPr>
                </w:p>
              </w:tc>
              <w:tc>
                <w:tcPr>
                  <w:tcW w:w="10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cs="Times New Roman"/>
                      <w:snapToGrid w:val="0"/>
                      <w:color w:val="auto"/>
                      <w:kern w:val="0"/>
                      <w:sz w:val="18"/>
                      <w:szCs w:val="18"/>
                      <w:highlight w:val="none"/>
                    </w:rPr>
                  </w:pPr>
                </w:p>
              </w:tc>
              <w:tc>
                <w:tcPr>
                  <w:tcW w:w="356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生活垃圾经设置垃圾收集箱收集后，定期交由环卫部门清运处理</w:t>
                  </w:r>
                </w:p>
              </w:tc>
            </w:tr>
          </w:tbl>
          <w:p>
            <w:pPr>
              <w:keepNext w:val="0"/>
              <w:keepLines w:val="0"/>
              <w:pageBreakBefore w:val="0"/>
              <w:widowControl w:val="0"/>
              <w:numPr>
                <w:ilvl w:val="0"/>
                <w:numId w:val="9"/>
              </w:numPr>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现有产品方案</w:t>
            </w:r>
          </w:p>
          <w:p>
            <w:pPr>
              <w:pStyle w:val="21"/>
              <w:keepNext w:val="0"/>
              <w:keepLines w:val="0"/>
              <w:pageBreakBefore w:val="0"/>
              <w:widowControl w:val="0"/>
              <w:numPr>
                <w:ilvl w:val="0"/>
                <w:numId w:val="0"/>
              </w:numPr>
              <w:kinsoku/>
              <w:wordWrap/>
              <w:overflowPunct/>
              <w:topLinePunct w:val="0"/>
              <w:bidi w:val="0"/>
              <w:adjustRightInd/>
              <w:snapToGrid/>
              <w:spacing w:after="0" w:line="360" w:lineRule="auto"/>
              <w:ind w:left="0" w:firstLine="420" w:firstLineChars="200"/>
              <w:textAlignment w:val="auto"/>
              <w:rPr>
                <w:rFonts w:hint="default"/>
                <w:color w:val="auto"/>
                <w:lang w:val="en-US" w:eastAsia="zh-CN"/>
              </w:rPr>
            </w:pPr>
            <w:r>
              <w:rPr>
                <w:rFonts w:hint="default" w:ascii="Times New Roman" w:hAnsi="Times New Roman" w:cs="Times New Roman"/>
                <w:color w:val="auto"/>
                <w:sz w:val="21"/>
                <w:szCs w:val="21"/>
                <w:highlight w:val="none"/>
                <w:lang w:eastAsia="zh-CN"/>
              </w:rPr>
              <w:t>本次根据企业目前实际产品种类进行具体划分，具体产品方案如下：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现有项目产品方案一览表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575"/>
              <w:gridCol w:w="1539"/>
              <w:gridCol w:w="38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序号</w:t>
                  </w:r>
                </w:p>
              </w:tc>
              <w:tc>
                <w:tcPr>
                  <w:tcW w:w="103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产品名称</w:t>
                  </w:r>
                </w:p>
              </w:tc>
              <w:tc>
                <w:tcPr>
                  <w:tcW w:w="10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年产量（</w:t>
                  </w:r>
                  <w:r>
                    <w:rPr>
                      <w:rFonts w:hint="eastAsia" w:cs="Times New Roman"/>
                      <w:snapToGrid w:val="0"/>
                      <w:color w:val="auto"/>
                      <w:kern w:val="0"/>
                      <w:sz w:val="18"/>
                      <w:szCs w:val="18"/>
                      <w:highlight w:val="none"/>
                      <w:lang w:eastAsia="zh-CN"/>
                    </w:rPr>
                    <w:t>片</w:t>
                  </w:r>
                  <w:r>
                    <w:rPr>
                      <w:rFonts w:hint="eastAsia" w:cs="Times New Roman"/>
                      <w:snapToGrid w:val="0"/>
                      <w:color w:val="auto"/>
                      <w:kern w:val="0"/>
                      <w:sz w:val="18"/>
                      <w:szCs w:val="18"/>
                      <w:highlight w:val="none"/>
                      <w:lang w:val="en-US" w:eastAsia="zh-CN"/>
                    </w:rPr>
                    <w:t>/年</w:t>
                  </w:r>
                  <w:r>
                    <w:rPr>
                      <w:rFonts w:hint="default" w:ascii="Times New Roman" w:hAnsi="Times New Roman" w:cs="Times New Roman"/>
                      <w:snapToGrid w:val="0"/>
                      <w:color w:val="auto"/>
                      <w:kern w:val="0"/>
                      <w:sz w:val="18"/>
                      <w:szCs w:val="18"/>
                      <w:highlight w:val="none"/>
                    </w:rPr>
                    <w:t>）</w:t>
                  </w:r>
                </w:p>
              </w:tc>
              <w:tc>
                <w:tcPr>
                  <w:tcW w:w="254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eastAsia" w:cs="Times New Roman"/>
                      <w:snapToGrid w:val="0"/>
                      <w:color w:val="auto"/>
                      <w:kern w:val="0"/>
                      <w:sz w:val="18"/>
                      <w:szCs w:val="18"/>
                      <w:highlight w:val="none"/>
                      <w:lang w:val="en-US" w:eastAsia="zh-CN" w:bidi="ar-SA"/>
                    </w:rPr>
                    <w:t>1</w:t>
                  </w:r>
                </w:p>
              </w:tc>
              <w:tc>
                <w:tcPr>
                  <w:tcW w:w="103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color w:val="auto"/>
                      <w:sz w:val="18"/>
                      <w:szCs w:val="18"/>
                      <w:highlight w:val="none"/>
                      <w:lang w:eastAsia="zh-CN"/>
                    </w:rPr>
                    <w:t>窗口保护镜片</w:t>
                  </w:r>
                </w:p>
              </w:tc>
              <w:tc>
                <w:tcPr>
                  <w:tcW w:w="10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val="en-US" w:eastAsia="zh-CN"/>
                    </w:rPr>
                    <w:t>2</w:t>
                  </w:r>
                  <w:r>
                    <w:rPr>
                      <w:rFonts w:hint="default" w:ascii="Times New Roman" w:hAnsi="Times New Roman" w:cs="Times New Roman"/>
                      <w:snapToGrid w:val="0"/>
                      <w:color w:val="auto"/>
                      <w:kern w:val="0"/>
                      <w:sz w:val="18"/>
                      <w:szCs w:val="18"/>
                      <w:highlight w:val="none"/>
                      <w:lang w:val="en-US" w:eastAsia="zh-CN"/>
                    </w:rPr>
                    <w:t>00000</w:t>
                  </w:r>
                </w:p>
              </w:tc>
              <w:tc>
                <w:tcPr>
                  <w:tcW w:w="254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用于显微镜等光学仪器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val="en-US" w:eastAsia="zh-CN"/>
                    </w:rPr>
                    <w:t>2</w:t>
                  </w:r>
                </w:p>
              </w:tc>
              <w:tc>
                <w:tcPr>
                  <w:tcW w:w="103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color w:val="auto"/>
                      <w:sz w:val="18"/>
                      <w:szCs w:val="18"/>
                      <w:highlight w:val="none"/>
                      <w:lang w:eastAsia="zh-CN"/>
                    </w:rPr>
                    <w:t>反射镜（平面）</w:t>
                  </w:r>
                </w:p>
              </w:tc>
              <w:tc>
                <w:tcPr>
                  <w:tcW w:w="100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200000</w:t>
                  </w:r>
                </w:p>
              </w:tc>
              <w:tc>
                <w:tcPr>
                  <w:tcW w:w="254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用于光学仪器聚光、散光等功能</w:t>
                  </w:r>
                </w:p>
              </w:tc>
            </w:tr>
          </w:tbl>
          <w:p>
            <w:pPr>
              <w:keepNext w:val="0"/>
              <w:keepLines w:val="0"/>
              <w:pageBreakBefore w:val="0"/>
              <w:widowControl w:val="0"/>
              <w:numPr>
                <w:ilvl w:val="0"/>
                <w:numId w:val="9"/>
              </w:numPr>
              <w:kinsoku/>
              <w:wordWrap/>
              <w:overflowPunct/>
              <w:topLinePunct w:val="0"/>
              <w:autoSpaceDE w:val="0"/>
              <w:autoSpaceDN w:val="0"/>
              <w:bidi w:val="0"/>
              <w:adjustRightInd/>
              <w:snapToGrid/>
              <w:spacing w:line="360" w:lineRule="auto"/>
              <w:ind w:left="0" w:leftChars="0" w:firstLine="422" w:firstLineChars="200"/>
              <w:textAlignment w:val="auto"/>
              <w:rPr>
                <w:rFonts w:hint="default"/>
                <w:lang w:val="en-US" w:eastAsia="zh-CN"/>
              </w:rPr>
            </w:pPr>
            <w:r>
              <w:rPr>
                <w:rFonts w:hint="default" w:ascii="Times New Roman" w:hAnsi="Times New Roman" w:cs="Times New Roman"/>
                <w:b/>
                <w:bCs/>
                <w:color w:val="auto"/>
                <w:kern w:val="0"/>
                <w:szCs w:val="21"/>
                <w:highlight w:val="none"/>
              </w:rPr>
              <w:t>现有原辅料、动力消耗情况</w:t>
            </w:r>
            <w:r>
              <w:rPr>
                <w:rFonts w:hint="default" w:ascii="Times New Roman" w:hAnsi="Times New Roman" w:cs="Times New Roman"/>
                <w:b/>
                <w:bCs/>
                <w:color w:val="auto"/>
                <w:kern w:val="0"/>
                <w:szCs w:val="21"/>
                <w:highlight w:val="none"/>
              </w:rPr>
              <w:br w:type="textWrapping"/>
            </w:r>
            <w:r>
              <w:rPr>
                <w:rFonts w:hint="default" w:ascii="Times New Roman" w:hAnsi="Times New Roman" w:cs="Times New Roman"/>
                <w:b/>
                <w:bCs/>
                <w:color w:val="auto"/>
                <w:kern w:val="0"/>
                <w:szCs w:val="21"/>
                <w:highlight w:val="none"/>
              </w:rPr>
              <w:br w:type="textWrapp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现有项目主要原辅料消耗一览表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529"/>
              <w:gridCol w:w="1231"/>
              <w:gridCol w:w="1125"/>
              <w:gridCol w:w="1553"/>
              <w:gridCol w:w="15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序号</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原材料名称</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用量</w:t>
                  </w:r>
                </w:p>
              </w:tc>
              <w:tc>
                <w:tcPr>
                  <w:tcW w:w="7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单位</w:t>
                  </w:r>
                </w:p>
              </w:tc>
              <w:tc>
                <w:tcPr>
                  <w:tcW w:w="101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rPr>
                    <w:t>储运方式</w:t>
                  </w:r>
                </w:p>
              </w:tc>
              <w:tc>
                <w:tcPr>
                  <w:tcW w:w="99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1</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平面玻璃</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20</w:t>
                  </w:r>
                </w:p>
              </w:tc>
              <w:tc>
                <w:tcPr>
                  <w:tcW w:w="7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t/a</w:t>
                  </w:r>
                </w:p>
              </w:tc>
              <w:tc>
                <w:tcPr>
                  <w:tcW w:w="101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bidi="ar-SA"/>
                    </w:rPr>
                    <w:t>密闭库存</w:t>
                  </w:r>
                </w:p>
              </w:tc>
              <w:tc>
                <w:tcPr>
                  <w:tcW w:w="99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2</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清洗液</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25</w:t>
                  </w:r>
                </w:p>
              </w:tc>
              <w:tc>
                <w:tcPr>
                  <w:tcW w:w="7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lang w:val="en-US" w:eastAsia="zh-CN"/>
                    </w:rPr>
                    <w:t>L/a</w:t>
                  </w:r>
                </w:p>
              </w:tc>
              <w:tc>
                <w:tcPr>
                  <w:tcW w:w="101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bidi="ar-SA"/>
                    </w:rPr>
                    <w:t>密闭库存</w:t>
                  </w:r>
                </w:p>
              </w:tc>
              <w:tc>
                <w:tcPr>
                  <w:tcW w:w="99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3</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eastAsia" w:cs="Times New Roman"/>
                      <w:snapToGrid w:val="0"/>
                      <w:color w:val="auto"/>
                      <w:kern w:val="0"/>
                      <w:sz w:val="18"/>
                      <w:szCs w:val="18"/>
                      <w:highlight w:val="none"/>
                      <w:lang w:eastAsia="zh-CN"/>
                    </w:rPr>
                    <w:t>二氧化钛</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val="en-US" w:eastAsia="zh-CN"/>
                    </w:rPr>
                    <w:t>40</w:t>
                  </w:r>
                </w:p>
              </w:tc>
              <w:tc>
                <w:tcPr>
                  <w:tcW w:w="7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lang w:val="en-US" w:eastAsia="zh-CN"/>
                    </w:rPr>
                    <w:t>kg/a</w:t>
                  </w:r>
                </w:p>
              </w:tc>
              <w:tc>
                <w:tcPr>
                  <w:tcW w:w="101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bidi="ar-SA"/>
                    </w:rPr>
                    <w:t>密闭库存</w:t>
                  </w:r>
                </w:p>
              </w:tc>
              <w:tc>
                <w:tcPr>
                  <w:tcW w:w="99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4</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二氧化锆</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40</w:t>
                  </w:r>
                </w:p>
              </w:tc>
              <w:tc>
                <w:tcPr>
                  <w:tcW w:w="7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lang w:val="en-US" w:eastAsia="zh-CN"/>
                    </w:rPr>
                    <w:t>kg/a</w:t>
                  </w:r>
                </w:p>
              </w:tc>
              <w:tc>
                <w:tcPr>
                  <w:tcW w:w="101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bidi="ar-SA"/>
                    </w:rPr>
                    <w:t>密闭库存</w:t>
                  </w:r>
                </w:p>
              </w:tc>
              <w:tc>
                <w:tcPr>
                  <w:tcW w:w="99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5</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bidi="ar-SA"/>
                    </w:rPr>
                    <w:t>二氧化硅</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bidi="ar-SA"/>
                    </w:rPr>
                    <w:t>40</w:t>
                  </w:r>
                </w:p>
              </w:tc>
              <w:tc>
                <w:tcPr>
                  <w:tcW w:w="7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kg/a</w:t>
                  </w:r>
                </w:p>
              </w:tc>
              <w:tc>
                <w:tcPr>
                  <w:tcW w:w="101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bidi="ar-SA"/>
                    </w:rPr>
                    <w:t>密闭库存</w:t>
                  </w:r>
                </w:p>
              </w:tc>
              <w:tc>
                <w:tcPr>
                  <w:tcW w:w="99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6</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bidi="ar-SA"/>
                    </w:rPr>
                    <w:t>清洗剂</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bidi="ar-SA"/>
                    </w:rPr>
                    <w:t>50</w:t>
                  </w:r>
                </w:p>
              </w:tc>
              <w:tc>
                <w:tcPr>
                  <w:tcW w:w="7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L/a</w:t>
                  </w:r>
                </w:p>
              </w:tc>
              <w:tc>
                <w:tcPr>
                  <w:tcW w:w="101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bidi="ar-SA"/>
                    </w:rPr>
                    <w:t>密闭库存</w:t>
                  </w:r>
                </w:p>
              </w:tc>
              <w:tc>
                <w:tcPr>
                  <w:tcW w:w="99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eastAsia="zh-CN"/>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val="en-US" w:eastAsia="zh-CN"/>
                    </w:rPr>
                    <w:t>7</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水</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3619.8705</w:t>
                  </w:r>
                </w:p>
              </w:tc>
              <w:tc>
                <w:tcPr>
                  <w:tcW w:w="7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m</w:t>
                  </w:r>
                  <w:r>
                    <w:rPr>
                      <w:rFonts w:hint="default" w:ascii="Times New Roman" w:hAnsi="Times New Roman" w:cs="Times New Roman"/>
                      <w:snapToGrid w:val="0"/>
                      <w:color w:val="auto"/>
                      <w:kern w:val="0"/>
                      <w:sz w:val="18"/>
                      <w:szCs w:val="18"/>
                      <w:highlight w:val="none"/>
                      <w:vertAlign w:val="superscript"/>
                      <w:lang w:val="en-US" w:eastAsia="zh-CN"/>
                    </w:rPr>
                    <w:t>3</w:t>
                  </w:r>
                  <w:r>
                    <w:rPr>
                      <w:rFonts w:hint="default" w:ascii="Times New Roman" w:hAnsi="Times New Roman" w:cs="Times New Roman"/>
                      <w:snapToGrid w:val="0"/>
                      <w:color w:val="auto"/>
                      <w:kern w:val="0"/>
                      <w:sz w:val="18"/>
                      <w:szCs w:val="18"/>
                      <w:highlight w:val="none"/>
                      <w:lang w:val="en-US" w:eastAsia="zh-CN"/>
                    </w:rPr>
                    <w:t>/a</w:t>
                  </w:r>
                </w:p>
              </w:tc>
              <w:tc>
                <w:tcPr>
                  <w:tcW w:w="101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管道输送</w:t>
                  </w:r>
                </w:p>
              </w:tc>
              <w:tc>
                <w:tcPr>
                  <w:tcW w:w="99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市政供水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8</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电</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10万</w:t>
                  </w:r>
                </w:p>
              </w:tc>
              <w:tc>
                <w:tcPr>
                  <w:tcW w:w="7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kWh/a</w:t>
                  </w:r>
                </w:p>
              </w:tc>
              <w:tc>
                <w:tcPr>
                  <w:tcW w:w="101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电网输送</w:t>
                  </w:r>
                </w:p>
              </w:tc>
              <w:tc>
                <w:tcPr>
                  <w:tcW w:w="99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市政供电</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lang w:eastAsia="zh-CN"/>
              </w:rPr>
              <w:t>现有工程生产设备</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现有工程生产设备一览表</w:t>
            </w:r>
          </w:p>
          <w:tbl>
            <w:tblPr>
              <w:tblStyle w:val="23"/>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508"/>
              <w:gridCol w:w="1995"/>
              <w:gridCol w:w="849"/>
              <w:gridCol w:w="849"/>
              <w:gridCol w:w="1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序号</w:t>
                  </w:r>
                </w:p>
              </w:tc>
              <w:tc>
                <w:tcPr>
                  <w:tcW w:w="987"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设备名称</w:t>
                  </w:r>
                </w:p>
              </w:tc>
              <w:tc>
                <w:tcPr>
                  <w:tcW w:w="1306"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eastAsia="zh-CN"/>
                    </w:rPr>
                    <w:t>型号、规格、性能</w:t>
                  </w:r>
                </w:p>
              </w:tc>
              <w:tc>
                <w:tcPr>
                  <w:tcW w:w="556" w:type="pct"/>
                  <w:tcBorders>
                    <w:righ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eastAsia="zh-CN"/>
                    </w:rPr>
                    <w:t>数量</w:t>
                  </w:r>
                </w:p>
              </w:tc>
              <w:tc>
                <w:tcPr>
                  <w:tcW w:w="556"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单位</w:t>
                  </w:r>
                </w:p>
              </w:tc>
              <w:tc>
                <w:tcPr>
                  <w:tcW w:w="1140"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w:t>
                  </w:r>
                </w:p>
              </w:tc>
              <w:tc>
                <w:tcPr>
                  <w:tcW w:w="987"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多层真空镀膜机</w:t>
                  </w:r>
                </w:p>
              </w:tc>
              <w:tc>
                <w:tcPr>
                  <w:tcW w:w="1306"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ZZSC800~1000</w:t>
                  </w:r>
                </w:p>
              </w:tc>
              <w:tc>
                <w:tcPr>
                  <w:tcW w:w="556" w:type="pct"/>
                  <w:tcBorders>
                    <w:righ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9</w:t>
                  </w:r>
                </w:p>
              </w:tc>
              <w:tc>
                <w:tcPr>
                  <w:tcW w:w="556"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eastAsia="zh-CN"/>
                    </w:rPr>
                    <w:t>台</w:t>
                  </w:r>
                </w:p>
              </w:tc>
              <w:tc>
                <w:tcPr>
                  <w:tcW w:w="1140"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镀膜设备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2</w:t>
                  </w:r>
                </w:p>
              </w:tc>
              <w:tc>
                <w:tcPr>
                  <w:tcW w:w="987"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仿形磨边机</w:t>
                  </w:r>
                </w:p>
              </w:tc>
              <w:tc>
                <w:tcPr>
                  <w:tcW w:w="1306"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556" w:type="pct"/>
                  <w:tcBorders>
                    <w:righ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10</w:t>
                  </w:r>
                </w:p>
              </w:tc>
              <w:tc>
                <w:tcPr>
                  <w:tcW w:w="556"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eastAsia="zh-CN"/>
                    </w:rPr>
                    <w:t>台</w:t>
                  </w:r>
                </w:p>
              </w:tc>
              <w:tc>
                <w:tcPr>
                  <w:tcW w:w="1140"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磨边设备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3</w:t>
                  </w:r>
                </w:p>
              </w:tc>
              <w:tc>
                <w:tcPr>
                  <w:tcW w:w="987"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玻璃刀</w:t>
                  </w:r>
                </w:p>
              </w:tc>
              <w:tc>
                <w:tcPr>
                  <w:tcW w:w="1306"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556" w:type="pct"/>
                  <w:tcBorders>
                    <w:righ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5</w:t>
                  </w:r>
                </w:p>
              </w:tc>
              <w:tc>
                <w:tcPr>
                  <w:tcW w:w="556"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eastAsia="zh-CN"/>
                    </w:rPr>
                    <w:t>台</w:t>
                  </w:r>
                </w:p>
              </w:tc>
              <w:tc>
                <w:tcPr>
                  <w:tcW w:w="1140"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切割设备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4</w:t>
                  </w:r>
                </w:p>
              </w:tc>
              <w:tc>
                <w:tcPr>
                  <w:tcW w:w="987"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抛光机</w:t>
                  </w:r>
                </w:p>
              </w:tc>
              <w:tc>
                <w:tcPr>
                  <w:tcW w:w="1306"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556" w:type="pct"/>
                  <w:tcBorders>
                    <w:righ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6</w:t>
                  </w:r>
                </w:p>
              </w:tc>
              <w:tc>
                <w:tcPr>
                  <w:tcW w:w="556"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台</w:t>
                  </w:r>
                </w:p>
              </w:tc>
              <w:tc>
                <w:tcPr>
                  <w:tcW w:w="1140"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抛光设备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5</w:t>
                  </w:r>
                </w:p>
              </w:tc>
              <w:tc>
                <w:tcPr>
                  <w:tcW w:w="987"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空压机</w:t>
                  </w:r>
                </w:p>
              </w:tc>
              <w:tc>
                <w:tcPr>
                  <w:tcW w:w="1306"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556" w:type="pct"/>
                  <w:tcBorders>
                    <w:righ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2</w:t>
                  </w:r>
                </w:p>
              </w:tc>
              <w:tc>
                <w:tcPr>
                  <w:tcW w:w="556"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eastAsia="zh-CN"/>
                    </w:rPr>
                    <w:t>台</w:t>
                  </w:r>
                </w:p>
              </w:tc>
              <w:tc>
                <w:tcPr>
                  <w:tcW w:w="1140"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6</w:t>
                  </w:r>
                </w:p>
              </w:tc>
              <w:tc>
                <w:tcPr>
                  <w:tcW w:w="987"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超声波清洗机</w:t>
                  </w:r>
                </w:p>
              </w:tc>
              <w:tc>
                <w:tcPr>
                  <w:tcW w:w="1306"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556" w:type="pct"/>
                  <w:tcBorders>
                    <w:righ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2</w:t>
                  </w:r>
                </w:p>
              </w:tc>
              <w:tc>
                <w:tcPr>
                  <w:tcW w:w="556"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eastAsia="zh-CN"/>
                    </w:rPr>
                    <w:t>台</w:t>
                  </w:r>
                </w:p>
              </w:tc>
              <w:tc>
                <w:tcPr>
                  <w:tcW w:w="1140"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清洗设备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7</w:t>
                  </w:r>
                </w:p>
              </w:tc>
              <w:tc>
                <w:tcPr>
                  <w:tcW w:w="987"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纯水机</w:t>
                  </w:r>
                </w:p>
              </w:tc>
              <w:tc>
                <w:tcPr>
                  <w:tcW w:w="1306"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556" w:type="pct"/>
                  <w:tcBorders>
                    <w:righ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w:t>
                  </w:r>
                </w:p>
              </w:tc>
              <w:tc>
                <w:tcPr>
                  <w:tcW w:w="556"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eastAsia="zh-CN"/>
                    </w:rPr>
                    <w:t>台</w:t>
                  </w:r>
                </w:p>
              </w:tc>
              <w:tc>
                <w:tcPr>
                  <w:tcW w:w="1140"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纯水制备设备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8</w:t>
                  </w:r>
                </w:p>
              </w:tc>
              <w:tc>
                <w:tcPr>
                  <w:tcW w:w="987"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烘箱</w:t>
                  </w:r>
                </w:p>
              </w:tc>
              <w:tc>
                <w:tcPr>
                  <w:tcW w:w="1306"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556" w:type="pct"/>
                  <w:tcBorders>
                    <w:righ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2</w:t>
                  </w:r>
                </w:p>
              </w:tc>
              <w:tc>
                <w:tcPr>
                  <w:tcW w:w="556"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eastAsia="zh-CN"/>
                    </w:rPr>
                    <w:t>台</w:t>
                  </w:r>
                </w:p>
              </w:tc>
              <w:tc>
                <w:tcPr>
                  <w:tcW w:w="1140"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用于磨料干燥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9</w:t>
                  </w:r>
                </w:p>
              </w:tc>
              <w:tc>
                <w:tcPr>
                  <w:tcW w:w="987"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分光光度计</w:t>
                  </w:r>
                </w:p>
              </w:tc>
              <w:tc>
                <w:tcPr>
                  <w:tcW w:w="1306"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w:t>
                  </w:r>
                </w:p>
              </w:tc>
              <w:tc>
                <w:tcPr>
                  <w:tcW w:w="556" w:type="pct"/>
                  <w:tcBorders>
                    <w:righ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2</w:t>
                  </w:r>
                </w:p>
              </w:tc>
              <w:tc>
                <w:tcPr>
                  <w:tcW w:w="556"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eastAsia="zh-CN"/>
                    </w:rPr>
                    <w:t>台</w:t>
                  </w:r>
                </w:p>
              </w:tc>
              <w:tc>
                <w:tcPr>
                  <w:tcW w:w="1140"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检测设备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10</w:t>
                  </w:r>
                </w:p>
              </w:tc>
              <w:tc>
                <w:tcPr>
                  <w:tcW w:w="987" w:type="pct"/>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cs="Times New Roman"/>
                      <w:i w:val="0"/>
                      <w:iCs w:val="0"/>
                      <w:color w:val="auto"/>
                      <w:kern w:val="0"/>
                      <w:sz w:val="18"/>
                      <w:szCs w:val="18"/>
                      <w:highlight w:val="none"/>
                      <w:u w:val="none"/>
                      <w:lang w:val="en-US" w:eastAsia="zh-CN" w:bidi="ar"/>
                    </w:rPr>
                    <w:t>沉淀池</w:t>
                  </w:r>
                </w:p>
              </w:tc>
              <w:tc>
                <w:tcPr>
                  <w:tcW w:w="1306"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6m×6m×2m</w:t>
                  </w:r>
                </w:p>
              </w:tc>
              <w:tc>
                <w:tcPr>
                  <w:tcW w:w="556" w:type="pct"/>
                  <w:tcBorders>
                    <w:righ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w:t>
                  </w:r>
                </w:p>
              </w:tc>
              <w:tc>
                <w:tcPr>
                  <w:tcW w:w="556"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val="en-US" w:eastAsia="zh-CN" w:bidi="ar-SA"/>
                    </w:rPr>
                    <w:t>座</w:t>
                  </w:r>
                </w:p>
              </w:tc>
              <w:tc>
                <w:tcPr>
                  <w:tcW w:w="1140"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冲洗废水处理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11</w:t>
                  </w:r>
                </w:p>
              </w:tc>
              <w:tc>
                <w:tcPr>
                  <w:tcW w:w="987" w:type="pct"/>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cs="Times New Roman"/>
                      <w:i w:val="0"/>
                      <w:iCs w:val="0"/>
                      <w:color w:val="auto"/>
                      <w:kern w:val="0"/>
                      <w:sz w:val="18"/>
                      <w:szCs w:val="18"/>
                      <w:highlight w:val="none"/>
                      <w:u w:val="none"/>
                      <w:lang w:val="en-US" w:eastAsia="zh-CN" w:bidi="ar"/>
                    </w:rPr>
                    <w:t>混凝沉淀池</w:t>
                  </w:r>
                </w:p>
              </w:tc>
              <w:tc>
                <w:tcPr>
                  <w:tcW w:w="1306" w:type="pct"/>
                  <w:tcBorders>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5m×1m×1m</w:t>
                  </w:r>
                </w:p>
              </w:tc>
              <w:tc>
                <w:tcPr>
                  <w:tcW w:w="556" w:type="pct"/>
                  <w:tcBorders>
                    <w:righ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w:t>
                  </w:r>
                </w:p>
              </w:tc>
              <w:tc>
                <w:tcPr>
                  <w:tcW w:w="556"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val="en-US" w:eastAsia="zh-CN" w:bidi="ar-SA"/>
                    </w:rPr>
                    <w:t>座</w:t>
                  </w:r>
                </w:p>
              </w:tc>
              <w:tc>
                <w:tcPr>
                  <w:tcW w:w="1140" w:type="pct"/>
                  <w:tcBorders>
                    <w:left w:val="single" w:color="000000" w:sz="4" w:space="0"/>
                    <w:tl2br w:val="nil"/>
                    <w:tr2bl w:val="nil"/>
                  </w:tcBorders>
                  <w:vAlign w:val="center"/>
                </w:tcPr>
                <w:p>
                  <w:pPr>
                    <w:pStyle w:val="28"/>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vertAlign w:val="baseline"/>
                      <w:lang w:eastAsia="zh-CN"/>
                    </w:rPr>
                    <w:t>清洗废水处理</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lang w:eastAsia="zh-CN"/>
              </w:rPr>
              <w:t>现有工程工艺流程叙述</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eastAsia="宋体"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eastAsia="zh-CN"/>
              </w:rPr>
              <w:t>（</w:t>
            </w:r>
            <w:r>
              <w:rPr>
                <w:rFonts w:hint="eastAsia" w:ascii="Times New Roman" w:hAnsi="Times New Roman" w:cs="Times New Roman"/>
                <w:b/>
                <w:bCs/>
                <w:color w:val="auto"/>
                <w:sz w:val="21"/>
                <w:szCs w:val="21"/>
                <w:highlight w:val="none"/>
                <w:lang w:val="en-US" w:eastAsia="zh-CN"/>
              </w:rPr>
              <w:t>1</w:t>
            </w:r>
            <w:r>
              <w:rPr>
                <w:rFonts w:hint="eastAsia" w:ascii="Times New Roman" w:hAnsi="Times New Roman" w:cs="Times New Roman"/>
                <w:b/>
                <w:bCs/>
                <w:color w:val="auto"/>
                <w:sz w:val="21"/>
                <w:szCs w:val="21"/>
                <w:highlight w:val="none"/>
                <w:lang w:eastAsia="zh-CN"/>
              </w:rPr>
              <w:t>）生产工艺流程</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20" w:firstLineChars="200"/>
              <w:jc w:val="left"/>
              <w:textAlignment w:val="auto"/>
              <w:rPr>
                <w:rFonts w:hint="default" w:ascii="Times New Roman" w:hAnsi="Times New Roman"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现有工程工艺流程</w:t>
            </w:r>
            <w:r>
              <w:rPr>
                <w:rFonts w:hint="default" w:ascii="Times New Roman" w:hAnsi="Times New Roman" w:cs="Times New Roman"/>
                <w:b w:val="0"/>
                <w:bCs w:val="0"/>
                <w:color w:val="auto"/>
                <w:sz w:val="21"/>
                <w:szCs w:val="21"/>
                <w:highlight w:val="none"/>
                <w:lang w:eastAsia="zh-CN"/>
              </w:rPr>
              <w:t>如下：</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color w:val="auto"/>
                <w:highlight w:val="cyan"/>
                <w:lang w:eastAsia="zh-CN"/>
              </w:rPr>
            </w:pPr>
            <w:r>
              <w:rPr>
                <w:rFonts w:hint="default" w:ascii="Times New Roman" w:hAnsi="Times New Roman" w:cs="Times New Roman"/>
                <w:b w:val="0"/>
                <w:bCs w:val="0"/>
                <w:color w:val="auto"/>
                <w:sz w:val="21"/>
                <w:szCs w:val="21"/>
                <w:highlight w:val="none"/>
                <w:lang w:eastAsia="zh-CN"/>
              </w:rPr>
              <w:br w:type="textWrapping"/>
            </w:r>
            <w:r>
              <w:rPr>
                <w:rFonts w:hint="default" w:ascii="Times New Roman" w:hAnsi="Times New Roman" w:cs="Times New Roman"/>
                <w:b w:val="0"/>
                <w:bCs w:val="0"/>
                <w:color w:val="auto"/>
                <w:sz w:val="21"/>
                <w:szCs w:val="21"/>
                <w:highlight w:val="none"/>
                <w:lang w:eastAsia="zh-CN"/>
              </w:rPr>
              <w:br w:type="textWrapping"/>
            </w:r>
            <w:r>
              <w:rPr>
                <w:rFonts w:hint="default" w:ascii="Times New Roman" w:hAnsi="Times New Roman" w:cs="Times New Roman"/>
                <w:b w:val="0"/>
                <w:bCs w:val="0"/>
                <w:color w:val="auto"/>
                <w:sz w:val="21"/>
                <w:szCs w:val="21"/>
                <w:highlight w:val="none"/>
                <w:lang w:eastAsia="zh-CN"/>
              </w:rPr>
              <w:br w:type="textWrapping"/>
            </w:r>
            <w:r>
              <w:rPr>
                <w:rFonts w:hint="default" w:ascii="Times New Roman" w:hAnsi="Times New Roman" w:cs="Times New Roman"/>
                <w:b w:val="0"/>
                <w:bCs w:val="0"/>
                <w:color w:val="auto"/>
                <w:sz w:val="21"/>
                <w:szCs w:val="21"/>
                <w:highlight w:val="none"/>
                <w:lang w:eastAsia="zh-CN"/>
              </w:rPr>
              <w:br w:type="textWrapping"/>
            </w:r>
            <w:r>
              <w:rPr>
                <w:rFonts w:hint="default" w:ascii="Times New Roman" w:hAnsi="Times New Roman" w:cs="Times New Roman"/>
                <w:b w:val="0"/>
                <w:bCs w:val="0"/>
                <w:color w:val="auto"/>
                <w:sz w:val="21"/>
                <w:szCs w:val="21"/>
                <w:highlight w:val="none"/>
                <w:lang w:eastAsia="zh-CN"/>
              </w:rPr>
              <w:br w:type="textWrapping"/>
            </w:r>
            <w:r>
              <w:rPr>
                <w:rFonts w:hint="default" w:ascii="Times New Roman" w:hAnsi="Times New Roman" w:cs="Times New Roman"/>
                <w:color w:val="auto"/>
                <w:highlight w:val="none"/>
                <w:lang w:eastAsia="zh-CN"/>
              </w:rPr>
              <w:object>
                <v:shape id="_x0000_i1028" o:spt="75" type="#_x0000_t75" style="height:349.75pt;width:201.1pt;" o:ole="t" filled="f" o:preferrelative="t" stroked="f" coordsize="21600,21600">
                  <v:path/>
                  <v:fill on="f" focussize="0,0"/>
                  <v:stroke on="f"/>
                  <v:imagedata r:id="rId22" cropleft="1930f" croptop="3203f" cropbottom="1331f" o:title=""/>
                  <o:lock v:ext="edit" aspectratio="t"/>
                  <w10:wrap type="none"/>
                  <w10:anchorlock/>
                </v:shape>
                <o:OLEObject Type="Embed" ProgID="Visio.Drawing.15" ShapeID="_x0000_i1028" DrawAspect="Content" ObjectID="_1468075728" r:id="rId21">
                  <o:LockedField>false</o:LockedField>
                </o:OLEObject>
              </w:object>
            </w:r>
          </w:p>
          <w:p>
            <w:pPr>
              <w:pStyle w:val="11"/>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工艺流程及产污环节图</w:t>
            </w:r>
          </w:p>
          <w:p>
            <w:pPr>
              <w:pStyle w:val="28"/>
              <w:keepNext w:val="0"/>
              <w:keepLines w:val="0"/>
              <w:pageBreakBefore w:val="0"/>
              <w:widowControl w:val="0"/>
              <w:kinsoku/>
              <w:wordWrap/>
              <w:overflowPunct/>
              <w:topLinePunct w:val="0"/>
              <w:autoSpaceDE w:val="0"/>
              <w:autoSpaceDN w:val="0"/>
              <w:bidi w:val="0"/>
              <w:adjustRightInd/>
              <w:snapToGrid/>
              <w:spacing w:line="360" w:lineRule="auto"/>
              <w:ind w:left="0" w:leftChars="0" w:firstLine="422" w:firstLineChars="200"/>
              <w:jc w:val="both"/>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工艺流程及产污环节叙述如下：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fldChar w:fldCharType="begin"/>
            </w:r>
            <w:r>
              <w:rPr>
                <w:rFonts w:hint="default" w:ascii="Times New Roman" w:hAnsi="Times New Roman" w:eastAsia="宋体" w:cs="Times New Roman"/>
                <w:b/>
                <w:bCs/>
                <w:color w:val="auto"/>
                <w:sz w:val="21"/>
                <w:szCs w:val="21"/>
                <w:highlight w:val="none"/>
                <w:lang w:eastAsia="zh-CN"/>
              </w:rPr>
              <w:instrText xml:space="preserve"> = 1 \* GB3 \* MERGEFORMAT </w:instrText>
            </w:r>
            <w:r>
              <w:rPr>
                <w:rFonts w:hint="default" w:ascii="Times New Roman" w:hAnsi="Times New Roman" w:eastAsia="宋体" w:cs="Times New Roman"/>
                <w:b/>
                <w:bCs/>
                <w:color w:val="auto"/>
                <w:sz w:val="21"/>
                <w:szCs w:val="21"/>
                <w:highlight w:val="none"/>
                <w:lang w:eastAsia="zh-CN"/>
              </w:rPr>
              <w:fldChar w:fldCharType="separate"/>
            </w:r>
            <w:r>
              <w:rPr>
                <w:rFonts w:hint="default" w:ascii="Times New Roman" w:hAnsi="Times New Roman" w:eastAsia="宋体" w:cs="Times New Roman"/>
                <w:b/>
                <w:bCs/>
                <w:color w:val="auto"/>
                <w:sz w:val="21"/>
                <w:szCs w:val="21"/>
                <w:highlight w:val="none"/>
              </w:rPr>
              <w:t>①</w:t>
            </w:r>
            <w:r>
              <w:rPr>
                <w:rFonts w:hint="default" w:ascii="Times New Roman" w:hAnsi="Times New Roman" w:eastAsia="宋体" w:cs="Times New Roman"/>
                <w:b/>
                <w:bCs/>
                <w:color w:val="auto"/>
                <w:sz w:val="21"/>
                <w:szCs w:val="21"/>
                <w:highlight w:val="none"/>
                <w:lang w:eastAsia="zh-CN"/>
              </w:rPr>
              <w:fldChar w:fldCharType="end"/>
            </w:r>
            <w:r>
              <w:rPr>
                <w:rFonts w:hint="default" w:ascii="Times New Roman" w:hAnsi="Times New Roman" w:eastAsia="宋体" w:cs="Times New Roman"/>
                <w:b/>
                <w:bCs/>
                <w:color w:val="auto"/>
                <w:sz w:val="21"/>
                <w:szCs w:val="21"/>
                <w:highlight w:val="none"/>
                <w:lang w:eastAsia="zh-CN"/>
              </w:rPr>
              <w:t>划片：</w:t>
            </w:r>
            <w:r>
              <w:rPr>
                <w:rFonts w:hint="default" w:ascii="Times New Roman" w:hAnsi="Times New Roman" w:eastAsia="宋体" w:cs="Times New Roman"/>
                <w:b w:val="0"/>
                <w:bCs w:val="0"/>
                <w:color w:val="auto"/>
                <w:sz w:val="21"/>
                <w:szCs w:val="21"/>
                <w:highlight w:val="none"/>
                <w:lang w:eastAsia="zh-CN"/>
              </w:rPr>
              <w:t>人工使用玻璃刀将外购玻璃原料按照所需尺寸进行分割下料。</w:t>
            </w:r>
          </w:p>
          <w:p>
            <w:pPr>
              <w:pStyle w:val="2"/>
              <w:keepLines w:val="0"/>
              <w:pageBreakBefore w:val="0"/>
              <w:widowControl w:val="0"/>
              <w:kinsoku/>
              <w:wordWrap/>
              <w:topLinePunct w:val="0"/>
              <w:autoSpaceDE/>
              <w:autoSpaceDN/>
              <w:bidi w:val="0"/>
              <w:adjustRightInd/>
              <w:snapToGrid/>
              <w:spacing w:before="0" w:after="0" w:line="360" w:lineRule="auto"/>
              <w:ind w:left="0" w:leftChars="0" w:firstLine="420" w:firstLineChars="20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该过程产污环节为：划片分割过程产生的固废。</w:t>
            </w:r>
          </w:p>
          <w:p>
            <w:pPr>
              <w:pStyle w:val="2"/>
              <w:keepNext/>
              <w:keepLines w:val="0"/>
              <w:pageBreakBefore w:val="0"/>
              <w:widowControl w:val="0"/>
              <w:numPr>
                <w:ilvl w:val="0"/>
                <w:numId w:val="0"/>
              </w:numPr>
              <w:kinsoku/>
              <w:wordWrap/>
              <w:overflowPunct w:val="0"/>
              <w:topLinePunct w:val="0"/>
              <w:autoSpaceDE/>
              <w:autoSpaceDN/>
              <w:bidi w:val="0"/>
              <w:adjustRightInd/>
              <w:snapToGrid/>
              <w:spacing w:before="0" w:after="0" w:line="360" w:lineRule="auto"/>
              <w:ind w:leftChars="0" w:firstLine="422" w:firstLineChars="20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fldChar w:fldCharType="begin"/>
            </w:r>
            <w:r>
              <w:rPr>
                <w:rFonts w:hint="default" w:ascii="Times New Roman" w:hAnsi="Times New Roman" w:eastAsia="宋体" w:cs="Times New Roman"/>
                <w:b/>
                <w:bCs/>
                <w:color w:val="auto"/>
                <w:sz w:val="21"/>
                <w:szCs w:val="21"/>
                <w:highlight w:val="none"/>
                <w:lang w:eastAsia="zh-CN"/>
              </w:rPr>
              <w:instrText xml:space="preserve"> = 2 \* GB3 \* MERGEFORMAT </w:instrText>
            </w:r>
            <w:r>
              <w:rPr>
                <w:rFonts w:hint="default" w:ascii="Times New Roman" w:hAnsi="Times New Roman" w:eastAsia="宋体" w:cs="Times New Roman"/>
                <w:b/>
                <w:bCs/>
                <w:color w:val="auto"/>
                <w:sz w:val="21"/>
                <w:szCs w:val="21"/>
                <w:highlight w:val="none"/>
                <w:lang w:eastAsia="zh-CN"/>
              </w:rPr>
              <w:fldChar w:fldCharType="separate"/>
            </w:r>
            <w:r>
              <w:rPr>
                <w:rFonts w:hint="default" w:ascii="Times New Roman" w:hAnsi="Times New Roman" w:eastAsia="宋体" w:cs="Times New Roman"/>
                <w:b/>
                <w:bCs/>
                <w:color w:val="auto"/>
                <w:sz w:val="21"/>
                <w:szCs w:val="21"/>
                <w:highlight w:val="none"/>
              </w:rPr>
              <w:t>②</w:t>
            </w:r>
            <w:r>
              <w:rPr>
                <w:rFonts w:hint="default" w:ascii="Times New Roman" w:hAnsi="Times New Roman" w:eastAsia="宋体" w:cs="Times New Roman"/>
                <w:b/>
                <w:bCs/>
                <w:color w:val="auto"/>
                <w:sz w:val="21"/>
                <w:szCs w:val="21"/>
                <w:highlight w:val="none"/>
                <w:lang w:eastAsia="zh-CN"/>
              </w:rPr>
              <w:fldChar w:fldCharType="end"/>
            </w:r>
            <w:r>
              <w:rPr>
                <w:rFonts w:hint="default" w:ascii="Times New Roman" w:hAnsi="Times New Roman" w:eastAsia="宋体" w:cs="Times New Roman"/>
                <w:b/>
                <w:bCs/>
                <w:color w:val="auto"/>
                <w:sz w:val="21"/>
                <w:szCs w:val="21"/>
                <w:highlight w:val="none"/>
                <w:lang w:eastAsia="zh-CN"/>
              </w:rPr>
              <w:t>磨边：</w:t>
            </w:r>
            <w:r>
              <w:rPr>
                <w:rFonts w:hint="default" w:ascii="Times New Roman" w:hAnsi="Times New Roman" w:eastAsia="宋体" w:cs="Times New Roman"/>
                <w:b w:val="0"/>
                <w:bCs w:val="0"/>
                <w:color w:val="auto"/>
                <w:sz w:val="21"/>
                <w:szCs w:val="21"/>
                <w:highlight w:val="none"/>
                <w:lang w:eastAsia="zh-CN"/>
              </w:rPr>
              <w:t>由于人工划片过程切割后边缝毛糙，因此需使用磨边机将其打磨平整。磨边机采用磨轮打磨方式，同时磨边过程不断使用自来水对设备上的磨轮打磨处进行冲洗冷却，主要目的是提高玻璃磨边质量，并提高磨轮寿命，因此在磨边过程产生的玻璃屑均随冲洗水进入冷却水中，该过程不会有粉尘排放。</w:t>
            </w:r>
          </w:p>
          <w:p>
            <w:pPr>
              <w:pStyle w:val="2"/>
              <w:keepLines w:val="0"/>
              <w:pageBreakBefore w:val="0"/>
              <w:widowControl w:val="0"/>
              <w:kinsoku/>
              <w:wordWrap/>
              <w:topLinePunct w:val="0"/>
              <w:autoSpaceDE/>
              <w:autoSpaceDN/>
              <w:bidi w:val="0"/>
              <w:adjustRightInd/>
              <w:snapToGrid/>
              <w:spacing w:before="0" w:after="0" w:line="360" w:lineRule="auto"/>
              <w:ind w:left="0" w:leftChars="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该过程产污环节为：划片分割过程产生的固废。</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22" w:firstLineChars="200"/>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b/>
                <w:bCs/>
                <w:color w:val="auto"/>
                <w:sz w:val="21"/>
                <w:szCs w:val="21"/>
                <w:highlight w:val="none"/>
                <w:lang w:eastAsia="zh-CN"/>
              </w:rPr>
              <w:fldChar w:fldCharType="begin"/>
            </w:r>
            <w:r>
              <w:rPr>
                <w:rFonts w:hint="default" w:ascii="Times New Roman" w:hAnsi="Times New Roman" w:cs="Times New Roman"/>
                <w:b/>
                <w:bCs/>
                <w:color w:val="auto"/>
                <w:sz w:val="21"/>
                <w:szCs w:val="21"/>
                <w:highlight w:val="none"/>
                <w:lang w:eastAsia="zh-CN"/>
              </w:rPr>
              <w:instrText xml:space="preserve"> = 3 \* GB3 \* MERGEFORMAT </w:instrText>
            </w:r>
            <w:r>
              <w:rPr>
                <w:rFonts w:hint="default" w:ascii="Times New Roman" w:hAnsi="Times New Roman" w:cs="Times New Roman"/>
                <w:b/>
                <w:bCs/>
                <w:color w:val="auto"/>
                <w:sz w:val="21"/>
                <w:szCs w:val="21"/>
                <w:highlight w:val="none"/>
                <w:lang w:eastAsia="zh-CN"/>
              </w:rPr>
              <w:fldChar w:fldCharType="separate"/>
            </w:r>
            <w:r>
              <w:rPr>
                <w:rFonts w:hint="default" w:ascii="Times New Roman" w:hAnsi="Times New Roman" w:cs="Times New Roman"/>
                <w:b/>
                <w:bCs/>
                <w:color w:val="auto"/>
                <w:sz w:val="21"/>
                <w:szCs w:val="21"/>
                <w:highlight w:val="none"/>
              </w:rPr>
              <w:t>③</w:t>
            </w:r>
            <w:r>
              <w:rPr>
                <w:rFonts w:hint="default" w:ascii="Times New Roman" w:hAnsi="Times New Roman" w:cs="Times New Roman"/>
                <w:b/>
                <w:bCs/>
                <w:color w:val="auto"/>
                <w:sz w:val="21"/>
                <w:szCs w:val="21"/>
                <w:highlight w:val="none"/>
                <w:lang w:eastAsia="zh-CN"/>
              </w:rPr>
              <w:fldChar w:fldCharType="end"/>
            </w:r>
            <w:r>
              <w:rPr>
                <w:rFonts w:hint="default" w:ascii="Times New Roman" w:hAnsi="Times New Roman" w:cs="Times New Roman"/>
                <w:b/>
                <w:bCs/>
                <w:color w:val="auto"/>
                <w:sz w:val="21"/>
                <w:szCs w:val="21"/>
                <w:highlight w:val="none"/>
                <w:lang w:eastAsia="zh-CN"/>
              </w:rPr>
              <w:t>抛光：</w:t>
            </w:r>
            <w:r>
              <w:rPr>
                <w:rFonts w:hint="default" w:ascii="Times New Roman" w:hAnsi="Times New Roman" w:cs="Times New Roman"/>
                <w:b w:val="0"/>
                <w:bCs w:val="0"/>
                <w:color w:val="auto"/>
                <w:sz w:val="21"/>
                <w:szCs w:val="21"/>
                <w:highlight w:val="none"/>
                <w:lang w:eastAsia="zh-CN"/>
              </w:rPr>
              <w:t>使用抛光机对产品表面进行抛光处理，</w:t>
            </w:r>
            <w:r>
              <w:rPr>
                <w:rFonts w:hint="default" w:ascii="Times New Roman" w:hAnsi="Times New Roman" w:cs="Times New Roman"/>
                <w:color w:val="auto"/>
                <w:sz w:val="21"/>
                <w:szCs w:val="21"/>
                <w:highlight w:val="none"/>
                <w:lang w:eastAsia="zh-CN"/>
              </w:rPr>
              <w:t>抛光过程均不断在抛光磨盘和抛光件之间使用抛光液进行冲洗，因此抛光过程粉尘均进入抛光液中，不会有粉尘废气排放。工程抛光液是将抛光粉（成分主要为氧化铈、氧化铝、氧化硅、氧化铁、氧化锆、氧化铬等）和水按照1：50比例调配使用，抛光过程中抛光液主要是对抛光机磨盘降温，同时增加抛光后产品光滑度，抛光过程抛光液经设备配套过滤装置过滤后，通过泵机抽入抛光液储罐（高0.35m，直径0.3m）中循环使用，每日根据损耗补充水或抛光粉。</w:t>
            </w:r>
          </w:p>
          <w:p>
            <w:pPr>
              <w:pStyle w:val="2"/>
              <w:keepLines w:val="0"/>
              <w:pageBreakBefore w:val="0"/>
              <w:widowControl w:val="0"/>
              <w:kinsoku/>
              <w:wordWrap/>
              <w:topLinePunct w:val="0"/>
              <w:autoSpaceDE/>
              <w:autoSpaceDN/>
              <w:bidi w:val="0"/>
              <w:adjustRightInd/>
              <w:snapToGrid/>
              <w:spacing w:before="0" w:after="0" w:line="360" w:lineRule="auto"/>
              <w:ind w:left="0" w:leftChars="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该过程产污环节为：过滤出的玻璃残渣、抛光过程设备噪声。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bCs/>
                <w:color w:val="auto"/>
                <w:sz w:val="21"/>
                <w:szCs w:val="21"/>
                <w:highlight w:val="none"/>
                <w:lang w:eastAsia="zh-CN"/>
              </w:rPr>
              <w:fldChar w:fldCharType="begin"/>
            </w:r>
            <w:r>
              <w:rPr>
                <w:rFonts w:hint="default" w:ascii="Times New Roman" w:hAnsi="Times New Roman" w:cs="Times New Roman"/>
                <w:b/>
                <w:bCs/>
                <w:color w:val="auto"/>
                <w:sz w:val="21"/>
                <w:szCs w:val="21"/>
                <w:highlight w:val="none"/>
                <w:lang w:eastAsia="zh-CN"/>
              </w:rPr>
              <w:instrText xml:space="preserve"> = 4 \* GB3 \* MERGEFORMAT </w:instrText>
            </w:r>
            <w:r>
              <w:rPr>
                <w:rFonts w:hint="default" w:ascii="Times New Roman" w:hAnsi="Times New Roman" w:cs="Times New Roman"/>
                <w:b/>
                <w:bCs/>
                <w:color w:val="auto"/>
                <w:sz w:val="21"/>
                <w:szCs w:val="21"/>
                <w:highlight w:val="none"/>
                <w:lang w:eastAsia="zh-CN"/>
              </w:rPr>
              <w:fldChar w:fldCharType="separate"/>
            </w:r>
            <w:r>
              <w:rPr>
                <w:b/>
                <w:bCs/>
                <w:color w:val="auto"/>
                <w:highlight w:val="none"/>
              </w:rPr>
              <w:t>④</w:t>
            </w:r>
            <w:r>
              <w:rPr>
                <w:rFonts w:hint="default" w:ascii="Times New Roman" w:hAnsi="Times New Roman" w:cs="Times New Roman"/>
                <w:b/>
                <w:bCs/>
                <w:color w:val="auto"/>
                <w:sz w:val="21"/>
                <w:szCs w:val="21"/>
                <w:highlight w:val="none"/>
                <w:lang w:eastAsia="zh-CN"/>
              </w:rPr>
              <w:fldChar w:fldCharType="end"/>
            </w:r>
            <w:r>
              <w:rPr>
                <w:rFonts w:hint="default" w:ascii="Times New Roman" w:hAnsi="Times New Roman" w:eastAsia="宋体" w:cs="Times New Roman"/>
                <w:b/>
                <w:bCs/>
                <w:color w:val="auto"/>
                <w:sz w:val="21"/>
                <w:szCs w:val="21"/>
                <w:highlight w:val="none"/>
                <w:lang w:eastAsia="zh-CN"/>
              </w:rPr>
              <w:t>清洗：</w:t>
            </w:r>
            <w:r>
              <w:rPr>
                <w:rFonts w:hint="default" w:ascii="Times New Roman" w:hAnsi="Times New Roman" w:cs="Times New Roman"/>
                <w:b w:val="0"/>
                <w:bCs w:val="0"/>
                <w:color w:val="auto"/>
                <w:sz w:val="21"/>
                <w:szCs w:val="21"/>
                <w:highlight w:val="none"/>
                <w:lang w:eastAsia="zh-CN"/>
              </w:rPr>
              <w:t>镀膜前需使用纯水对玻璃原料表面进行冲洗，主要冲洗表面可能残留的灰尘，以保证后续镀膜质量。</w:t>
            </w:r>
            <w:r>
              <w:rPr>
                <w:rFonts w:hint="default" w:ascii="Times New Roman" w:hAnsi="Times New Roman" w:cs="Times New Roman"/>
                <w:color w:val="auto"/>
                <w:sz w:val="21"/>
                <w:szCs w:val="21"/>
                <w:highlight w:val="none"/>
                <w:lang w:eastAsia="zh-CN"/>
              </w:rPr>
              <w:t>对于部分难以清除污垢、手印等则使用无尘擦拭纸蘸取清洗液将污垢擦除后，再使用纯水进行冲洗后即可</w:t>
            </w:r>
            <w:r>
              <w:rPr>
                <w:rFonts w:hint="default" w:ascii="Times New Roman" w:hAnsi="Times New Roman" w:cs="Times New Roman"/>
                <w:b w:val="0"/>
                <w:bCs w:val="0"/>
                <w:color w:val="auto"/>
                <w:sz w:val="21"/>
                <w:szCs w:val="21"/>
                <w:highlight w:val="none"/>
                <w:lang w:eastAsia="zh-CN"/>
              </w:rPr>
              <w:t>。</w:t>
            </w:r>
          </w:p>
          <w:p>
            <w:pPr>
              <w:pStyle w:val="2"/>
              <w:keepLines w:val="0"/>
              <w:pageBreakBefore w:val="0"/>
              <w:widowControl w:val="0"/>
              <w:kinsoku/>
              <w:wordWrap/>
              <w:topLinePunct w:val="0"/>
              <w:autoSpaceDE/>
              <w:autoSpaceDN/>
              <w:bidi w:val="0"/>
              <w:adjustRightInd/>
              <w:snapToGrid/>
              <w:spacing w:before="0" w:after="0" w:line="360" w:lineRule="auto"/>
              <w:ind w:left="0" w:leftChars="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该过程产污环节为：冲洗过程产生的废水和擦拭产生的废无尘布。</w:t>
            </w:r>
          </w:p>
          <w:p>
            <w:pPr>
              <w:pStyle w:val="2"/>
              <w:keepNext/>
              <w:keepLines w:val="0"/>
              <w:pageBreakBefore w:val="0"/>
              <w:widowControl w:val="0"/>
              <w:numPr>
                <w:ilvl w:val="0"/>
                <w:numId w:val="0"/>
              </w:numPr>
              <w:kinsoku/>
              <w:wordWrap/>
              <w:overflowPunct w:val="0"/>
              <w:topLinePunct w:val="0"/>
              <w:autoSpaceDE/>
              <w:autoSpaceDN/>
              <w:bidi w:val="0"/>
              <w:adjustRightInd/>
              <w:snapToGrid/>
              <w:spacing w:before="0" w:after="0" w:line="360" w:lineRule="auto"/>
              <w:ind w:leftChars="0" w:firstLine="422" w:firstLineChars="20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fldChar w:fldCharType="begin"/>
            </w:r>
            <w:r>
              <w:rPr>
                <w:rFonts w:hint="default" w:ascii="Times New Roman" w:hAnsi="Times New Roman" w:eastAsia="宋体" w:cs="Times New Roman"/>
                <w:b/>
                <w:bCs/>
                <w:color w:val="auto"/>
                <w:sz w:val="21"/>
                <w:szCs w:val="21"/>
                <w:highlight w:val="none"/>
                <w:lang w:eastAsia="zh-CN"/>
              </w:rPr>
              <w:instrText xml:space="preserve"> = 5 \* GB3 \* MERGEFORMAT </w:instrText>
            </w:r>
            <w:r>
              <w:rPr>
                <w:rFonts w:hint="default" w:ascii="Times New Roman" w:hAnsi="Times New Roman" w:eastAsia="宋体" w:cs="Times New Roman"/>
                <w:b/>
                <w:bCs/>
                <w:color w:val="auto"/>
                <w:sz w:val="21"/>
                <w:szCs w:val="21"/>
                <w:highlight w:val="none"/>
                <w:lang w:eastAsia="zh-CN"/>
              </w:rPr>
              <w:fldChar w:fldCharType="separate"/>
            </w:r>
            <w:r>
              <w:rPr>
                <w:rFonts w:hint="default" w:ascii="Times New Roman" w:hAnsi="Times New Roman" w:eastAsia="宋体" w:cs="Times New Roman"/>
                <w:b/>
                <w:bCs/>
                <w:color w:val="auto"/>
                <w:sz w:val="21"/>
                <w:szCs w:val="21"/>
                <w:highlight w:val="none"/>
              </w:rPr>
              <w:t>⑤</w:t>
            </w:r>
            <w:r>
              <w:rPr>
                <w:rFonts w:hint="default" w:ascii="Times New Roman" w:hAnsi="Times New Roman" w:eastAsia="宋体" w:cs="Times New Roman"/>
                <w:b/>
                <w:bCs/>
                <w:color w:val="auto"/>
                <w:sz w:val="21"/>
                <w:szCs w:val="21"/>
                <w:highlight w:val="none"/>
                <w:lang w:eastAsia="zh-CN"/>
              </w:rPr>
              <w:fldChar w:fldCharType="end"/>
            </w:r>
            <w:r>
              <w:rPr>
                <w:rFonts w:hint="default" w:ascii="Times New Roman" w:hAnsi="Times New Roman" w:eastAsia="宋体" w:cs="Times New Roman"/>
                <w:b/>
                <w:bCs/>
                <w:color w:val="auto"/>
                <w:sz w:val="21"/>
                <w:szCs w:val="21"/>
                <w:highlight w:val="none"/>
                <w:lang w:eastAsia="zh-CN"/>
              </w:rPr>
              <w:t>镀膜：</w:t>
            </w:r>
            <w:r>
              <w:rPr>
                <w:rFonts w:hint="default" w:ascii="Times New Roman" w:hAnsi="Times New Roman" w:eastAsia="宋体" w:cs="Times New Roman"/>
                <w:b w:val="0"/>
                <w:bCs w:val="0"/>
                <w:color w:val="auto"/>
                <w:sz w:val="21"/>
                <w:szCs w:val="21"/>
                <w:highlight w:val="none"/>
                <w:lang w:val="en-US" w:eastAsia="zh-CN"/>
              </w:rPr>
              <w:t>根据要求由镀膜工程师将镀膜程式输入镀膜机后，启动镀膜程式即开始自动镀膜。工程采用真空蒸发镀膜方式，真空蒸发镀是利用膜材加热装置的热能将膜材加热蒸发，并在真空条件下，使膜材原子靠热运动而逸出膜材表面，并沉积到基片表面上去的一种沉积技术。项目镀膜机膜材加热采用离子源栅网对盛放有镀膜材料的石英杯进行加热，从而间接对镀膜材料加热，后膜材加热蒸发通过热运动沉积在镀件表面。膜材的加热温度根据材料的不同有所变化，一般加热温度为1000℃~1200℃之间，当达到设计的镀膜厚度时停止加热，真空镀膜过程中镀膜机内镀膜温度约100℃~150℃。</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fldChar w:fldCharType="begin"/>
            </w:r>
            <w:r>
              <w:rPr>
                <w:rFonts w:hint="default" w:ascii="Times New Roman" w:hAnsi="Times New Roman" w:cs="Times New Roman"/>
                <w:b/>
                <w:bCs/>
                <w:color w:val="auto"/>
                <w:sz w:val="21"/>
                <w:szCs w:val="21"/>
                <w:highlight w:val="none"/>
                <w:lang w:val="en-US" w:eastAsia="zh-CN"/>
              </w:rPr>
              <w:instrText xml:space="preserve"> = 6 \* GB3 \* MERGEFORMAT </w:instrText>
            </w:r>
            <w:r>
              <w:rPr>
                <w:rFonts w:hint="default" w:ascii="Times New Roman" w:hAnsi="Times New Roman" w:cs="Times New Roman"/>
                <w:b/>
                <w:bCs/>
                <w:color w:val="auto"/>
                <w:sz w:val="21"/>
                <w:szCs w:val="21"/>
                <w:highlight w:val="none"/>
                <w:lang w:val="en-US" w:eastAsia="zh-CN"/>
              </w:rPr>
              <w:fldChar w:fldCharType="separate"/>
            </w:r>
            <w:r>
              <w:rPr>
                <w:rFonts w:hint="default" w:ascii="Times New Roman" w:hAnsi="Times New Roman" w:cs="Times New Roman"/>
                <w:b/>
                <w:bCs/>
                <w:color w:val="auto"/>
                <w:sz w:val="21"/>
                <w:szCs w:val="21"/>
                <w:highlight w:val="none"/>
              </w:rPr>
              <w:t>⑥</w:t>
            </w:r>
            <w:r>
              <w:rPr>
                <w:rFonts w:hint="default" w:ascii="Times New Roman" w:hAnsi="Times New Roman" w:cs="Times New Roman"/>
                <w:b/>
                <w:bCs/>
                <w:color w:val="auto"/>
                <w:sz w:val="21"/>
                <w:szCs w:val="21"/>
                <w:highlight w:val="none"/>
                <w:lang w:val="en-US" w:eastAsia="zh-CN"/>
              </w:rPr>
              <w:fldChar w:fldCharType="end"/>
            </w:r>
            <w:r>
              <w:rPr>
                <w:rFonts w:hint="default" w:ascii="Times New Roman" w:hAnsi="Times New Roman" w:eastAsia="宋体" w:cs="Times New Roman"/>
                <w:b/>
                <w:bCs/>
                <w:color w:val="auto"/>
                <w:sz w:val="21"/>
                <w:szCs w:val="21"/>
                <w:highlight w:val="none"/>
                <w:lang w:eastAsia="zh-CN"/>
              </w:rPr>
              <w:t>超声波清洗：</w:t>
            </w:r>
            <w:r>
              <w:rPr>
                <w:rFonts w:hint="default" w:ascii="Times New Roman" w:hAnsi="Times New Roman" w:cs="Times New Roman"/>
                <w:color w:val="auto"/>
                <w:sz w:val="21"/>
                <w:szCs w:val="21"/>
                <w:highlight w:val="none"/>
                <w:lang w:val="en-US" w:eastAsia="zh-CN"/>
              </w:rPr>
              <w:t>将检验合格的产品使用超声波清洗机对镀膜后产品表面残留的物质进行清洗，该过程所用清洗介质为纯水+清洗液。清洗后成品入库待售。</w:t>
            </w:r>
          </w:p>
          <w:p>
            <w:pPr>
              <w:pStyle w:val="2"/>
              <w:keepLines w:val="0"/>
              <w:pageBreakBefore w:val="0"/>
              <w:widowControl w:val="0"/>
              <w:kinsoku/>
              <w:wordWrap/>
              <w:topLinePunct w:val="0"/>
              <w:autoSpaceDE/>
              <w:autoSpaceDN/>
              <w:bidi w:val="0"/>
              <w:adjustRightInd/>
              <w:snapToGrid/>
              <w:spacing w:before="0" w:after="0" w:line="360" w:lineRule="auto"/>
              <w:ind w:left="0" w:leftChars="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该过程产污环节为：超声波清洗过程产生的废水和噪声。</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42"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bCs/>
                <w:color w:val="auto"/>
                <w:sz w:val="22"/>
                <w:szCs w:val="22"/>
                <w:highlight w:val="none"/>
                <w:lang w:val="en-US" w:eastAsia="zh-CN"/>
              </w:rPr>
              <w:t>（2）</w:t>
            </w:r>
            <w:r>
              <w:rPr>
                <w:rFonts w:hint="default" w:ascii="Times New Roman" w:hAnsi="Times New Roman" w:eastAsia="宋体" w:cs="Times New Roman"/>
                <w:b/>
                <w:bCs/>
                <w:color w:val="auto"/>
                <w:sz w:val="22"/>
                <w:szCs w:val="22"/>
                <w:highlight w:val="none"/>
                <w:lang w:val="en-US" w:eastAsia="zh-CN"/>
              </w:rPr>
              <w:t>纯水制备工艺</w:t>
            </w:r>
            <w:r>
              <w:rPr>
                <w:rFonts w:hint="default" w:ascii="Times New Roman" w:hAnsi="Times New Roman" w:eastAsia="宋体" w:cs="Times New Roman"/>
                <w:b/>
                <w:bCs/>
                <w:color w:val="auto"/>
                <w:sz w:val="22"/>
                <w:szCs w:val="22"/>
                <w:highlight w:val="none"/>
                <w:lang w:val="en-US" w:eastAsia="zh-CN"/>
              </w:rPr>
              <w:br w:type="textWrapping"/>
            </w:r>
            <w:r>
              <w:rPr>
                <w:rFonts w:hint="default" w:ascii="Times New Roman" w:hAnsi="Times New Roman" w:eastAsia="宋体" w:cs="Times New Roman"/>
                <w:b/>
                <w:bCs/>
                <w:color w:val="auto"/>
                <w:sz w:val="22"/>
                <w:szCs w:val="22"/>
                <w:highlight w:val="none"/>
                <w:lang w:val="en-US" w:eastAsia="zh-CN"/>
              </w:rPr>
              <w:object>
                <v:shape id="_x0000_i1029" o:spt="75" type="#_x0000_t75" style="height:148.6pt;width:377.4pt;" o:ole="t" filled="f" o:preferrelative="t" stroked="f" coordsize="21600,21600">
                  <v:path/>
                  <v:fill on="f" focussize="0,0"/>
                  <v:stroke on="f"/>
                  <v:imagedata r:id="rId24" cropleft="2794f" croptop="5561f" cropright="1863f" cropbottom="-766f" o:title=""/>
                  <o:lock v:ext="edit" aspectratio="t"/>
                  <w10:wrap type="none"/>
                  <w10:anchorlock/>
                </v:shape>
                <o:OLEObject Type="Embed" ProgID="Visio.Drawing.15" ShapeID="_x0000_i1029" DrawAspect="Content" ObjectID="_1468075729" r:id="rId23">
                  <o:LockedField>false</o:LockedField>
                </o:OLEObject>
              </w:object>
            </w:r>
          </w:p>
          <w:p>
            <w:pPr>
              <w:pStyle w:val="11"/>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纯水制备工艺及产污环节图</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2" w:firstLineChars="200"/>
              <w:jc w:val="both"/>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项目纯水制备工艺如下：</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2"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fldChar w:fldCharType="begin"/>
            </w:r>
            <w:r>
              <w:rPr>
                <w:rFonts w:hint="default" w:ascii="Times New Roman" w:hAnsi="Times New Roman" w:eastAsia="宋体" w:cs="Times New Roman"/>
                <w:b/>
                <w:bCs/>
                <w:color w:val="auto"/>
                <w:sz w:val="21"/>
                <w:szCs w:val="21"/>
                <w:highlight w:val="none"/>
                <w:lang w:val="en-US" w:eastAsia="zh-CN"/>
              </w:rPr>
              <w:instrText xml:space="preserve"> = 1 \* GB3 \* MERGEFORMAT </w:instrText>
            </w:r>
            <w:r>
              <w:rPr>
                <w:rFonts w:hint="default" w:ascii="Times New Roman" w:hAnsi="Times New Roman" w:eastAsia="宋体" w:cs="Times New Roman"/>
                <w:b/>
                <w:bCs/>
                <w:color w:val="auto"/>
                <w:sz w:val="21"/>
                <w:szCs w:val="21"/>
                <w:highlight w:val="none"/>
                <w:lang w:val="en-US" w:eastAsia="zh-CN"/>
              </w:rPr>
              <w:fldChar w:fldCharType="separate"/>
            </w:r>
            <w:r>
              <w:rPr>
                <w:rFonts w:hint="default" w:ascii="Times New Roman" w:hAnsi="Times New Roman" w:eastAsia="宋体" w:cs="Times New Roman"/>
                <w:b/>
                <w:bCs/>
                <w:color w:val="auto"/>
                <w:sz w:val="21"/>
                <w:szCs w:val="21"/>
                <w:highlight w:val="none"/>
              </w:rPr>
              <w:t>①</w:t>
            </w:r>
            <w:r>
              <w:rPr>
                <w:rFonts w:hint="default" w:ascii="Times New Roman" w:hAnsi="Times New Roman" w:eastAsia="宋体" w:cs="Times New Roman"/>
                <w:b/>
                <w:bCs/>
                <w:color w:val="auto"/>
                <w:sz w:val="21"/>
                <w:szCs w:val="21"/>
                <w:highlight w:val="none"/>
                <w:lang w:val="en-US" w:eastAsia="zh-CN"/>
              </w:rPr>
              <w:fldChar w:fldCharType="end"/>
            </w:r>
            <w:r>
              <w:rPr>
                <w:rFonts w:hint="default" w:ascii="Times New Roman" w:hAnsi="Times New Roman" w:eastAsia="宋体" w:cs="Times New Roman"/>
                <w:b/>
                <w:bCs/>
                <w:color w:val="auto"/>
                <w:sz w:val="21"/>
                <w:szCs w:val="21"/>
                <w:highlight w:val="none"/>
                <w:lang w:val="en-US" w:eastAsia="zh-CN"/>
              </w:rPr>
              <w:t>原水泵：</w:t>
            </w:r>
            <w:r>
              <w:rPr>
                <w:rFonts w:hint="default" w:ascii="Times New Roman" w:hAnsi="Times New Roman" w:eastAsia="宋体" w:cs="Times New Roman"/>
                <w:b w:val="0"/>
                <w:bCs w:val="0"/>
                <w:color w:val="auto"/>
                <w:sz w:val="21"/>
                <w:szCs w:val="21"/>
                <w:highlight w:val="none"/>
                <w:lang w:val="en-US" w:eastAsia="zh-CN"/>
              </w:rPr>
              <w:t>反渗透要求进水流量、压力恒定，避免波动。同时在过滤器正冲洗时提供大流量的进水。</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2"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fldChar w:fldCharType="begin"/>
            </w:r>
            <w:r>
              <w:rPr>
                <w:rFonts w:hint="default" w:ascii="Times New Roman" w:hAnsi="Times New Roman" w:eastAsia="宋体" w:cs="Times New Roman"/>
                <w:b/>
                <w:bCs/>
                <w:color w:val="auto"/>
                <w:sz w:val="21"/>
                <w:szCs w:val="21"/>
                <w:highlight w:val="none"/>
                <w:lang w:val="en-US" w:eastAsia="zh-CN"/>
              </w:rPr>
              <w:instrText xml:space="preserve"> = 2 \* GB3 \* MERGEFORMAT </w:instrText>
            </w:r>
            <w:r>
              <w:rPr>
                <w:rFonts w:hint="default" w:ascii="Times New Roman" w:hAnsi="Times New Roman" w:eastAsia="宋体" w:cs="Times New Roman"/>
                <w:b/>
                <w:bCs/>
                <w:color w:val="auto"/>
                <w:sz w:val="21"/>
                <w:szCs w:val="21"/>
                <w:highlight w:val="none"/>
                <w:lang w:val="en-US" w:eastAsia="zh-CN"/>
              </w:rPr>
              <w:fldChar w:fldCharType="separate"/>
            </w:r>
            <w:r>
              <w:rPr>
                <w:rFonts w:hint="default" w:ascii="Times New Roman" w:hAnsi="Times New Roman" w:eastAsia="宋体" w:cs="Times New Roman"/>
                <w:b/>
                <w:bCs/>
                <w:color w:val="auto"/>
                <w:sz w:val="21"/>
                <w:szCs w:val="21"/>
                <w:highlight w:val="none"/>
              </w:rPr>
              <w:t>②</w:t>
            </w:r>
            <w:r>
              <w:rPr>
                <w:rFonts w:hint="default" w:ascii="Times New Roman" w:hAnsi="Times New Roman" w:eastAsia="宋体" w:cs="Times New Roman"/>
                <w:b/>
                <w:bCs/>
                <w:color w:val="auto"/>
                <w:sz w:val="21"/>
                <w:szCs w:val="21"/>
                <w:highlight w:val="none"/>
                <w:lang w:val="en-US" w:eastAsia="zh-CN"/>
              </w:rPr>
              <w:fldChar w:fldCharType="end"/>
            </w:r>
            <w:r>
              <w:rPr>
                <w:rFonts w:hint="default" w:ascii="Times New Roman" w:hAnsi="Times New Roman" w:eastAsia="宋体" w:cs="Times New Roman"/>
                <w:b/>
                <w:bCs/>
                <w:color w:val="auto"/>
                <w:sz w:val="21"/>
                <w:szCs w:val="21"/>
                <w:highlight w:val="none"/>
                <w:lang w:val="en-US" w:eastAsia="zh-CN"/>
              </w:rPr>
              <w:t>多介质过滤器：</w:t>
            </w:r>
            <w:r>
              <w:rPr>
                <w:rFonts w:hint="default" w:ascii="Times New Roman" w:hAnsi="Times New Roman" w:eastAsia="宋体" w:cs="Times New Roman"/>
                <w:b w:val="0"/>
                <w:bCs w:val="0"/>
                <w:color w:val="auto"/>
                <w:sz w:val="21"/>
                <w:szCs w:val="21"/>
                <w:highlight w:val="none"/>
                <w:lang w:val="en-US" w:eastAsia="zh-CN"/>
              </w:rPr>
              <w:t>为了拦截水体中因各种原因携带的大颗粒杂质，同时为适应原水因季节性变化或前端工艺设备运行不稳定等因素引起的水质恶化情况，在原水泵后设置多介质过滤器。</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2"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fldChar w:fldCharType="begin"/>
            </w:r>
            <w:r>
              <w:rPr>
                <w:rFonts w:hint="default" w:ascii="Times New Roman" w:hAnsi="Times New Roman" w:eastAsia="宋体" w:cs="Times New Roman"/>
                <w:b/>
                <w:bCs/>
                <w:color w:val="auto"/>
                <w:sz w:val="21"/>
                <w:szCs w:val="21"/>
                <w:highlight w:val="none"/>
                <w:lang w:val="en-US" w:eastAsia="zh-CN"/>
              </w:rPr>
              <w:instrText xml:space="preserve"> = 3 \* GB3 \* MERGEFORMAT </w:instrText>
            </w:r>
            <w:r>
              <w:rPr>
                <w:rFonts w:hint="default" w:ascii="Times New Roman" w:hAnsi="Times New Roman" w:eastAsia="宋体" w:cs="Times New Roman"/>
                <w:b/>
                <w:bCs/>
                <w:color w:val="auto"/>
                <w:sz w:val="21"/>
                <w:szCs w:val="21"/>
                <w:highlight w:val="none"/>
                <w:lang w:val="en-US" w:eastAsia="zh-CN"/>
              </w:rPr>
              <w:fldChar w:fldCharType="separate"/>
            </w:r>
            <w:r>
              <w:rPr>
                <w:rFonts w:hint="default" w:ascii="Times New Roman" w:hAnsi="Times New Roman" w:eastAsia="宋体" w:cs="Times New Roman"/>
                <w:b/>
                <w:bCs/>
                <w:color w:val="auto"/>
                <w:sz w:val="21"/>
                <w:szCs w:val="21"/>
                <w:highlight w:val="none"/>
              </w:rPr>
              <w:t>③</w:t>
            </w:r>
            <w:r>
              <w:rPr>
                <w:rFonts w:hint="default" w:ascii="Times New Roman" w:hAnsi="Times New Roman" w:eastAsia="宋体" w:cs="Times New Roman"/>
                <w:b/>
                <w:bCs/>
                <w:color w:val="auto"/>
                <w:sz w:val="21"/>
                <w:szCs w:val="21"/>
                <w:highlight w:val="none"/>
                <w:lang w:val="en-US" w:eastAsia="zh-CN"/>
              </w:rPr>
              <w:fldChar w:fldCharType="end"/>
            </w:r>
            <w:r>
              <w:rPr>
                <w:rFonts w:hint="default" w:ascii="Times New Roman" w:hAnsi="Times New Roman" w:eastAsia="宋体" w:cs="Times New Roman"/>
                <w:b/>
                <w:bCs/>
                <w:color w:val="auto"/>
                <w:sz w:val="21"/>
                <w:szCs w:val="21"/>
                <w:highlight w:val="none"/>
                <w:lang w:val="en-US" w:eastAsia="zh-CN"/>
              </w:rPr>
              <w:t>活性炭过滤系统：</w:t>
            </w:r>
            <w:r>
              <w:rPr>
                <w:rFonts w:hint="default" w:ascii="Times New Roman" w:hAnsi="Times New Roman" w:eastAsia="宋体" w:cs="Times New Roman"/>
                <w:b w:val="0"/>
                <w:bCs w:val="0"/>
                <w:color w:val="auto"/>
                <w:sz w:val="21"/>
                <w:szCs w:val="21"/>
                <w:highlight w:val="none"/>
                <w:lang w:val="en-US" w:eastAsia="zh-CN"/>
              </w:rPr>
              <w:t>活性炭过滤器主要利用活性炭的吸附和过滤作用，除去水中的有机物和残余氯，也能除去水中的臭味、色度等。</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2"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fldChar w:fldCharType="begin"/>
            </w:r>
            <w:r>
              <w:rPr>
                <w:rFonts w:hint="default" w:ascii="Times New Roman" w:hAnsi="Times New Roman" w:eastAsia="宋体" w:cs="Times New Roman"/>
                <w:b/>
                <w:bCs/>
                <w:color w:val="auto"/>
                <w:sz w:val="21"/>
                <w:szCs w:val="21"/>
                <w:highlight w:val="none"/>
                <w:lang w:val="en-US" w:eastAsia="zh-CN"/>
              </w:rPr>
              <w:instrText xml:space="preserve"> = 4 \* GB3 \* MERGEFORMAT </w:instrText>
            </w:r>
            <w:r>
              <w:rPr>
                <w:rFonts w:hint="default" w:ascii="Times New Roman" w:hAnsi="Times New Roman" w:eastAsia="宋体" w:cs="Times New Roman"/>
                <w:b/>
                <w:bCs/>
                <w:color w:val="auto"/>
                <w:sz w:val="21"/>
                <w:szCs w:val="21"/>
                <w:highlight w:val="none"/>
                <w:lang w:val="en-US" w:eastAsia="zh-CN"/>
              </w:rPr>
              <w:fldChar w:fldCharType="separate"/>
            </w:r>
            <w:r>
              <w:rPr>
                <w:rFonts w:hint="default" w:ascii="Times New Roman" w:hAnsi="Times New Roman" w:eastAsia="宋体" w:cs="Times New Roman"/>
                <w:b/>
                <w:bCs/>
                <w:color w:val="auto"/>
                <w:sz w:val="21"/>
                <w:szCs w:val="21"/>
                <w:highlight w:val="none"/>
              </w:rPr>
              <w:t>④</w:t>
            </w:r>
            <w:r>
              <w:rPr>
                <w:rFonts w:hint="default" w:ascii="Times New Roman" w:hAnsi="Times New Roman" w:eastAsia="宋体" w:cs="Times New Roman"/>
                <w:b/>
                <w:bCs/>
                <w:color w:val="auto"/>
                <w:sz w:val="21"/>
                <w:szCs w:val="21"/>
                <w:highlight w:val="none"/>
                <w:lang w:val="en-US" w:eastAsia="zh-CN"/>
              </w:rPr>
              <w:fldChar w:fldCharType="end"/>
            </w:r>
            <w:r>
              <w:rPr>
                <w:rFonts w:hint="default" w:ascii="Times New Roman" w:hAnsi="Times New Roman" w:eastAsia="宋体" w:cs="Times New Roman"/>
                <w:b/>
                <w:bCs/>
                <w:color w:val="auto"/>
                <w:sz w:val="21"/>
                <w:szCs w:val="21"/>
                <w:highlight w:val="none"/>
                <w:lang w:val="en-US" w:eastAsia="zh-CN"/>
              </w:rPr>
              <w:t>双级反渗透系统：</w:t>
            </w:r>
            <w:r>
              <w:rPr>
                <w:rFonts w:hint="default" w:ascii="Times New Roman" w:hAnsi="Times New Roman" w:eastAsia="宋体" w:cs="Times New Roman"/>
                <w:b w:val="0"/>
                <w:bCs w:val="0"/>
                <w:color w:val="auto"/>
                <w:sz w:val="21"/>
                <w:szCs w:val="21"/>
                <w:highlight w:val="none"/>
                <w:lang w:val="en-US" w:eastAsia="zh-CN"/>
              </w:rPr>
              <w:t>原水经预处理后进入反渗透膜组，在压力作用下，大部分水分子和其它微量离子透过反渗透膜，经收集后成为产品水，通过产水管道进入收集；去除水中的大部分盐分和胶体和有机物。</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2"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fldChar w:fldCharType="begin"/>
            </w:r>
            <w:r>
              <w:rPr>
                <w:rFonts w:hint="default" w:ascii="Times New Roman" w:hAnsi="Times New Roman" w:eastAsia="宋体" w:cs="Times New Roman"/>
                <w:b/>
                <w:bCs/>
                <w:color w:val="auto"/>
                <w:sz w:val="21"/>
                <w:szCs w:val="21"/>
                <w:highlight w:val="none"/>
                <w:lang w:val="en-US" w:eastAsia="zh-CN"/>
              </w:rPr>
              <w:instrText xml:space="preserve"> = 5 \* GB3 \* MERGEFORMAT </w:instrText>
            </w:r>
            <w:r>
              <w:rPr>
                <w:rFonts w:hint="default" w:ascii="Times New Roman" w:hAnsi="Times New Roman" w:eastAsia="宋体" w:cs="Times New Roman"/>
                <w:b/>
                <w:bCs/>
                <w:color w:val="auto"/>
                <w:sz w:val="21"/>
                <w:szCs w:val="21"/>
                <w:highlight w:val="none"/>
                <w:lang w:val="en-US" w:eastAsia="zh-CN"/>
              </w:rPr>
              <w:fldChar w:fldCharType="separate"/>
            </w:r>
            <w:r>
              <w:rPr>
                <w:rFonts w:hint="default" w:ascii="Times New Roman" w:hAnsi="Times New Roman" w:eastAsia="宋体" w:cs="Times New Roman"/>
                <w:b/>
                <w:bCs/>
                <w:color w:val="auto"/>
                <w:sz w:val="21"/>
                <w:szCs w:val="21"/>
                <w:highlight w:val="none"/>
              </w:rPr>
              <w:t>⑤</w:t>
            </w:r>
            <w:r>
              <w:rPr>
                <w:rFonts w:hint="default" w:ascii="Times New Roman" w:hAnsi="Times New Roman" w:eastAsia="宋体" w:cs="Times New Roman"/>
                <w:b/>
                <w:bCs/>
                <w:color w:val="auto"/>
                <w:sz w:val="21"/>
                <w:szCs w:val="21"/>
                <w:highlight w:val="none"/>
                <w:lang w:val="en-US" w:eastAsia="zh-CN"/>
              </w:rPr>
              <w:fldChar w:fldCharType="end"/>
            </w:r>
            <w:r>
              <w:rPr>
                <w:rFonts w:hint="default" w:ascii="Times New Roman" w:hAnsi="Times New Roman" w:eastAsia="宋体" w:cs="Times New Roman"/>
                <w:b/>
                <w:bCs/>
                <w:color w:val="auto"/>
                <w:sz w:val="21"/>
                <w:szCs w:val="21"/>
                <w:highlight w:val="none"/>
                <w:lang w:val="en-US" w:eastAsia="zh-CN"/>
              </w:rPr>
              <w:t>EDI系统：</w:t>
            </w:r>
            <w:r>
              <w:rPr>
                <w:rFonts w:hint="default" w:ascii="Times New Roman" w:hAnsi="Times New Roman" w:eastAsia="宋体" w:cs="Times New Roman"/>
                <w:b w:val="0"/>
                <w:bCs w:val="0"/>
                <w:color w:val="auto"/>
                <w:sz w:val="21"/>
                <w:szCs w:val="21"/>
                <w:highlight w:val="none"/>
                <w:lang w:val="en-US" w:eastAsia="zh-CN"/>
              </w:rPr>
              <w:t>EDI 又称连续电除盐技术，它科学地将电渗析技术和离子交换技术融为一体，通过阳、阴离子膜对阳、阴离子的选择透过作用以及离子交换树脂对水中离子的交换作用，在电场的作用下实现水中离子的定向迁移，从而达到水的深度净化除盐，并通过水电解产生的氢离子和氢氧根离子对装填树脂进行连续再生，因此EDI 制水过程不需酸、碱化学药品再生即可连续制取高品质超纯水。</w:t>
            </w:r>
          </w:p>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422"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fldChar w:fldCharType="begin"/>
            </w:r>
            <w:r>
              <w:rPr>
                <w:rFonts w:hint="default" w:ascii="Times New Roman" w:hAnsi="Times New Roman" w:eastAsia="宋体" w:cs="Times New Roman"/>
                <w:b/>
                <w:bCs/>
                <w:color w:val="auto"/>
                <w:sz w:val="21"/>
                <w:szCs w:val="21"/>
                <w:highlight w:val="none"/>
                <w:lang w:val="en-US" w:eastAsia="zh-CN"/>
              </w:rPr>
              <w:instrText xml:space="preserve"> = 6 \* GB3 \* MERGEFORMAT </w:instrText>
            </w:r>
            <w:r>
              <w:rPr>
                <w:rFonts w:hint="default" w:ascii="Times New Roman" w:hAnsi="Times New Roman" w:eastAsia="宋体" w:cs="Times New Roman"/>
                <w:b/>
                <w:bCs/>
                <w:color w:val="auto"/>
                <w:sz w:val="21"/>
                <w:szCs w:val="21"/>
                <w:highlight w:val="none"/>
                <w:lang w:val="en-US" w:eastAsia="zh-CN"/>
              </w:rPr>
              <w:fldChar w:fldCharType="separate"/>
            </w:r>
            <w:r>
              <w:rPr>
                <w:rFonts w:hint="default" w:ascii="Times New Roman" w:hAnsi="Times New Roman" w:eastAsia="宋体" w:cs="Times New Roman"/>
                <w:b/>
                <w:bCs/>
                <w:color w:val="auto"/>
                <w:sz w:val="21"/>
                <w:szCs w:val="21"/>
                <w:highlight w:val="none"/>
              </w:rPr>
              <w:t>⑥</w:t>
            </w:r>
            <w:r>
              <w:rPr>
                <w:rFonts w:hint="default" w:ascii="Times New Roman" w:hAnsi="Times New Roman" w:eastAsia="宋体" w:cs="Times New Roman"/>
                <w:b/>
                <w:bCs/>
                <w:color w:val="auto"/>
                <w:sz w:val="21"/>
                <w:szCs w:val="21"/>
                <w:highlight w:val="none"/>
                <w:lang w:val="en-US" w:eastAsia="zh-CN"/>
              </w:rPr>
              <w:fldChar w:fldCharType="end"/>
            </w:r>
            <w:r>
              <w:rPr>
                <w:rFonts w:hint="default" w:ascii="Times New Roman" w:hAnsi="Times New Roman" w:eastAsia="宋体" w:cs="Times New Roman"/>
                <w:b/>
                <w:bCs/>
                <w:color w:val="auto"/>
                <w:sz w:val="21"/>
                <w:szCs w:val="21"/>
                <w:highlight w:val="none"/>
                <w:lang w:val="en-US" w:eastAsia="zh-CN"/>
              </w:rPr>
              <w:t>抛光混床系统：</w:t>
            </w:r>
            <w:r>
              <w:rPr>
                <w:rFonts w:hint="default" w:ascii="Times New Roman" w:hAnsi="Times New Roman" w:eastAsia="宋体" w:cs="Times New Roman"/>
                <w:b w:val="0"/>
                <w:bCs w:val="0"/>
                <w:color w:val="auto"/>
                <w:sz w:val="21"/>
                <w:szCs w:val="21"/>
                <w:highlight w:val="none"/>
                <w:lang w:val="en-US" w:eastAsia="zh-CN"/>
              </w:rPr>
              <w:t>抛光混床又称一次性混床一般情况用在工艺末端，用来更进一步提高产水水质，一般出水水质都能达到18兆欧以上，以及对TOC、SIO</w:t>
            </w:r>
            <w:r>
              <w:rPr>
                <w:rFonts w:hint="default" w:ascii="Times New Roman" w:hAnsi="Times New Roman" w:eastAsia="宋体" w:cs="Times New Roman"/>
                <w:b w:val="0"/>
                <w:bCs w:val="0"/>
                <w:color w:val="auto"/>
                <w:sz w:val="21"/>
                <w:szCs w:val="21"/>
                <w:highlight w:val="none"/>
                <w:vertAlign w:val="subscript"/>
                <w:lang w:val="en-US" w:eastAsia="zh-CN"/>
              </w:rPr>
              <w:t>2</w:t>
            </w:r>
            <w:r>
              <w:rPr>
                <w:rFonts w:hint="default" w:ascii="Times New Roman" w:hAnsi="Times New Roman" w:eastAsia="宋体" w:cs="Times New Roman"/>
                <w:b w:val="0"/>
                <w:bCs w:val="0"/>
                <w:color w:val="auto"/>
                <w:sz w:val="21"/>
                <w:szCs w:val="21"/>
                <w:highlight w:val="none"/>
                <w:lang w:val="en-US" w:eastAsia="zh-CN"/>
              </w:rPr>
              <w:t>都有一定的控制能力。抛光树脂出厂的离子型态都是H、OH型，装填后及可使用无需再生。</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7、现有工程水平衡</w:t>
            </w:r>
          </w:p>
          <w:p>
            <w:pPr>
              <w:pStyle w:val="2"/>
              <w:keepNext/>
              <w:keepLines w:val="0"/>
              <w:pageBreakBefore w:val="0"/>
              <w:widowControl w:val="0"/>
              <w:numPr>
                <w:ilvl w:val="0"/>
                <w:numId w:val="0"/>
              </w:numPr>
              <w:kinsoku/>
              <w:wordWrap/>
              <w:overflowPunct w:val="0"/>
              <w:topLinePunct w:val="0"/>
              <w:autoSpaceDE/>
              <w:autoSpaceDN/>
              <w:bidi w:val="0"/>
              <w:adjustRightInd/>
              <w:snapToGrid/>
              <w:spacing w:before="0" w:after="0" w:line="360" w:lineRule="auto"/>
              <w:ind w:left="0" w:firstLine="420" w:firstLineChars="20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现有工程用水包括生活用水和生产用水（包括磨边工序冷却用水、镀膜前清洗用水和镀膜后超声波清洗用水），用具体水情况如下：</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生活用水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现有工程劳动定员20人，均于厂区内食宿，年工作时间为</w:t>
            </w:r>
            <w:r>
              <w:rPr>
                <w:rFonts w:hint="eastAsia" w:cs="Times New Roman"/>
                <w:color w:val="auto"/>
                <w:sz w:val="21"/>
                <w:szCs w:val="21"/>
                <w:highlight w:val="none"/>
                <w:lang w:val="en-US" w:eastAsia="zh-CN"/>
              </w:rPr>
              <w:t>285</w:t>
            </w:r>
            <w:r>
              <w:rPr>
                <w:rFonts w:hint="default" w:ascii="Times New Roman" w:hAnsi="Times New Roman" w:cs="Times New Roman"/>
                <w:color w:val="auto"/>
                <w:sz w:val="21"/>
                <w:szCs w:val="21"/>
                <w:highlight w:val="none"/>
                <w:lang w:val="en-US" w:eastAsia="zh-CN"/>
              </w:rPr>
              <w:t>天，</w:t>
            </w:r>
            <w:r>
              <w:rPr>
                <w:rFonts w:hint="default" w:ascii="Times New Roman" w:hAnsi="Times New Roman" w:eastAsia="宋体" w:cs="Times New Roman"/>
                <w:b w:val="0"/>
                <w:bCs w:val="0"/>
                <w:color w:val="auto"/>
                <w:sz w:val="21"/>
                <w:szCs w:val="21"/>
                <w:highlight w:val="none"/>
                <w:vertAlign w:val="baseline"/>
                <w:lang w:eastAsia="zh-CN"/>
              </w:rPr>
              <w:t>根据</w:t>
            </w:r>
            <w:r>
              <w:rPr>
                <w:rFonts w:hint="default" w:ascii="Times New Roman" w:hAnsi="Times New Roman" w:eastAsia="宋体" w:cs="Times New Roman"/>
                <w:b w:val="0"/>
                <w:bCs w:val="0"/>
                <w:color w:val="auto"/>
                <w:sz w:val="21"/>
                <w:szCs w:val="21"/>
                <w:highlight w:val="none"/>
                <w:vertAlign w:val="baseline"/>
              </w:rPr>
              <w:t>《</w:t>
            </w:r>
            <w:r>
              <w:rPr>
                <w:rFonts w:hint="default" w:ascii="Times New Roman" w:hAnsi="Times New Roman" w:cs="Times New Roman"/>
                <w:b w:val="0"/>
                <w:bCs w:val="0"/>
                <w:color w:val="auto"/>
                <w:sz w:val="21"/>
                <w:szCs w:val="21"/>
                <w:highlight w:val="none"/>
                <w:vertAlign w:val="baseline"/>
                <w:lang w:eastAsia="zh-CN"/>
              </w:rPr>
              <w:t>建筑给水排水标准</w:t>
            </w:r>
            <w:r>
              <w:rPr>
                <w:rFonts w:hint="default" w:ascii="Times New Roman" w:hAnsi="Times New Roman" w:eastAsia="宋体" w:cs="Times New Roman"/>
                <w:b w:val="0"/>
                <w:bCs w:val="0"/>
                <w:color w:val="auto"/>
                <w:sz w:val="21"/>
                <w:szCs w:val="21"/>
                <w:highlight w:val="none"/>
                <w:vertAlign w:val="baseline"/>
              </w:rPr>
              <w:t>》（GB50015-2019）</w:t>
            </w:r>
            <w:r>
              <w:rPr>
                <w:rFonts w:hint="default" w:ascii="Times New Roman" w:hAnsi="Times New Roman" w:cs="Times New Roman"/>
                <w:b w:val="0"/>
                <w:bCs w:val="0"/>
                <w:color w:val="auto"/>
                <w:sz w:val="21"/>
                <w:szCs w:val="21"/>
                <w:highlight w:val="none"/>
                <w:vertAlign w:val="baseline"/>
                <w:lang w:eastAsia="zh-CN"/>
              </w:rPr>
              <w:t>，宿舍楼内设置公用盥洗卫生间用水定额为</w:t>
            </w:r>
            <w:r>
              <w:rPr>
                <w:rFonts w:hint="default" w:ascii="Times New Roman" w:hAnsi="Times New Roman" w:cs="Times New Roman"/>
                <w:b w:val="0"/>
                <w:bCs w:val="0"/>
                <w:color w:val="auto"/>
                <w:sz w:val="21"/>
                <w:szCs w:val="21"/>
                <w:highlight w:val="none"/>
                <w:vertAlign w:val="baseline"/>
                <w:lang w:val="en-US" w:eastAsia="zh-CN"/>
              </w:rPr>
              <w:t>90~120L/（p</w:t>
            </w:r>
            <w:r>
              <w:rPr>
                <w:rFonts w:hint="default"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cs="Times New Roman"/>
                <w:b w:val="0"/>
                <w:bCs w:val="0"/>
                <w:color w:val="auto"/>
                <w:sz w:val="21"/>
                <w:szCs w:val="21"/>
                <w:highlight w:val="none"/>
                <w:vertAlign w:val="baseline"/>
                <w:lang w:val="en-US" w:eastAsia="zh-CN"/>
              </w:rPr>
              <w:t>d），本次评价区平均值105L/（p</w:t>
            </w:r>
            <w:r>
              <w:rPr>
                <w:rFonts w:hint="default"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cs="Times New Roman"/>
                <w:b w:val="0"/>
                <w:bCs w:val="0"/>
                <w:color w:val="auto"/>
                <w:sz w:val="21"/>
                <w:szCs w:val="21"/>
                <w:highlight w:val="none"/>
                <w:vertAlign w:val="baseline"/>
                <w:lang w:val="en-US" w:eastAsia="zh-CN"/>
              </w:rPr>
              <w:t>d），则生活用水量为2.1m</w:t>
            </w:r>
            <w:r>
              <w:rPr>
                <w:rFonts w:hint="default" w:ascii="Times New Roman" w:hAnsi="Times New Roman" w:cs="Times New Roman"/>
                <w:b w:val="0"/>
                <w:bCs w:val="0"/>
                <w:color w:val="auto"/>
                <w:sz w:val="21"/>
                <w:szCs w:val="21"/>
                <w:highlight w:val="none"/>
                <w:vertAlign w:val="superscript"/>
                <w:lang w:val="en-US" w:eastAsia="zh-CN"/>
              </w:rPr>
              <w:t>3</w:t>
            </w:r>
            <w:r>
              <w:rPr>
                <w:rFonts w:hint="default" w:ascii="Times New Roman" w:hAnsi="Times New Roman" w:cs="Times New Roman"/>
                <w:b w:val="0"/>
                <w:bCs w:val="0"/>
                <w:color w:val="auto"/>
                <w:sz w:val="21"/>
                <w:szCs w:val="21"/>
                <w:highlight w:val="none"/>
                <w:vertAlign w:val="baseline"/>
                <w:lang w:val="en-US" w:eastAsia="zh-CN"/>
              </w:rPr>
              <w:t>/d（</w:t>
            </w:r>
            <w:r>
              <w:rPr>
                <w:rFonts w:hint="eastAsia" w:cs="Times New Roman"/>
                <w:b w:val="0"/>
                <w:bCs w:val="0"/>
                <w:color w:val="auto"/>
                <w:sz w:val="21"/>
                <w:szCs w:val="21"/>
                <w:highlight w:val="none"/>
                <w:vertAlign w:val="baseline"/>
                <w:lang w:val="en-US" w:eastAsia="zh-CN"/>
              </w:rPr>
              <w:t>598.5</w:t>
            </w:r>
            <w:r>
              <w:rPr>
                <w:rFonts w:hint="default" w:ascii="Times New Roman" w:hAnsi="Times New Roman" w:cs="Times New Roman"/>
                <w:b w:val="0"/>
                <w:bCs w:val="0"/>
                <w:color w:val="auto"/>
                <w:sz w:val="21"/>
                <w:szCs w:val="21"/>
                <w:highlight w:val="none"/>
                <w:vertAlign w:val="baseline"/>
                <w:lang w:val="en-US" w:eastAsia="zh-CN"/>
              </w:rPr>
              <w:t>m</w:t>
            </w:r>
            <w:r>
              <w:rPr>
                <w:rFonts w:hint="default" w:ascii="Times New Roman" w:hAnsi="Times New Roman" w:cs="Times New Roman"/>
                <w:b w:val="0"/>
                <w:bCs w:val="0"/>
                <w:color w:val="auto"/>
                <w:sz w:val="21"/>
                <w:szCs w:val="21"/>
                <w:highlight w:val="none"/>
                <w:vertAlign w:val="superscript"/>
                <w:lang w:val="en-US" w:eastAsia="zh-CN"/>
              </w:rPr>
              <w:t>3</w:t>
            </w:r>
            <w:r>
              <w:rPr>
                <w:rFonts w:hint="default" w:ascii="Times New Roman" w:hAnsi="Times New Roman" w:cs="Times New Roman"/>
                <w:b w:val="0"/>
                <w:bCs w:val="0"/>
                <w:color w:val="auto"/>
                <w:sz w:val="21"/>
                <w:szCs w:val="21"/>
                <w:highlight w:val="none"/>
                <w:vertAlign w:val="baseline"/>
                <w:lang w:val="en-US" w:eastAsia="zh-CN"/>
              </w:rPr>
              <w:t>/a），污水排放系数取0.8，经计算生活废水产生量为1.68m</w:t>
            </w:r>
            <w:r>
              <w:rPr>
                <w:rFonts w:hint="default" w:ascii="Times New Roman" w:hAnsi="Times New Roman" w:cs="Times New Roman"/>
                <w:b w:val="0"/>
                <w:bCs w:val="0"/>
                <w:color w:val="auto"/>
                <w:sz w:val="21"/>
                <w:szCs w:val="21"/>
                <w:highlight w:val="none"/>
                <w:vertAlign w:val="superscript"/>
                <w:lang w:val="en-US" w:eastAsia="zh-CN"/>
              </w:rPr>
              <w:t>3</w:t>
            </w:r>
            <w:r>
              <w:rPr>
                <w:rFonts w:hint="default" w:ascii="Times New Roman" w:hAnsi="Times New Roman" w:cs="Times New Roman"/>
                <w:b w:val="0"/>
                <w:bCs w:val="0"/>
                <w:color w:val="auto"/>
                <w:sz w:val="21"/>
                <w:szCs w:val="21"/>
                <w:highlight w:val="none"/>
                <w:vertAlign w:val="baseline"/>
                <w:lang w:val="en-US" w:eastAsia="zh-CN"/>
              </w:rPr>
              <w:t>/d（</w:t>
            </w:r>
            <w:r>
              <w:rPr>
                <w:rFonts w:hint="eastAsia" w:cs="Times New Roman"/>
                <w:b w:val="0"/>
                <w:bCs w:val="0"/>
                <w:color w:val="auto"/>
                <w:sz w:val="21"/>
                <w:szCs w:val="21"/>
                <w:highlight w:val="none"/>
                <w:vertAlign w:val="baseline"/>
                <w:lang w:val="en-US" w:eastAsia="zh-CN"/>
              </w:rPr>
              <w:t>478.8</w:t>
            </w:r>
            <w:r>
              <w:rPr>
                <w:rFonts w:hint="default" w:ascii="Times New Roman" w:hAnsi="Times New Roman" w:cs="Times New Roman"/>
                <w:b w:val="0"/>
                <w:bCs w:val="0"/>
                <w:color w:val="auto"/>
                <w:sz w:val="21"/>
                <w:szCs w:val="21"/>
                <w:highlight w:val="none"/>
                <w:vertAlign w:val="baseline"/>
                <w:lang w:val="en-US" w:eastAsia="zh-CN"/>
              </w:rPr>
              <w:t>m</w:t>
            </w:r>
            <w:r>
              <w:rPr>
                <w:rFonts w:hint="default" w:ascii="Times New Roman" w:hAnsi="Times New Roman" w:cs="Times New Roman"/>
                <w:b w:val="0"/>
                <w:bCs w:val="0"/>
                <w:color w:val="auto"/>
                <w:sz w:val="21"/>
                <w:szCs w:val="21"/>
                <w:highlight w:val="none"/>
                <w:vertAlign w:val="superscript"/>
                <w:lang w:val="en-US" w:eastAsia="zh-CN"/>
              </w:rPr>
              <w:t>3</w:t>
            </w:r>
            <w:r>
              <w:rPr>
                <w:rFonts w:hint="default" w:ascii="Times New Roman" w:hAnsi="Times New Roman" w:cs="Times New Roman"/>
                <w:b w:val="0"/>
                <w:bCs w:val="0"/>
                <w:color w:val="auto"/>
                <w:sz w:val="21"/>
                <w:szCs w:val="21"/>
                <w:highlight w:val="none"/>
                <w:vertAlign w:val="baseline"/>
                <w:lang w:val="en-US" w:eastAsia="zh-CN"/>
              </w:rPr>
              <w:t>/a），该部分废水经设置化粪池处理后，</w:t>
            </w:r>
            <w:r>
              <w:rPr>
                <w:rFonts w:hint="default" w:ascii="Times New Roman" w:hAnsi="Times New Roman" w:cs="Times New Roman"/>
                <w:color w:val="auto"/>
                <w:sz w:val="21"/>
                <w:szCs w:val="21"/>
                <w:highlight w:val="none"/>
                <w:lang w:val="en-US" w:eastAsia="zh-CN"/>
              </w:rPr>
              <w:t>经厂区总排口</w:t>
            </w:r>
            <w:r>
              <w:rPr>
                <w:rFonts w:hint="eastAsia" w:cs="Times New Roman"/>
                <w:color w:val="auto"/>
                <w:sz w:val="21"/>
                <w:szCs w:val="21"/>
                <w:highlight w:val="none"/>
                <w:lang w:val="en-US" w:eastAsia="zh-CN"/>
              </w:rPr>
              <w:t>（DW001）</w:t>
            </w:r>
            <w:r>
              <w:rPr>
                <w:rFonts w:hint="default" w:ascii="Times New Roman" w:hAnsi="Times New Roman" w:cs="Times New Roman"/>
                <w:color w:val="auto"/>
                <w:sz w:val="21"/>
                <w:szCs w:val="21"/>
                <w:highlight w:val="none"/>
                <w:lang w:val="en-US" w:eastAsia="zh-CN"/>
              </w:rPr>
              <w:t>排入区域污水管网，后</w:t>
            </w:r>
            <w:r>
              <w:rPr>
                <w:rFonts w:hint="default" w:ascii="Times New Roman" w:hAnsi="Times New Roman" w:cs="Times New Roman"/>
                <w:b w:val="0"/>
                <w:bCs w:val="0"/>
                <w:color w:val="auto"/>
                <w:sz w:val="21"/>
                <w:szCs w:val="21"/>
                <w:highlight w:val="none"/>
                <w:vertAlign w:val="baseline"/>
                <w:lang w:val="en-US" w:eastAsia="zh-CN"/>
              </w:rPr>
              <w:t>排入新乡县综合污水处理厂进一步处理。</w:t>
            </w:r>
          </w:p>
          <w:p>
            <w:pPr>
              <w:pStyle w:val="21"/>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left="0" w:leftChars="0" w:firstLine="422" w:firstLineChars="200"/>
              <w:jc w:val="both"/>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磨边工序冲洗用水</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根据企业提供设备参数，磨边工序设备配套冲洗水流量约为2L/min，工程共设置10台磨边机，每台设备每天工作时间按照4h计算，年工作时间为285天，则磨边工序冲洗用水量为4.8m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/d（1368m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/a），废水产生量按照90%计算，则废水排放量为4.32m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/d（1231.2m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/a），废水经设置的</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沉淀池</w:t>
            </w:r>
            <w:r>
              <w:rPr>
                <w:rFonts w:hint="eastAsia" w:cs="Times New Roman"/>
                <w:color w:val="auto"/>
                <w:sz w:val="21"/>
                <w:szCs w:val="21"/>
                <w:highlight w:val="none"/>
                <w:lang w:val="en-US" w:eastAsia="zh-CN"/>
              </w:rPr>
              <w:t>+混凝沉淀池”</w:t>
            </w:r>
            <w:r>
              <w:rPr>
                <w:rFonts w:hint="default" w:ascii="Times New Roman" w:hAnsi="Times New Roman" w:cs="Times New Roman"/>
                <w:color w:val="auto"/>
                <w:sz w:val="21"/>
                <w:szCs w:val="21"/>
                <w:highlight w:val="none"/>
                <w:lang w:val="en-US" w:eastAsia="zh-CN"/>
              </w:rPr>
              <w:t>处理后，通过厂区总排口</w:t>
            </w:r>
            <w:r>
              <w:rPr>
                <w:rFonts w:hint="eastAsia" w:cs="Times New Roman"/>
                <w:color w:val="auto"/>
                <w:sz w:val="21"/>
                <w:szCs w:val="21"/>
                <w:highlight w:val="none"/>
                <w:lang w:val="en-US" w:eastAsia="zh-CN"/>
              </w:rPr>
              <w:t>（DW001）</w:t>
            </w:r>
            <w:r>
              <w:rPr>
                <w:rFonts w:hint="default" w:ascii="Times New Roman" w:hAnsi="Times New Roman" w:cs="Times New Roman"/>
                <w:color w:val="auto"/>
                <w:sz w:val="21"/>
                <w:szCs w:val="21"/>
                <w:highlight w:val="none"/>
                <w:lang w:val="en-US" w:eastAsia="zh-CN"/>
              </w:rPr>
              <w:t>排入区域污水管网，最终排入新乡县综合污水处理厂进一步处理。</w:t>
            </w:r>
          </w:p>
          <w:p>
            <w:pPr>
              <w:pStyle w:val="21"/>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left="0" w:leftChars="0" w:firstLine="422" w:firstLineChars="200"/>
              <w:jc w:val="both"/>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抛光补充用水</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工程抛光过程所用抛光液</w:t>
            </w:r>
            <w:r>
              <w:rPr>
                <w:rFonts w:hint="default" w:ascii="Times New Roman" w:hAnsi="Times New Roman" w:cs="Times New Roman"/>
                <w:color w:val="auto"/>
                <w:sz w:val="21"/>
                <w:szCs w:val="21"/>
                <w:highlight w:val="none"/>
                <w:lang w:eastAsia="zh-CN"/>
              </w:rPr>
              <w:t>将抛光粉和纯水水按照1：5比例调配使用，抛光液均在配套设置的抛光液储罐冲储存，工程每</w:t>
            </w:r>
            <w:r>
              <w:rPr>
                <w:rFonts w:hint="default" w:ascii="Times New Roman" w:hAnsi="Times New Roman" w:cs="Times New Roman"/>
                <w:color w:val="auto"/>
                <w:sz w:val="21"/>
                <w:szCs w:val="21"/>
                <w:highlight w:val="none"/>
                <w:lang w:val="en-US" w:eastAsia="zh-CN"/>
              </w:rPr>
              <w:t>2台抛光设备共用1抛光液储罐（共3个），每个抛光液储罐规格为</w:t>
            </w:r>
            <w:r>
              <w:rPr>
                <w:rFonts w:hint="default" w:ascii="Times New Roman" w:hAnsi="Times New Roman" w:cs="Times New Roman"/>
                <w:color w:val="auto"/>
                <w:sz w:val="21"/>
                <w:szCs w:val="21"/>
                <w:highlight w:val="none"/>
                <w:lang w:eastAsia="zh-CN"/>
              </w:rPr>
              <w:t>高0.35m，直径0.3m，则抛光液储罐总抛光液量为</w:t>
            </w:r>
            <w:r>
              <w:rPr>
                <w:rFonts w:hint="default" w:ascii="Times New Roman" w:hAnsi="Times New Roman" w:cs="Times New Roman"/>
                <w:color w:val="auto"/>
                <w:sz w:val="21"/>
                <w:szCs w:val="21"/>
                <w:highlight w:val="none"/>
                <w:lang w:val="en-US" w:eastAsia="zh-CN"/>
              </w:rPr>
              <w:t>0.074m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，该部分抛光液均循环使用，根据企业提供资料，工程每台抛光机每天工作16h，抛光液冲洗系统流量为1L/min，则抛光液循环使用量为5.76m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/d，抛光过程水分损耗量按照循环量的10%计算，则需每天定期补充纯水量为0.576m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/d（164.16m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p>
            <w:pPr>
              <w:pStyle w:val="21"/>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left="0" w:leftChars="0" w:firstLine="422" w:firstLineChars="200"/>
              <w:jc w:val="both"/>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镀膜前冲洗用水</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程镀膜前均需进行清洗，主要采用纯水进行冲洗，根据企业提供资料，各类产品冲洗水量约在1L/片~2L/片，本次评价取平均值1.5L/片进行计算，工程年加工各类光学零件共计400000片，经计算镀膜前冲洗用水量为600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/a（年工作按285天计算，折合约2.105m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/d），损耗量平均按照50mL/片产品计算，则废水排放量为2.035m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w:t>
            </w:r>
            <w:r>
              <w:rPr>
                <w:rFonts w:hint="eastAsia" w:cs="Times New Roman"/>
                <w:color w:val="auto"/>
                <w:sz w:val="21"/>
                <w:szCs w:val="21"/>
                <w:highlight w:val="none"/>
                <w:lang w:val="en-US" w:eastAsia="zh-CN"/>
              </w:rPr>
              <w:t>579.975</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/a），冲洗后废水均排入设置的</w:t>
            </w:r>
            <w:r>
              <w:rPr>
                <w:rFonts w:hint="eastAsia" w:cs="Times New Roman"/>
                <w:color w:val="auto"/>
                <w:sz w:val="21"/>
                <w:szCs w:val="21"/>
                <w:highlight w:val="none"/>
                <w:lang w:val="en-US" w:eastAsia="zh-CN"/>
              </w:rPr>
              <w:t>“沉淀池+</w:t>
            </w:r>
            <w:r>
              <w:rPr>
                <w:rFonts w:hint="default" w:ascii="Times New Roman" w:hAnsi="Times New Roman" w:cs="Times New Roman"/>
                <w:color w:val="auto"/>
                <w:sz w:val="21"/>
                <w:szCs w:val="21"/>
                <w:highlight w:val="none"/>
                <w:lang w:val="en-US" w:eastAsia="zh-CN"/>
              </w:rPr>
              <w:t>混凝沉淀池</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处理后，通过厂区总排口</w:t>
            </w:r>
            <w:r>
              <w:rPr>
                <w:rFonts w:hint="eastAsia" w:cs="Times New Roman"/>
                <w:color w:val="auto"/>
                <w:sz w:val="21"/>
                <w:szCs w:val="21"/>
                <w:highlight w:val="none"/>
                <w:lang w:val="en-US" w:eastAsia="zh-CN"/>
              </w:rPr>
              <w:t>（DW001）</w:t>
            </w:r>
            <w:r>
              <w:rPr>
                <w:rFonts w:hint="default" w:ascii="Times New Roman" w:hAnsi="Times New Roman" w:cs="Times New Roman"/>
                <w:color w:val="auto"/>
                <w:sz w:val="21"/>
                <w:szCs w:val="21"/>
                <w:highlight w:val="none"/>
                <w:lang w:val="en-US" w:eastAsia="zh-CN"/>
              </w:rPr>
              <w:t>排入区域污水管网，最终排入新乡县综合污水处理厂进一步处理。</w:t>
            </w:r>
          </w:p>
          <w:p>
            <w:pPr>
              <w:pStyle w:val="21"/>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left="0" w:leftChars="0" w:firstLine="422" w:firstLineChars="200"/>
              <w:jc w:val="both"/>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镀膜后清洗</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镀膜后采用超声波清洗方式进行清洗，清洗过程利用纯水和清洗剂进行清洗，根据企业提供资料，项目超声波清洗设备水槽容量为2m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，内部有效容积按80%计算，则清洗槽内清洗水量约为1.6m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，清水洗过程中清洗液不断损耗，根据情况补充纯水和清洗液，损耗量平均按照50mL/片产品计算，工程年加工各类光学零件共计400000片，则损耗水量为20m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/a（折合为0.07m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/d），损耗水根据情况补充，因此超声波清洗过程所需用水量为1.67m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/d，超声波清洗机内清洗水每日定期更换，则废清洗液量约为1.6m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/d（456m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/a），排入设置的</w:t>
            </w:r>
            <w:r>
              <w:rPr>
                <w:rFonts w:hint="eastAsia" w:cs="Times New Roman"/>
                <w:color w:val="auto"/>
                <w:sz w:val="21"/>
                <w:szCs w:val="21"/>
                <w:highlight w:val="none"/>
                <w:lang w:val="en-US" w:eastAsia="zh-CN"/>
              </w:rPr>
              <w:t>“沉淀池+</w:t>
            </w:r>
            <w:r>
              <w:rPr>
                <w:rFonts w:hint="default" w:ascii="Times New Roman" w:hAnsi="Times New Roman" w:cs="Times New Roman"/>
                <w:color w:val="auto"/>
                <w:sz w:val="21"/>
                <w:szCs w:val="21"/>
                <w:highlight w:val="none"/>
                <w:lang w:val="en-US" w:eastAsia="zh-CN"/>
              </w:rPr>
              <w:t>混凝沉淀池</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处理后，通过厂区总排口</w:t>
            </w:r>
            <w:r>
              <w:rPr>
                <w:rFonts w:hint="eastAsia" w:cs="Times New Roman"/>
                <w:color w:val="auto"/>
                <w:sz w:val="21"/>
                <w:szCs w:val="21"/>
                <w:highlight w:val="none"/>
                <w:lang w:val="en-US" w:eastAsia="zh-CN"/>
              </w:rPr>
              <w:t>（DW001）</w:t>
            </w:r>
            <w:r>
              <w:rPr>
                <w:rFonts w:hint="default" w:ascii="Times New Roman" w:hAnsi="Times New Roman" w:cs="Times New Roman"/>
                <w:color w:val="auto"/>
                <w:sz w:val="21"/>
                <w:szCs w:val="21"/>
                <w:highlight w:val="none"/>
                <w:lang w:val="en-US" w:eastAsia="zh-CN"/>
              </w:rPr>
              <w:t>排入区域污水管网，最终排入新乡县综合污水处理厂进一步处理。</w:t>
            </w:r>
          </w:p>
          <w:p>
            <w:pPr>
              <w:pStyle w:val="21"/>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left="0" w:leftChars="0" w:firstLine="422" w:firstLineChars="200"/>
              <w:jc w:val="both"/>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纯水制备用水</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工程纯水通过现有1套纯水制备设备，采用“原水系统-多介质过滤系统+活性炭过滤系统+一级反渗透系+PH 调节系统+二级反渗透系统+EDI 超纯水系统+抛光混床系统”工艺，该系统纯水制备率约为75%。工程抛光和清洗过程所需纯水量为4.351m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/d，则所需自来水量为5.8013m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/d，制备产生的反渗透浓水量为1.4503m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/d，浓水通过厂区总排口</w:t>
            </w:r>
            <w:r>
              <w:rPr>
                <w:rFonts w:hint="eastAsia" w:cs="Times New Roman"/>
                <w:color w:val="auto"/>
                <w:sz w:val="21"/>
                <w:szCs w:val="21"/>
                <w:highlight w:val="none"/>
                <w:lang w:val="en-US" w:eastAsia="zh-CN"/>
              </w:rPr>
              <w:t>（DW001）</w:t>
            </w:r>
            <w:r>
              <w:rPr>
                <w:rFonts w:hint="default" w:ascii="Times New Roman" w:hAnsi="Times New Roman" w:cs="Times New Roman"/>
                <w:color w:val="auto"/>
                <w:sz w:val="21"/>
                <w:szCs w:val="21"/>
                <w:highlight w:val="none"/>
                <w:lang w:val="en-US" w:eastAsia="zh-CN"/>
              </w:rPr>
              <w:t>排入区域污水管网，最终排入新乡县综合污水处理厂进一步处理。</w:t>
            </w:r>
            <w:r>
              <w:rPr>
                <w:rFonts w:hint="default" w:ascii="Times New Roman" w:hAnsi="Times New Roman" w:cs="Times New Roman"/>
                <w:color w:val="auto"/>
                <w:sz w:val="21"/>
                <w:szCs w:val="21"/>
                <w:highlight w:val="none"/>
                <w:lang w:val="en-US" w:eastAsia="zh-CN"/>
              </w:rPr>
              <w:br w:type="textWrapping"/>
            </w:r>
            <w:r>
              <w:rPr>
                <w:rFonts w:hint="default" w:ascii="Times New Roman" w:hAnsi="Times New Roman" w:cs="Times New Roman"/>
                <w:color w:val="auto"/>
                <w:sz w:val="21"/>
                <w:szCs w:val="21"/>
                <w:highlight w:val="none"/>
                <w:lang w:val="en-US" w:eastAsia="zh-CN"/>
              </w:rPr>
              <w:br w:type="textWrapping"/>
            </w:r>
            <w:r>
              <w:rPr>
                <w:rFonts w:hint="default" w:ascii="Times New Roman" w:hAnsi="Times New Roman" w:cs="Times New Roman"/>
                <w:color w:val="auto"/>
                <w:sz w:val="21"/>
                <w:szCs w:val="21"/>
                <w:highlight w:val="none"/>
                <w:lang w:val="en-US" w:eastAsia="zh-CN"/>
              </w:rPr>
              <w:br w:type="textWrapping"/>
            </w:r>
            <w:r>
              <w:rPr>
                <w:rFonts w:hint="default" w:ascii="Times New Roman" w:hAnsi="Times New Roman" w:cs="Times New Roman"/>
                <w:color w:val="auto"/>
                <w:sz w:val="21"/>
                <w:szCs w:val="21"/>
                <w:highlight w:val="none"/>
                <w:lang w:val="en-US" w:eastAsia="zh-CN"/>
              </w:rPr>
              <w:br w:type="textWrapping"/>
            </w:r>
            <w:r>
              <w:rPr>
                <w:rFonts w:hint="default" w:ascii="Times New Roman" w:hAnsi="Times New Roman" w:cs="Times New Roman"/>
                <w:color w:val="auto"/>
                <w:sz w:val="21"/>
                <w:szCs w:val="21"/>
                <w:highlight w:val="none"/>
                <w:lang w:val="en-US" w:eastAsia="zh-CN"/>
              </w:rPr>
              <w:br w:type="textWrapping"/>
            </w:r>
            <w:r>
              <w:rPr>
                <w:rFonts w:hint="default" w:ascii="Times New Roman" w:hAnsi="Times New Roman" w:cs="Times New Roman"/>
                <w:color w:val="auto"/>
                <w:sz w:val="21"/>
                <w:szCs w:val="21"/>
                <w:highlight w:val="none"/>
                <w:lang w:val="en-US" w:eastAsia="zh-CN"/>
              </w:rPr>
              <w:br w:type="textWrapping"/>
            </w:r>
            <w:r>
              <w:rPr>
                <w:rFonts w:hint="default" w:ascii="Times New Roman" w:hAnsi="Times New Roman" w:cs="Times New Roman"/>
                <w:color w:val="auto"/>
                <w:sz w:val="21"/>
                <w:szCs w:val="21"/>
                <w:highlight w:val="none"/>
                <w:lang w:val="en-US" w:eastAsia="zh-CN"/>
              </w:rPr>
              <w:br w:type="textWrapping"/>
            </w:r>
            <w:r>
              <w:rPr>
                <w:rFonts w:hint="default" w:ascii="Times New Roman" w:hAnsi="Times New Roman" w:cs="Times New Roman"/>
                <w:color w:val="auto"/>
                <w:sz w:val="21"/>
                <w:szCs w:val="21"/>
                <w:highlight w:val="none"/>
                <w:lang w:val="en-US" w:eastAsia="zh-CN"/>
              </w:rPr>
              <w:br w:type="textWrapping"/>
            </w:r>
            <w:r>
              <w:rPr>
                <w:rFonts w:hint="default" w:ascii="Times New Roman" w:hAnsi="Times New Roman" w:cs="Times New Roman"/>
                <w:color w:val="auto"/>
                <w:sz w:val="21"/>
                <w:szCs w:val="21"/>
                <w:highlight w:val="none"/>
                <w:lang w:val="en-US" w:eastAsia="zh-CN"/>
              </w:rPr>
              <w:br w:type="textWrapping"/>
            </w:r>
            <w:r>
              <w:rPr>
                <w:rFonts w:hint="default" w:ascii="Times New Roman" w:hAnsi="Times New Roman" w:cs="Times New Roman"/>
                <w:color w:val="auto"/>
                <w:sz w:val="21"/>
                <w:szCs w:val="21"/>
                <w:highlight w:val="none"/>
                <w:lang w:val="en-US" w:eastAsia="zh-CN"/>
              </w:rPr>
              <w:br w:type="textWrapping"/>
            </w:r>
            <w:r>
              <w:rPr>
                <w:rFonts w:hint="default" w:ascii="Times New Roman" w:hAnsi="Times New Roman" w:cs="Times New Roman"/>
                <w:color w:val="auto"/>
                <w:highlight w:val="none"/>
                <w:lang w:eastAsia="zh-CN"/>
              </w:rPr>
              <w:object>
                <v:shape id="_x0000_i1030" o:spt="75" type="#_x0000_t75" style="height:289.25pt;width:388.7pt;" o:ole="t" filled="f" o:preferrelative="t" stroked="f" coordsize="21600,21600">
                  <v:path/>
                  <v:fill on="f" focussize="0,0"/>
                  <v:stroke on="f"/>
                  <v:imagedata r:id="rId26" cropleft="1885f" croptop="1909f" cropright="1855f" cropbottom="2112f" o:title=""/>
                  <o:lock v:ext="edit" aspectratio="t"/>
                  <w10:wrap type="none"/>
                  <w10:anchorlock/>
                </v:shape>
                <o:OLEObject Type="Embed" ProgID="Visio.Drawing.15" ShapeID="_x0000_i1030" DrawAspect="Content" ObjectID="_1468075730" r:id="rId25">
                  <o:LockedField>false</o:LockedField>
                </o:OLEObject>
              </w:object>
            </w:r>
          </w:p>
          <w:p>
            <w:pPr>
              <w:pStyle w:val="11"/>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现有工程水平衡图（m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val="en-US" w:eastAsia="zh-CN"/>
              </w:rPr>
              <w:t>8、</w:t>
            </w:r>
            <w:r>
              <w:rPr>
                <w:rFonts w:hint="default" w:ascii="Times New Roman" w:hAnsi="Times New Roman" w:cs="Times New Roman"/>
                <w:b/>
                <w:bCs/>
                <w:color w:val="auto"/>
                <w:kern w:val="0"/>
                <w:sz w:val="21"/>
                <w:szCs w:val="21"/>
                <w:highlight w:val="none"/>
              </w:rPr>
              <w:t>现有</w:t>
            </w:r>
            <w:r>
              <w:rPr>
                <w:rFonts w:hint="default" w:ascii="Times New Roman" w:hAnsi="Times New Roman" w:cs="Times New Roman"/>
                <w:b/>
                <w:bCs/>
                <w:color w:val="auto"/>
                <w:kern w:val="0"/>
                <w:sz w:val="21"/>
                <w:szCs w:val="21"/>
                <w:highlight w:val="none"/>
                <w:lang w:eastAsia="zh-CN"/>
              </w:rPr>
              <w:t>工程</w:t>
            </w:r>
            <w:r>
              <w:rPr>
                <w:rFonts w:hint="default" w:ascii="Times New Roman" w:hAnsi="Times New Roman" w:cs="Times New Roman"/>
                <w:b/>
                <w:bCs/>
                <w:color w:val="auto"/>
                <w:kern w:val="0"/>
                <w:sz w:val="21"/>
                <w:szCs w:val="21"/>
                <w:highlight w:val="none"/>
              </w:rPr>
              <w:t>产污环节分析</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现有工程产污环节一览表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906"/>
              <w:gridCol w:w="1861"/>
              <w:gridCol w:w="1812"/>
              <w:gridCol w:w="14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类别</w:t>
                  </w:r>
                </w:p>
              </w:tc>
              <w:tc>
                <w:tcPr>
                  <w:tcW w:w="124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产污环节</w:t>
                  </w:r>
                </w:p>
              </w:tc>
              <w:tc>
                <w:tcPr>
                  <w:tcW w:w="121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污染因子</w:t>
                  </w:r>
                </w:p>
              </w:tc>
              <w:tc>
                <w:tcPr>
                  <w:tcW w:w="2156" w:type="pct"/>
                  <w:gridSpan w:val="2"/>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治理措施及去向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restar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废水</w:t>
                  </w:r>
                </w:p>
              </w:tc>
              <w:tc>
                <w:tcPr>
                  <w:tcW w:w="124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color w:val="auto"/>
                      <w:kern w:val="0"/>
                      <w:sz w:val="18"/>
                      <w:szCs w:val="18"/>
                      <w:highlight w:val="none"/>
                      <w:lang w:val="zh-CN" w:eastAsia="en-US"/>
                    </w:rPr>
                    <w:t>生活废水</w:t>
                  </w:r>
                </w:p>
              </w:tc>
              <w:tc>
                <w:tcPr>
                  <w:tcW w:w="121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pH、</w:t>
                  </w:r>
                  <w:r>
                    <w:rPr>
                      <w:rFonts w:hint="default" w:ascii="Times New Roman" w:hAnsi="Times New Roman" w:eastAsia="Times New Roman" w:cs="Times New Roman"/>
                      <w:color w:val="auto"/>
                      <w:kern w:val="0"/>
                      <w:sz w:val="18"/>
                      <w:szCs w:val="18"/>
                      <w:highlight w:val="none"/>
                    </w:rPr>
                    <w:t>COD</w:t>
                  </w:r>
                  <w:r>
                    <w:rPr>
                      <w:rFonts w:hint="default" w:ascii="Times New Roman" w:hAnsi="Times New Roman" w:cs="Times New Roman"/>
                      <w:color w:val="auto"/>
                      <w:kern w:val="0"/>
                      <w:sz w:val="18"/>
                      <w:szCs w:val="18"/>
                      <w:highlight w:val="none"/>
                      <w:lang w:val="zh-CN"/>
                    </w:rPr>
                    <w:t>、</w:t>
                  </w:r>
                  <w:r>
                    <w:rPr>
                      <w:rFonts w:hint="default" w:ascii="Times New Roman" w:hAnsi="Times New Roman" w:cs="Times New Roman"/>
                      <w:color w:val="auto"/>
                      <w:kern w:val="0"/>
                      <w:sz w:val="18"/>
                      <w:szCs w:val="18"/>
                      <w:highlight w:val="none"/>
                      <w:lang w:val="en-US" w:eastAsia="zh-CN"/>
                    </w:rPr>
                    <w:t>BOD</w:t>
                  </w:r>
                  <w:r>
                    <w:rPr>
                      <w:rFonts w:hint="default" w:ascii="Times New Roman" w:hAnsi="Times New Roman" w:cs="Times New Roman"/>
                      <w:color w:val="auto"/>
                      <w:kern w:val="0"/>
                      <w:sz w:val="18"/>
                      <w:szCs w:val="18"/>
                      <w:highlight w:val="none"/>
                      <w:vertAlign w:val="subscript"/>
                      <w:lang w:val="en-US" w:eastAsia="zh-CN"/>
                    </w:rPr>
                    <w:t>5</w:t>
                  </w:r>
                  <w:r>
                    <w:rPr>
                      <w:rFonts w:hint="default" w:ascii="Times New Roman" w:hAnsi="Times New Roman" w:cs="Times New Roman"/>
                      <w:color w:val="auto"/>
                      <w:kern w:val="0"/>
                      <w:sz w:val="18"/>
                      <w:szCs w:val="18"/>
                      <w:highlight w:val="none"/>
                      <w:lang w:val="en-US" w:eastAsia="zh-CN"/>
                    </w:rPr>
                    <w:t>、</w:t>
                  </w:r>
                  <w:r>
                    <w:rPr>
                      <w:rFonts w:hint="default" w:ascii="Times New Roman" w:hAnsi="Times New Roman" w:cs="Times New Roman"/>
                      <w:color w:val="auto"/>
                      <w:kern w:val="0"/>
                      <w:sz w:val="18"/>
                      <w:szCs w:val="18"/>
                      <w:highlight w:val="none"/>
                    </w:rPr>
                    <w:t>SS</w:t>
                  </w:r>
                  <w:r>
                    <w:rPr>
                      <w:rFonts w:hint="default" w:ascii="Times New Roman" w:hAnsi="Times New Roman" w:cs="Times New Roman"/>
                      <w:color w:val="auto"/>
                      <w:kern w:val="0"/>
                      <w:sz w:val="18"/>
                      <w:szCs w:val="18"/>
                      <w:highlight w:val="none"/>
                      <w:lang w:val="zh-CN"/>
                    </w:rPr>
                    <w:t>、</w:t>
                  </w:r>
                  <w:r>
                    <w:rPr>
                      <w:rFonts w:hint="default" w:ascii="Times New Roman" w:hAnsi="Times New Roman" w:eastAsia="Times New Roman" w:cs="Times New Roman"/>
                      <w:color w:val="auto"/>
                      <w:kern w:val="0"/>
                      <w:sz w:val="18"/>
                      <w:szCs w:val="18"/>
                      <w:highlight w:val="none"/>
                    </w:rPr>
                    <w:t>NH</w:t>
                  </w:r>
                  <w:r>
                    <w:rPr>
                      <w:rFonts w:hint="default" w:ascii="Times New Roman" w:hAnsi="Times New Roman" w:eastAsia="Times New Roman" w:cs="Times New Roman"/>
                      <w:color w:val="auto"/>
                      <w:kern w:val="0"/>
                      <w:sz w:val="18"/>
                      <w:szCs w:val="18"/>
                      <w:highlight w:val="none"/>
                      <w:vertAlign w:val="subscript"/>
                    </w:rPr>
                    <w:t>3</w:t>
                  </w:r>
                  <w:r>
                    <w:rPr>
                      <w:rFonts w:hint="default" w:ascii="Times New Roman" w:hAnsi="Times New Roman" w:eastAsia="Times New Roman" w:cs="Times New Roman"/>
                      <w:color w:val="auto"/>
                      <w:kern w:val="0"/>
                      <w:sz w:val="18"/>
                      <w:szCs w:val="18"/>
                      <w:highlight w:val="none"/>
                    </w:rPr>
                    <w:t>-N</w:t>
                  </w:r>
                  <w:r>
                    <w:rPr>
                      <w:rFonts w:hint="default" w:ascii="Times New Roman" w:hAnsi="Times New Roman" w:eastAsia="宋体" w:cs="Times New Roman"/>
                      <w:color w:val="auto"/>
                      <w:kern w:val="0"/>
                      <w:sz w:val="18"/>
                      <w:szCs w:val="18"/>
                      <w:highlight w:val="none"/>
                      <w:lang w:eastAsia="zh-CN"/>
                    </w:rPr>
                    <w:t>、</w:t>
                  </w:r>
                  <w:r>
                    <w:rPr>
                      <w:rFonts w:hint="default" w:ascii="Times New Roman" w:hAnsi="Times New Roman" w:eastAsia="宋体" w:cs="Times New Roman"/>
                      <w:color w:val="auto"/>
                      <w:kern w:val="0"/>
                      <w:sz w:val="18"/>
                      <w:szCs w:val="18"/>
                      <w:highlight w:val="none"/>
                      <w:lang w:val="en-US" w:eastAsia="zh-CN"/>
                    </w:rPr>
                    <w:t>TP、</w:t>
                  </w:r>
                  <w:r>
                    <w:rPr>
                      <w:rFonts w:hint="default" w:ascii="Times New Roman" w:hAnsi="Times New Roman" w:cs="Times New Roman"/>
                      <w:color w:val="auto"/>
                      <w:kern w:val="0"/>
                      <w:sz w:val="18"/>
                      <w:szCs w:val="18"/>
                      <w:highlight w:val="none"/>
                      <w:lang w:val="en-US" w:eastAsia="zh-CN"/>
                    </w:rPr>
                    <w:t>LAS</w:t>
                  </w:r>
                </w:p>
              </w:tc>
              <w:tc>
                <w:tcPr>
                  <w:tcW w:w="1185"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化粪池</w:t>
                  </w:r>
                </w:p>
              </w:tc>
              <w:tc>
                <w:tcPr>
                  <w:tcW w:w="971" w:type="pct"/>
                  <w:vMerge w:val="restar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经区域污水管网排入新乡县综合污水处理厂进一步处理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p>
              </w:tc>
              <w:tc>
                <w:tcPr>
                  <w:tcW w:w="124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磨边冲洗废水</w:t>
                  </w:r>
                </w:p>
              </w:tc>
              <w:tc>
                <w:tcPr>
                  <w:tcW w:w="121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COD、SS</w:t>
                  </w:r>
                </w:p>
              </w:tc>
              <w:tc>
                <w:tcPr>
                  <w:tcW w:w="1185" w:type="pct"/>
                  <w:vMerge w:val="restar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沉淀池</w:t>
                  </w:r>
                  <w:r>
                    <w:rPr>
                      <w:rFonts w:hint="default" w:ascii="Times New Roman" w:hAnsi="Times New Roman" w:cs="Times New Roman"/>
                      <w:snapToGrid w:val="0"/>
                      <w:color w:val="auto"/>
                      <w:kern w:val="0"/>
                      <w:sz w:val="18"/>
                      <w:szCs w:val="18"/>
                      <w:highlight w:val="none"/>
                      <w:lang w:val="en-US" w:eastAsia="zh-CN"/>
                    </w:rPr>
                    <w:t>+</w:t>
                  </w:r>
                  <w:r>
                    <w:rPr>
                      <w:rFonts w:hint="default" w:ascii="Times New Roman" w:hAnsi="Times New Roman" w:cs="Times New Roman"/>
                      <w:snapToGrid w:val="0"/>
                      <w:color w:val="auto"/>
                      <w:kern w:val="0"/>
                      <w:sz w:val="18"/>
                      <w:szCs w:val="18"/>
                      <w:highlight w:val="none"/>
                      <w:lang w:eastAsia="zh-CN"/>
                    </w:rPr>
                    <w:t>混凝沉淀池</w:t>
                  </w:r>
                </w:p>
              </w:tc>
              <w:tc>
                <w:tcPr>
                  <w:tcW w:w="971" w:type="pct"/>
                  <w:vMerge w:val="continue"/>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p>
              </w:tc>
              <w:tc>
                <w:tcPr>
                  <w:tcW w:w="124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超声波清洗废水</w:t>
                  </w:r>
                </w:p>
              </w:tc>
              <w:tc>
                <w:tcPr>
                  <w:tcW w:w="121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COD、SS、</w:t>
                  </w:r>
                  <w:r>
                    <w:rPr>
                      <w:rFonts w:hint="eastAsia" w:cs="Times New Roman"/>
                      <w:color w:val="auto"/>
                      <w:kern w:val="0"/>
                      <w:sz w:val="18"/>
                      <w:szCs w:val="18"/>
                      <w:highlight w:val="none"/>
                      <w:lang w:val="en-US" w:eastAsia="zh-CN"/>
                    </w:rPr>
                    <w:t>NH</w:t>
                  </w:r>
                  <w:r>
                    <w:rPr>
                      <w:rFonts w:hint="eastAsia" w:cs="Times New Roman"/>
                      <w:color w:val="auto"/>
                      <w:kern w:val="0"/>
                      <w:sz w:val="18"/>
                      <w:szCs w:val="18"/>
                      <w:highlight w:val="none"/>
                      <w:vertAlign w:val="subscript"/>
                      <w:lang w:val="en-US" w:eastAsia="zh-CN"/>
                    </w:rPr>
                    <w:t>3</w:t>
                  </w:r>
                  <w:r>
                    <w:rPr>
                      <w:rFonts w:hint="eastAsia" w:cs="Times New Roman"/>
                      <w:color w:val="auto"/>
                      <w:kern w:val="0"/>
                      <w:sz w:val="18"/>
                      <w:szCs w:val="18"/>
                      <w:highlight w:val="none"/>
                      <w:lang w:val="en-US" w:eastAsia="zh-CN"/>
                    </w:rPr>
                    <w:t>-N、TP、</w:t>
                  </w:r>
                  <w:r>
                    <w:rPr>
                      <w:rFonts w:hint="default" w:ascii="Times New Roman" w:hAnsi="Times New Roman" w:eastAsia="宋体" w:cs="Times New Roman"/>
                      <w:color w:val="auto"/>
                      <w:kern w:val="0"/>
                      <w:sz w:val="18"/>
                      <w:szCs w:val="18"/>
                      <w:highlight w:val="none"/>
                      <w:lang w:val="en-US" w:eastAsia="zh-CN"/>
                    </w:rPr>
                    <w:t>LAS</w:t>
                  </w:r>
                </w:p>
              </w:tc>
              <w:tc>
                <w:tcPr>
                  <w:tcW w:w="1185" w:type="pct"/>
                  <w:vMerge w:val="continue"/>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p>
              </w:tc>
              <w:tc>
                <w:tcPr>
                  <w:tcW w:w="971" w:type="pct"/>
                  <w:vMerge w:val="continue"/>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p>
              </w:tc>
              <w:tc>
                <w:tcPr>
                  <w:tcW w:w="124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软水制备浓水</w:t>
                  </w:r>
                </w:p>
              </w:tc>
              <w:tc>
                <w:tcPr>
                  <w:tcW w:w="121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COD、SS</w:t>
                  </w:r>
                </w:p>
              </w:tc>
              <w:tc>
                <w:tcPr>
                  <w:tcW w:w="1185"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sz w:val="18"/>
                      <w:szCs w:val="18"/>
                      <w:highlight w:val="none"/>
                      <w:lang w:val="en-US" w:eastAsia="zh-CN"/>
                    </w:rPr>
                  </w:pPr>
                  <w:r>
                    <w:rPr>
                      <w:rFonts w:hint="default" w:ascii="Times New Roman" w:hAnsi="Times New Roman" w:cs="Times New Roman"/>
                      <w:snapToGrid w:val="0"/>
                      <w:color w:val="auto"/>
                      <w:sz w:val="18"/>
                      <w:szCs w:val="18"/>
                      <w:highlight w:val="none"/>
                      <w:lang w:val="en-US" w:eastAsia="zh-CN"/>
                    </w:rPr>
                    <w:t>/</w:t>
                  </w:r>
                </w:p>
              </w:tc>
              <w:tc>
                <w:tcPr>
                  <w:tcW w:w="971" w:type="pct"/>
                  <w:vMerge w:val="continue"/>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sz w:val="18"/>
                      <w:szCs w:val="18"/>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restar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固废</w:t>
                  </w:r>
                </w:p>
              </w:tc>
              <w:tc>
                <w:tcPr>
                  <w:tcW w:w="124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原辅材料使用后</w:t>
                  </w:r>
                </w:p>
              </w:tc>
              <w:tc>
                <w:tcPr>
                  <w:tcW w:w="121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废包装材料</w:t>
                  </w:r>
                </w:p>
              </w:tc>
              <w:tc>
                <w:tcPr>
                  <w:tcW w:w="2156" w:type="pct"/>
                  <w:gridSpan w:val="2"/>
                  <w:vMerge w:val="restar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收集暂存后，定期外售废品回收单位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p>
              </w:tc>
              <w:tc>
                <w:tcPr>
                  <w:tcW w:w="124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eastAsia="zh-CN"/>
                    </w:rPr>
                    <w:t>划片切割过程</w:t>
                  </w:r>
                </w:p>
              </w:tc>
              <w:tc>
                <w:tcPr>
                  <w:tcW w:w="121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val="en-US" w:eastAsia="zh-CN" w:bidi="ar-SA"/>
                    </w:rPr>
                  </w:pPr>
                  <w:r>
                    <w:rPr>
                      <w:rFonts w:hint="default" w:ascii="Times New Roman" w:hAnsi="Times New Roman" w:cs="Times New Roman"/>
                      <w:snapToGrid w:val="0"/>
                      <w:color w:val="auto"/>
                      <w:kern w:val="0"/>
                      <w:sz w:val="18"/>
                      <w:szCs w:val="18"/>
                      <w:highlight w:val="none"/>
                      <w:lang w:eastAsia="zh-CN"/>
                    </w:rPr>
                    <w:t>废边料</w:t>
                  </w:r>
                </w:p>
              </w:tc>
              <w:tc>
                <w:tcPr>
                  <w:tcW w:w="2156" w:type="pct"/>
                  <w:gridSpan w:val="2"/>
                  <w:vMerge w:val="continue"/>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snapToGrid w:val="0"/>
                      <w:color w:val="auto"/>
                      <w:kern w:val="0"/>
                      <w:sz w:val="18"/>
                      <w:szCs w:val="18"/>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p>
              </w:tc>
              <w:tc>
                <w:tcPr>
                  <w:tcW w:w="124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eastAsia="zh-CN"/>
                    </w:rPr>
                    <w:t>无尘布擦拭</w:t>
                  </w:r>
                </w:p>
              </w:tc>
              <w:tc>
                <w:tcPr>
                  <w:tcW w:w="121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废无尘布</w:t>
                  </w:r>
                </w:p>
              </w:tc>
              <w:tc>
                <w:tcPr>
                  <w:tcW w:w="2156" w:type="pct"/>
                  <w:gridSpan w:val="2"/>
                  <w:vMerge w:val="restar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垃圾收集箱收集后，定期交由环卫部门清运处理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p>
              </w:tc>
              <w:tc>
                <w:tcPr>
                  <w:tcW w:w="124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各沉淀池清理过程</w:t>
                  </w:r>
                </w:p>
              </w:tc>
              <w:tc>
                <w:tcPr>
                  <w:tcW w:w="121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沉渣</w:t>
                  </w:r>
                </w:p>
              </w:tc>
              <w:tc>
                <w:tcPr>
                  <w:tcW w:w="2156" w:type="pct"/>
                  <w:gridSpan w:val="2"/>
                  <w:vMerge w:val="continue"/>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rPr>
                  </w:pPr>
                </w:p>
              </w:tc>
              <w:tc>
                <w:tcPr>
                  <w:tcW w:w="124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员工日常办公生活</w:t>
                  </w:r>
                </w:p>
              </w:tc>
              <w:tc>
                <w:tcPr>
                  <w:tcW w:w="1217"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生活垃圾</w:t>
                  </w:r>
                </w:p>
              </w:tc>
              <w:tc>
                <w:tcPr>
                  <w:tcW w:w="2156" w:type="pct"/>
                  <w:gridSpan w:val="2"/>
                  <w:vMerge w:val="continue"/>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噪声</w:t>
                  </w:r>
                </w:p>
              </w:tc>
              <w:tc>
                <w:tcPr>
                  <w:tcW w:w="1247"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机械设备</w:t>
                  </w:r>
                </w:p>
              </w:tc>
              <w:tc>
                <w:tcPr>
                  <w:tcW w:w="1217"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机械噪声</w:t>
                  </w:r>
                </w:p>
              </w:tc>
              <w:tc>
                <w:tcPr>
                  <w:tcW w:w="2156" w:type="pct"/>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rPr>
                  </w:pPr>
                  <w:r>
                    <w:rPr>
                      <w:rFonts w:hint="default" w:ascii="Times New Roman" w:hAnsi="Times New Roman" w:cs="Times New Roman"/>
                      <w:snapToGrid w:val="0"/>
                      <w:color w:val="auto"/>
                      <w:kern w:val="0"/>
                      <w:sz w:val="18"/>
                      <w:szCs w:val="18"/>
                      <w:highlight w:val="none"/>
                      <w:lang w:eastAsia="zh-CN"/>
                    </w:rPr>
                    <w:t>室内布置，减振、消声及厂距衰减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8" w:type="pct"/>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p>
              </w:tc>
              <w:tc>
                <w:tcPr>
                  <w:tcW w:w="1247"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空压机</w:t>
                  </w:r>
                </w:p>
              </w:tc>
              <w:tc>
                <w:tcPr>
                  <w:tcW w:w="1217"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zh-CN" w:eastAsia="en-US"/>
                    </w:rPr>
                  </w:pPr>
                  <w:r>
                    <w:rPr>
                      <w:rFonts w:hint="default" w:ascii="Times New Roman" w:hAnsi="Times New Roman" w:cs="Times New Roman"/>
                      <w:color w:val="auto"/>
                      <w:kern w:val="0"/>
                      <w:sz w:val="18"/>
                      <w:szCs w:val="18"/>
                      <w:highlight w:val="none"/>
                      <w:lang w:val="zh-CN" w:eastAsia="en-US"/>
                    </w:rPr>
                    <w:t>空气动力噪声</w:t>
                  </w:r>
                </w:p>
              </w:tc>
              <w:tc>
                <w:tcPr>
                  <w:tcW w:w="2156" w:type="pct"/>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cs="Times New Roman"/>
                      <w:snapToGrid w:val="0"/>
                      <w:color w:val="auto"/>
                      <w:kern w:val="0"/>
                      <w:sz w:val="18"/>
                      <w:szCs w:val="18"/>
                      <w:highlight w:val="none"/>
                      <w:lang w:eastAsia="zh-CN"/>
                    </w:rPr>
                  </w:pPr>
                  <w:r>
                    <w:rPr>
                      <w:rFonts w:hint="default" w:ascii="Times New Roman" w:hAnsi="Times New Roman" w:cs="Times New Roman"/>
                      <w:snapToGrid w:val="0"/>
                      <w:color w:val="auto"/>
                      <w:kern w:val="0"/>
                      <w:sz w:val="18"/>
                      <w:szCs w:val="18"/>
                      <w:highlight w:val="none"/>
                      <w:lang w:eastAsia="zh-CN"/>
                    </w:rPr>
                    <w:t>室内布置，安装隔声罩</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eastAsia="宋体" w:cs="Times New Roman"/>
                <w:b/>
                <w:bCs/>
                <w:color w:val="auto"/>
                <w:kern w:val="0"/>
                <w:szCs w:val="21"/>
                <w:highlight w:val="none"/>
                <w:lang w:eastAsia="zh-CN"/>
              </w:rPr>
            </w:pPr>
            <w:r>
              <w:rPr>
                <w:rFonts w:hint="default" w:ascii="Times New Roman" w:hAnsi="Times New Roman" w:cs="Times New Roman"/>
                <w:b/>
                <w:bCs/>
                <w:color w:val="auto"/>
                <w:kern w:val="0"/>
                <w:szCs w:val="21"/>
                <w:highlight w:val="none"/>
                <w:lang w:val="en-US" w:eastAsia="zh-CN"/>
              </w:rPr>
              <w:t>9、</w:t>
            </w:r>
            <w:r>
              <w:rPr>
                <w:rFonts w:hint="default" w:ascii="Times New Roman" w:hAnsi="Times New Roman" w:cs="Times New Roman"/>
                <w:b/>
                <w:bCs/>
                <w:color w:val="auto"/>
                <w:kern w:val="0"/>
                <w:szCs w:val="21"/>
                <w:highlight w:val="none"/>
              </w:rPr>
              <w:t>现有</w:t>
            </w:r>
            <w:r>
              <w:rPr>
                <w:rFonts w:hint="default" w:ascii="Times New Roman" w:hAnsi="Times New Roman" w:cs="Times New Roman"/>
                <w:b/>
                <w:bCs/>
                <w:color w:val="auto"/>
                <w:kern w:val="0"/>
                <w:szCs w:val="21"/>
                <w:highlight w:val="none"/>
                <w:lang w:eastAsia="zh-CN"/>
              </w:rPr>
              <w:t>工程</w:t>
            </w:r>
            <w:r>
              <w:rPr>
                <w:rFonts w:hint="default" w:ascii="Times New Roman" w:hAnsi="Times New Roman" w:cs="Times New Roman"/>
                <w:b/>
                <w:bCs/>
                <w:color w:val="auto"/>
                <w:kern w:val="0"/>
                <w:szCs w:val="21"/>
                <w:highlight w:val="none"/>
              </w:rPr>
              <w:t>污染源达标分析</w:t>
            </w:r>
            <w:r>
              <w:rPr>
                <w:rFonts w:hint="default" w:ascii="Times New Roman" w:hAnsi="Times New Roman" w:cs="Times New Roman"/>
                <w:b/>
                <w:bCs/>
                <w:color w:val="auto"/>
                <w:kern w:val="0"/>
                <w:szCs w:val="21"/>
                <w:highlight w:val="none"/>
                <w:lang w:eastAsia="zh-CN"/>
              </w:rPr>
              <w:t>及实际排放情况</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lang w:eastAsia="zh-CN"/>
              </w:rPr>
              <w:t>经查阅《</w:t>
            </w:r>
            <w:r>
              <w:rPr>
                <w:rFonts w:hint="default" w:ascii="Times New Roman" w:hAnsi="Times New Roman" w:cs="Times New Roman"/>
                <w:bCs/>
                <w:color w:val="auto"/>
                <w:kern w:val="0"/>
                <w:sz w:val="21"/>
                <w:szCs w:val="21"/>
                <w:highlight w:val="none"/>
                <w:lang w:eastAsia="zh-CN"/>
              </w:rPr>
              <w:t>新乡市百合光电有限公司年加工真空镀膜光学零件</w:t>
            </w:r>
            <w:r>
              <w:rPr>
                <w:rFonts w:hint="default" w:ascii="Times New Roman" w:hAnsi="Times New Roman" w:cs="Times New Roman"/>
                <w:bCs/>
                <w:color w:val="auto"/>
                <w:kern w:val="0"/>
                <w:sz w:val="21"/>
                <w:szCs w:val="21"/>
                <w:highlight w:val="none"/>
                <w:lang w:val="en-US" w:eastAsia="zh-CN"/>
              </w:rPr>
              <w:t>40万片项目</w:t>
            </w:r>
            <w:r>
              <w:rPr>
                <w:rFonts w:hint="default" w:ascii="Times New Roman" w:hAnsi="Times New Roman" w:cs="Times New Roman"/>
                <w:bCs/>
                <w:color w:val="auto"/>
                <w:kern w:val="0"/>
                <w:szCs w:val="21"/>
                <w:highlight w:val="none"/>
                <w:lang w:val="en-US" w:eastAsia="zh-CN"/>
              </w:rPr>
              <w:t>竣工验收监测报告表</w:t>
            </w:r>
            <w:r>
              <w:rPr>
                <w:rFonts w:hint="default" w:ascii="Times New Roman" w:hAnsi="Times New Roman" w:cs="Times New Roman"/>
                <w:bCs/>
                <w:color w:val="auto"/>
                <w:kern w:val="0"/>
                <w:szCs w:val="21"/>
                <w:highlight w:val="none"/>
                <w:lang w:eastAsia="zh-CN"/>
              </w:rPr>
              <w:t>》，由于现有工程建成验收时间较早（验收时间为</w:t>
            </w:r>
            <w:r>
              <w:rPr>
                <w:rFonts w:hint="default" w:ascii="Times New Roman" w:hAnsi="Times New Roman" w:cs="Times New Roman"/>
                <w:bCs/>
                <w:color w:val="auto"/>
                <w:kern w:val="0"/>
                <w:szCs w:val="21"/>
                <w:highlight w:val="none"/>
                <w:lang w:val="en-US" w:eastAsia="zh-CN"/>
              </w:rPr>
              <w:t>2007年10月</w:t>
            </w:r>
            <w:r>
              <w:rPr>
                <w:rFonts w:hint="default" w:ascii="Times New Roman" w:hAnsi="Times New Roman" w:cs="Times New Roman"/>
                <w:bCs/>
                <w:color w:val="auto"/>
                <w:kern w:val="0"/>
                <w:szCs w:val="21"/>
                <w:highlight w:val="none"/>
                <w:lang w:eastAsia="zh-CN"/>
              </w:rPr>
              <w:t>），验收期间对现有工程部分产污环节未提出相应环保措施进行治理，已无法满足当前环保要求，因此本次评价对于现有工程未进行识别的污染工序均进行重新核算，具体内容如下</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14"/>
              </w:numPr>
              <w:kinsoku/>
              <w:wordWrap/>
              <w:overflowPunct/>
              <w:topLinePunct w:val="0"/>
              <w:autoSpaceDE w:val="0"/>
              <w:autoSpaceDN w:val="0"/>
              <w:bidi w:val="0"/>
              <w:adjustRightInd/>
              <w:snapToGrid/>
              <w:spacing w:line="360" w:lineRule="auto"/>
              <w:ind w:left="0" w:leftChars="0" w:firstLine="422" w:firstLineChars="200"/>
              <w:jc w:val="left"/>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 w:val="21"/>
                <w:szCs w:val="21"/>
                <w:highlight w:val="none"/>
                <w:lang w:eastAsia="zh-CN"/>
              </w:rPr>
              <w:t>废水</w:t>
            </w:r>
          </w:p>
          <w:p>
            <w:pPr>
              <w:pStyle w:val="21"/>
              <w:keepNext w:val="0"/>
              <w:keepLines w:val="0"/>
              <w:pageBreakBefore w:val="0"/>
              <w:widowControl w:val="0"/>
              <w:kinsoku/>
              <w:wordWrap/>
              <w:overflowPunct/>
              <w:topLinePunct w:val="0"/>
              <w:bidi w:val="0"/>
              <w:adjustRightInd/>
              <w:snapToGrid/>
              <w:spacing w:after="0" w:line="360" w:lineRule="auto"/>
              <w:ind w:left="0" w:leftChars="0" w:firstLine="420" w:firstLineChars="200"/>
              <w:textAlignment w:val="auto"/>
              <w:rPr>
                <w:rFonts w:hint="default"/>
                <w:color w:val="auto"/>
                <w:highlight w:val="none"/>
                <w:lang w:val="en-US" w:eastAsia="zh-CN"/>
              </w:rPr>
            </w:pPr>
            <w:r>
              <w:rPr>
                <w:rFonts w:hint="eastAsia" w:cs="Times New Roman"/>
                <w:color w:val="auto"/>
                <w:sz w:val="21"/>
                <w:szCs w:val="21"/>
                <w:highlight w:val="none"/>
                <w:lang w:val="en-US" w:eastAsia="zh-CN"/>
              </w:rPr>
              <w:t>经查阅</w:t>
            </w:r>
            <w:r>
              <w:rPr>
                <w:rFonts w:hint="default" w:ascii="Times New Roman" w:hAnsi="Times New Roman" w:eastAsia="宋体" w:cs="Times New Roman"/>
                <w:b w:val="0"/>
                <w:bCs/>
                <w:color w:val="auto"/>
                <w:kern w:val="0"/>
                <w:sz w:val="21"/>
                <w:szCs w:val="21"/>
                <w:highlight w:val="none"/>
                <w:lang w:val="en-US" w:eastAsia="zh-CN" w:bidi="ar-SA"/>
              </w:rPr>
              <w:t>《新乡市百合光电有限公司年加工真空镀膜光学零件40万片项目环境影响评价报告表》、《新乡市百合光电有限公司年加工真空镀膜光学零件40万片项目竣工验收监测报告表》</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现有工程外排废水主要为生活污水和生产废水（包括磨边冲洗废水、镀膜前冲洗废水、镀膜后超声波清洗废水和纯水制备浓水），</w:t>
            </w:r>
            <w:r>
              <w:rPr>
                <w:rFonts w:hint="eastAsia" w:cs="Times New Roman"/>
                <w:color w:val="auto"/>
                <w:sz w:val="21"/>
                <w:szCs w:val="21"/>
                <w:highlight w:val="none"/>
                <w:lang w:val="en-US" w:eastAsia="zh-CN"/>
              </w:rPr>
              <w:t>由于现有工程环评办理期间区域内污水管网尚未建设，因此废水均经处理后用于厂区绿化。根据调查，目前项目所在区域内污水管网及配套污水厂均已建成，根据企业现有工程排污登记内容，现有工程废水经通过区域污水管网排入新乡县综合污水处理厂进一步处理。根据</w:t>
            </w:r>
            <w:r>
              <w:rPr>
                <w:rFonts w:hint="default" w:ascii="Times New Roman" w:hAnsi="Times New Roman" w:cs="Times New Roman"/>
                <w:color w:val="auto"/>
                <w:sz w:val="21"/>
                <w:szCs w:val="21"/>
                <w:highlight w:val="none"/>
                <w:lang w:val="en-US" w:eastAsia="zh-CN"/>
              </w:rPr>
              <w:t>企业委托河南鼎晟监测技术有限公司于2022年3月17日至3月18日对项目厂区总排口废水进行了实测。具体监测结果统计如下：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现有工程总排口废水监测结果统计表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951"/>
              <w:gridCol w:w="1550"/>
              <w:gridCol w:w="1550"/>
              <w:gridCol w:w="15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采样点位</w:t>
                  </w:r>
                </w:p>
              </w:tc>
              <w:tc>
                <w:tcPr>
                  <w:tcW w:w="12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采样时间</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污染因子</w:t>
                  </w:r>
                </w:p>
              </w:tc>
              <w:tc>
                <w:tcPr>
                  <w:tcW w:w="202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排放浓度（mg/L）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厂区</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总排口</w:t>
                  </w:r>
                </w:p>
              </w:tc>
              <w:tc>
                <w:tcPr>
                  <w:tcW w:w="127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2022.03.17~2022.03.18</w:t>
                  </w:r>
                </w:p>
              </w:tc>
              <w:tc>
                <w:tcPr>
                  <w:tcW w:w="10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pH</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lang w:eastAsia="zh-CN"/>
                    </w:rPr>
                    <w:t>监测范围</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7~7.3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lang w:eastAsia="zh-CN"/>
                    </w:rPr>
                    <w:t>监测均值</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7.15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COD</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lang w:eastAsia="zh-CN"/>
                    </w:rPr>
                    <w:t>监测范围</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185~199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lang w:eastAsia="zh-CN"/>
                    </w:rPr>
                    <w:t>监测均值</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190.625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BOD</w:t>
                  </w:r>
                  <w:r>
                    <w:rPr>
                      <w:rFonts w:hint="default" w:ascii="Times New Roman" w:hAnsi="Times New Roman" w:cs="Times New Roman"/>
                      <w:color w:val="auto"/>
                      <w:sz w:val="18"/>
                      <w:szCs w:val="18"/>
                      <w:highlight w:val="none"/>
                      <w:vertAlign w:val="subscript"/>
                      <w:lang w:val="en-US" w:eastAsia="zh-CN"/>
                    </w:rPr>
                    <w:t>5</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lang w:eastAsia="zh-CN"/>
                    </w:rPr>
                    <w:t>监测范围</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47.5~48.9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lang w:eastAsia="zh-CN"/>
                    </w:rPr>
                    <w:t>监测均值</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48.075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NH</w:t>
                  </w:r>
                  <w:r>
                    <w:rPr>
                      <w:rFonts w:hint="default" w:ascii="Times New Roman" w:hAnsi="Times New Roman" w:cs="Times New Roman"/>
                      <w:color w:val="auto"/>
                      <w:sz w:val="18"/>
                      <w:szCs w:val="18"/>
                      <w:highlight w:val="none"/>
                      <w:vertAlign w:val="subscript"/>
                      <w:lang w:val="en-US" w:eastAsia="zh-CN"/>
                    </w:rPr>
                    <w:t>3</w:t>
                  </w:r>
                  <w:r>
                    <w:rPr>
                      <w:rFonts w:hint="default" w:ascii="Times New Roman" w:hAnsi="Times New Roman" w:cs="Times New Roman"/>
                      <w:color w:val="auto"/>
                      <w:sz w:val="18"/>
                      <w:szCs w:val="18"/>
                      <w:highlight w:val="none"/>
                      <w:vertAlign w:val="baseline"/>
                      <w:lang w:val="en-US" w:eastAsia="zh-CN"/>
                    </w:rPr>
                    <w:t>-N</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lang w:eastAsia="zh-CN"/>
                    </w:rPr>
                    <w:t>监测范围</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18.6~20.6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lang w:eastAsia="zh-CN"/>
                    </w:rPr>
                    <w:t>监测均值</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SS</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lang w:eastAsia="zh-CN"/>
                    </w:rPr>
                    <w:t>监测范围</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135~155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lang w:eastAsia="zh-CN"/>
                    </w:rPr>
                    <w:t>监测均值</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TP</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lang w:eastAsia="zh-CN"/>
                    </w:rPr>
                    <w:t>监测范围</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0.1~0.14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lang w:eastAsia="zh-CN"/>
                    </w:rPr>
                    <w:t>监测均值</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0.125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LAS</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lang w:eastAsia="zh-CN"/>
                    </w:rPr>
                    <w:t>监测范围</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0.07~0.01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lang w:eastAsia="zh-CN"/>
                    </w:rPr>
                    <w:t>监测均值</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0.0875</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lang w:val="en-US" w:eastAsia="zh-CN"/>
              </w:rPr>
              <w:t>由上表可知，现有工程总排口废水能够满足新乡县综合污水处理厂收水标准（COD400mg/L、BOD</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lang w:val="en-US" w:eastAsia="zh-CN"/>
              </w:rPr>
              <w:t>100mg/L、SS180mg/L、NH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-N59mg/L、TP4mg/L）以及《污水综合排放标准》（GB8978-1996）表4三级标准要求（COD500mg/L、BOD</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lang w:val="en-US" w:eastAsia="zh-CN"/>
              </w:rPr>
              <w:t>300mg/L、SS200mg/L、LAS20mg/L）。新乡县综合污水处理厂处理后出水</w:t>
            </w:r>
            <w:r>
              <w:rPr>
                <w:rFonts w:hint="default" w:ascii="Times New Roman" w:hAnsi="Times New Roman" w:cs="Times New Roman"/>
                <w:color w:val="auto"/>
                <w:highlight w:val="none"/>
              </w:rPr>
              <w:t>排入东孟姜女河，最终汇入卫河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出水水质达到</w:t>
            </w:r>
            <w:r>
              <w:rPr>
                <w:rFonts w:hint="default" w:ascii="Times New Roman" w:hAnsi="Times New Roman" w:cs="Times New Roman"/>
                <w:color w:val="auto"/>
                <w:szCs w:val="21"/>
                <w:highlight w:val="none"/>
              </w:rPr>
              <w:t>《地表水环境质量标准》（GB3838-2002）</w:t>
            </w: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4 \* ROMAN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V</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类标准，即</w:t>
            </w:r>
            <w:r>
              <w:rPr>
                <w:rFonts w:hint="default" w:ascii="Times New Roman" w:hAnsi="Times New Roman" w:cs="Times New Roman"/>
                <w:color w:val="auto"/>
                <w:highlight w:val="none"/>
              </w:rPr>
              <w:t>COD 40mg/L、</w:t>
            </w:r>
            <w:r>
              <w:rPr>
                <w:rFonts w:hint="default" w:ascii="Times New Roman" w:hAnsi="Times New Roman" w:cs="Times New Roman"/>
                <w:color w:val="auto"/>
                <w:highlight w:val="none"/>
                <w:lang w:val="en-US" w:eastAsia="zh-CN"/>
              </w:rPr>
              <w:t>BOD</w:t>
            </w:r>
            <w:r>
              <w:rPr>
                <w:rFonts w:hint="default" w:ascii="Times New Roman" w:hAnsi="Times New Roman" w:cs="Times New Roman"/>
                <w:color w:val="auto"/>
                <w:highlight w:val="none"/>
                <w:vertAlign w:val="subscript"/>
                <w:lang w:val="en-US" w:eastAsia="zh-CN"/>
              </w:rPr>
              <w:t>5</w:t>
            </w:r>
            <w:r>
              <w:rPr>
                <w:rFonts w:hint="default" w:ascii="Times New Roman" w:hAnsi="Times New Roman" w:cs="Times New Roman"/>
                <w:color w:val="auto"/>
                <w:highlight w:val="none"/>
                <w:lang w:val="en-US" w:eastAsia="zh-CN"/>
              </w:rPr>
              <w:t>10mg/L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SS 10mg/L、NH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 2mg/L、TP 0.4mg/L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LAS0.3</w:t>
            </w:r>
            <w:r>
              <w:rPr>
                <w:rFonts w:hint="default" w:ascii="Times New Roman" w:hAnsi="Times New Roman" w:cs="Times New Roman"/>
                <w:color w:val="auto"/>
                <w:highlight w:val="none"/>
              </w:rPr>
              <w:t>mg/L。</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color w:val="auto"/>
                <w:lang w:val="en-US" w:eastAsia="zh-CN"/>
              </w:rPr>
            </w:pPr>
            <w:r>
              <w:rPr>
                <w:rFonts w:hint="default" w:ascii="Times New Roman" w:hAnsi="Times New Roman" w:cs="Times New Roman"/>
                <w:color w:val="auto"/>
                <w:sz w:val="21"/>
                <w:szCs w:val="21"/>
                <w:highlight w:val="none"/>
                <w:lang w:val="en-US" w:eastAsia="zh-CN"/>
              </w:rPr>
              <w:t>由于现有工程外排废水为间歇排放，且排放期间流量不稳定，因此仅对厂区总排口废水水质进行测量，根据现有工程水平衡估算，现有工程外排废水量约为11.0853m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/d（3159.3105m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/a），经计算现有工程废水排放情况汇总如下：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废水排放量汇总表</w:t>
            </w:r>
          </w:p>
          <w:tbl>
            <w:tblPr>
              <w:tblStyle w:val="2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44"/>
              <w:gridCol w:w="2544"/>
              <w:gridCol w:w="25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污染源</w:t>
                  </w:r>
                </w:p>
              </w:tc>
              <w:tc>
                <w:tcPr>
                  <w:tcW w:w="2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接管网考核量</w:t>
                  </w:r>
                </w:p>
              </w:tc>
              <w:tc>
                <w:tcPr>
                  <w:tcW w:w="25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污水处理厂处理后排放量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废水量（m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vertAlign w:val="baseline"/>
                      <w:lang w:val="en-US" w:eastAsia="zh-CN"/>
                    </w:rPr>
                    <w:t>/a）</w:t>
                  </w:r>
                </w:p>
              </w:tc>
              <w:tc>
                <w:tcPr>
                  <w:tcW w:w="2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3159.3105</w:t>
                  </w:r>
                </w:p>
              </w:tc>
              <w:tc>
                <w:tcPr>
                  <w:tcW w:w="25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3159.3105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vertAlign w:val="baseline"/>
                      <w:lang w:val="en-US" w:eastAsia="zh-CN"/>
                    </w:rPr>
                    <w:t>COD（t/a）</w:t>
                  </w:r>
                </w:p>
              </w:tc>
              <w:tc>
                <w:tcPr>
                  <w:tcW w:w="254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0.6022</w:t>
                  </w:r>
                </w:p>
              </w:tc>
              <w:tc>
                <w:tcPr>
                  <w:tcW w:w="25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0.1264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vertAlign w:val="baseline"/>
                      <w:lang w:val="en-US" w:eastAsia="zh-CN"/>
                    </w:rPr>
                    <w:t>BOD</w:t>
                  </w:r>
                  <w:r>
                    <w:rPr>
                      <w:rFonts w:hint="default" w:ascii="Times New Roman" w:hAnsi="Times New Roman" w:cs="Times New Roman"/>
                      <w:color w:val="auto"/>
                      <w:sz w:val="18"/>
                      <w:szCs w:val="18"/>
                      <w:highlight w:val="none"/>
                      <w:vertAlign w:val="subscript"/>
                      <w:lang w:val="en-US" w:eastAsia="zh-CN"/>
                    </w:rPr>
                    <w:t>5</w:t>
                  </w:r>
                  <w:r>
                    <w:rPr>
                      <w:rFonts w:hint="default" w:ascii="Times New Roman" w:hAnsi="Times New Roman" w:cs="Times New Roman"/>
                      <w:color w:val="auto"/>
                      <w:sz w:val="18"/>
                      <w:szCs w:val="18"/>
                      <w:highlight w:val="none"/>
                      <w:vertAlign w:val="baseline"/>
                      <w:lang w:val="en-US" w:eastAsia="zh-CN"/>
                    </w:rPr>
                    <w:t>（t/a）</w:t>
                  </w:r>
                </w:p>
              </w:tc>
              <w:tc>
                <w:tcPr>
                  <w:tcW w:w="254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0.1519</w:t>
                  </w:r>
                </w:p>
              </w:tc>
              <w:tc>
                <w:tcPr>
                  <w:tcW w:w="25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0.0316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vertAlign w:val="baseline"/>
                      <w:lang w:val="en-US" w:eastAsia="zh-CN"/>
                    </w:rPr>
                    <w:t>SS（t/a）</w:t>
                  </w:r>
                </w:p>
              </w:tc>
              <w:tc>
                <w:tcPr>
                  <w:tcW w:w="254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0.4676</w:t>
                  </w:r>
                </w:p>
              </w:tc>
              <w:tc>
                <w:tcPr>
                  <w:tcW w:w="25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0.0316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vertAlign w:val="baseline"/>
                      <w:lang w:val="en-US" w:eastAsia="zh-CN"/>
                    </w:rPr>
                    <w:t>NH</w:t>
                  </w:r>
                  <w:r>
                    <w:rPr>
                      <w:rFonts w:hint="default" w:ascii="Times New Roman" w:hAnsi="Times New Roman" w:cs="Times New Roman"/>
                      <w:color w:val="auto"/>
                      <w:sz w:val="18"/>
                      <w:szCs w:val="18"/>
                      <w:highlight w:val="none"/>
                      <w:vertAlign w:val="subscript"/>
                      <w:lang w:val="en-US" w:eastAsia="zh-CN"/>
                    </w:rPr>
                    <w:t>3</w:t>
                  </w:r>
                  <w:r>
                    <w:rPr>
                      <w:rFonts w:hint="default" w:ascii="Times New Roman" w:hAnsi="Times New Roman" w:cs="Times New Roman"/>
                      <w:color w:val="auto"/>
                      <w:sz w:val="18"/>
                      <w:szCs w:val="18"/>
                      <w:highlight w:val="none"/>
                      <w:vertAlign w:val="baseline"/>
                      <w:lang w:val="en-US" w:eastAsia="zh-CN"/>
                    </w:rPr>
                    <w:t>-N（t/a）</w:t>
                  </w:r>
                </w:p>
              </w:tc>
              <w:tc>
                <w:tcPr>
                  <w:tcW w:w="2544"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0.0613</w:t>
                  </w:r>
                </w:p>
              </w:tc>
              <w:tc>
                <w:tcPr>
                  <w:tcW w:w="2546"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0.0063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vertAlign w:val="baseline"/>
                      <w:lang w:val="en-US" w:eastAsia="zh-CN"/>
                    </w:rPr>
                    <w:t>TP（t/a）</w:t>
                  </w:r>
                </w:p>
              </w:tc>
              <w:tc>
                <w:tcPr>
                  <w:tcW w:w="2544"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0.0004</w:t>
                  </w:r>
                </w:p>
              </w:tc>
              <w:tc>
                <w:tcPr>
                  <w:tcW w:w="2546"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0.0013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cs="Times New Roman"/>
                      <w:color w:val="auto"/>
                      <w:sz w:val="18"/>
                      <w:szCs w:val="18"/>
                      <w:highlight w:val="none"/>
                      <w:vertAlign w:val="baseline"/>
                      <w:lang w:val="en-US" w:eastAsia="zh-CN"/>
                    </w:rPr>
                    <w:t>LAS（t/a）</w:t>
                  </w:r>
                </w:p>
              </w:tc>
              <w:tc>
                <w:tcPr>
                  <w:tcW w:w="2544"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0.0003</w:t>
                  </w:r>
                </w:p>
              </w:tc>
              <w:tc>
                <w:tcPr>
                  <w:tcW w:w="2546"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0.0009 </w:t>
                  </w:r>
                </w:p>
              </w:tc>
            </w:tr>
          </w:tbl>
          <w:p>
            <w:pPr>
              <w:pStyle w:val="21"/>
              <w:keepNext w:val="0"/>
              <w:keepLines w:val="0"/>
              <w:pageBreakBefore w:val="0"/>
              <w:widowControl w:val="0"/>
              <w:numPr>
                <w:ilvl w:val="0"/>
                <w:numId w:val="14"/>
              </w:numPr>
              <w:kinsoku/>
              <w:wordWrap/>
              <w:overflowPunct/>
              <w:topLinePunct w:val="0"/>
              <w:bidi w:val="0"/>
              <w:adjustRightInd/>
              <w:snapToGrid/>
              <w:spacing w:after="0" w:line="360" w:lineRule="auto"/>
              <w:ind w:left="0" w:leftChars="0" w:firstLine="422" w:firstLineChars="200"/>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噪声</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lang w:val="en-US" w:eastAsia="zh-CN"/>
              </w:rPr>
              <w:t>企业委托河南鼎晟监测技术有限公司于2022年3月17日至3月18日对项目厂界噪声及周围敏感点噪声进行了实测</w:t>
            </w:r>
            <w:r>
              <w:rPr>
                <w:rFonts w:hint="default" w:ascii="Times New Roman" w:hAnsi="Times New Roman" w:cs="Times New Roman"/>
                <w:bCs/>
                <w:color w:val="auto"/>
                <w:szCs w:val="21"/>
                <w:highlight w:val="none"/>
              </w:rPr>
              <w:t>，监测结果见</w:t>
            </w:r>
            <w:r>
              <w:rPr>
                <w:rFonts w:hint="default" w:ascii="Times New Roman" w:hAnsi="Times New Roman" w:cs="Times New Roman"/>
                <w:bCs/>
                <w:color w:val="auto"/>
                <w:szCs w:val="21"/>
                <w:highlight w:val="none"/>
                <w:lang w:eastAsia="zh-CN"/>
              </w:rPr>
              <w:t>下表</w:t>
            </w:r>
            <w:r>
              <w:rPr>
                <w:rFonts w:hint="default" w:ascii="Times New Roman" w:hAnsi="Times New Roman" w:cs="Times New Roman"/>
                <w:bCs/>
                <w:color w:val="auto"/>
                <w:szCs w:val="21"/>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现有工程噪声检测结果表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80"/>
              <w:gridCol w:w="2013"/>
              <w:gridCol w:w="2071"/>
              <w:gridCol w:w="20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969" w:type="pct"/>
                  <w:vMerge w:val="restart"/>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监测时间</w:t>
                  </w:r>
                </w:p>
              </w:tc>
              <w:tc>
                <w:tcPr>
                  <w:tcW w:w="131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监测点位</w:t>
                  </w:r>
                </w:p>
              </w:tc>
              <w:tc>
                <w:tcPr>
                  <w:tcW w:w="2713"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969" w:type="pct"/>
                  <w:vMerge w:val="continue"/>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31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p>
              </w:tc>
              <w:tc>
                <w:tcPr>
                  <w:tcW w:w="1355"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昼间（dB（A））</w:t>
                  </w:r>
                </w:p>
              </w:tc>
              <w:tc>
                <w:tcPr>
                  <w:tcW w:w="1357"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夜间</w:t>
                  </w:r>
                  <w:r>
                    <w:rPr>
                      <w:rFonts w:hint="default" w:ascii="Times New Roman" w:hAnsi="Times New Roman" w:cs="Times New Roman"/>
                      <w:color w:val="auto"/>
                      <w:sz w:val="18"/>
                      <w:szCs w:val="18"/>
                      <w:highlight w:val="none"/>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69" w:type="pct"/>
                  <w:vMerge w:val="restart"/>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2022.03.17</w:t>
                  </w:r>
                </w:p>
              </w:tc>
              <w:tc>
                <w:tcPr>
                  <w:tcW w:w="131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eastAsia="zh-CN"/>
                    </w:rPr>
                    <w:t>南厂界</w:t>
                  </w:r>
                </w:p>
              </w:tc>
              <w:tc>
                <w:tcPr>
                  <w:tcW w:w="1355"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54</w:t>
                  </w:r>
                </w:p>
              </w:tc>
              <w:tc>
                <w:tcPr>
                  <w:tcW w:w="135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69" w:type="pct"/>
                  <w:vMerge w:val="continue"/>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p>
              </w:tc>
              <w:tc>
                <w:tcPr>
                  <w:tcW w:w="131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隆府花园小区</w:t>
                  </w:r>
                </w:p>
              </w:tc>
              <w:tc>
                <w:tcPr>
                  <w:tcW w:w="1355"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52</w:t>
                  </w:r>
                </w:p>
              </w:tc>
              <w:tc>
                <w:tcPr>
                  <w:tcW w:w="135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69" w:type="pct"/>
                  <w:vMerge w:val="restart"/>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2022.03.18</w:t>
                  </w:r>
                </w:p>
              </w:tc>
              <w:tc>
                <w:tcPr>
                  <w:tcW w:w="131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南厂界</w:t>
                  </w:r>
                </w:p>
              </w:tc>
              <w:tc>
                <w:tcPr>
                  <w:tcW w:w="1355"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51</w:t>
                  </w:r>
                </w:p>
              </w:tc>
              <w:tc>
                <w:tcPr>
                  <w:tcW w:w="135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69" w:type="pct"/>
                  <w:vMerge w:val="continue"/>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p>
              </w:tc>
              <w:tc>
                <w:tcPr>
                  <w:tcW w:w="131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隆府花园小区</w:t>
                  </w:r>
                </w:p>
              </w:tc>
              <w:tc>
                <w:tcPr>
                  <w:tcW w:w="1355"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54</w:t>
                  </w:r>
                </w:p>
              </w:tc>
              <w:tc>
                <w:tcPr>
                  <w:tcW w:w="1357" w:type="pct"/>
                  <w:noWrap w:val="0"/>
                  <w:vAlign w:val="center"/>
                </w:tcPr>
                <w:p>
                  <w:pPr>
                    <w:keepNext w:val="0"/>
                    <w:keepLines w:val="0"/>
                    <w:pageBreakBefore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4"/>
                  <w:noWrap w:val="0"/>
                  <w:tcMar>
                    <w:left w:w="0" w:type="dxa"/>
                    <w:right w:w="0" w:type="dxa"/>
                  </w:tcMar>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bCs w:val="0"/>
                      <w:color w:val="auto"/>
                      <w:sz w:val="18"/>
                      <w:szCs w:val="18"/>
                      <w:highlight w:val="none"/>
                      <w:lang w:eastAsia="zh-CN"/>
                    </w:rPr>
                    <w:t>注：东厂界、北厂界、西厂界为公共墙。</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rPr>
              <w:t>由上表可知，现有工程厂界噪声可以满足《工业企业厂界环境噪声排放标准》（GB12348-2008）2类区标准限值</w:t>
            </w:r>
            <w:r>
              <w:rPr>
                <w:rFonts w:hint="default" w:ascii="Times New Roman" w:hAnsi="Times New Roman" w:cs="Times New Roman"/>
                <w:bCs/>
                <w:color w:val="auto"/>
                <w:szCs w:val="21"/>
                <w:highlight w:val="none"/>
                <w:lang w:eastAsia="zh-CN"/>
              </w:rPr>
              <w:t>（昼间≤</w:t>
            </w:r>
            <w:r>
              <w:rPr>
                <w:rFonts w:hint="default" w:ascii="Times New Roman" w:hAnsi="Times New Roman" w:cs="Times New Roman"/>
                <w:bCs/>
                <w:color w:val="auto"/>
                <w:szCs w:val="21"/>
                <w:highlight w:val="none"/>
                <w:lang w:val="en-US" w:eastAsia="zh-CN"/>
              </w:rPr>
              <w:t>60dB（A），夜间</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lang w:val="en-US" w:eastAsia="zh-CN"/>
              </w:rPr>
              <w:t>50dB（A）</w:t>
            </w:r>
            <w:r>
              <w:rPr>
                <w:rFonts w:hint="default" w:ascii="Times New Roman" w:hAnsi="Times New Roman" w:cs="Times New Roman"/>
                <w:bCs/>
                <w:color w:val="auto"/>
                <w:szCs w:val="21"/>
                <w:highlight w:val="none"/>
                <w:lang w:eastAsia="zh-CN"/>
              </w:rPr>
              <w:t>）；周边敏感点噪声能够满足</w:t>
            </w:r>
            <w:r>
              <w:rPr>
                <w:rFonts w:hint="default" w:ascii="Times New Roman" w:hAnsi="Times New Roman" w:cs="Times New Roman"/>
                <w:color w:val="auto"/>
                <w:sz w:val="21"/>
                <w:szCs w:val="21"/>
                <w:highlight w:val="none"/>
              </w:rPr>
              <w:t>《声环境质量标准》（GB3096-2008）2类标准。</w:t>
            </w:r>
          </w:p>
          <w:p>
            <w:pPr>
              <w:keepNext w:val="0"/>
              <w:keepLines w:val="0"/>
              <w:pageBreakBefore w:val="0"/>
              <w:widowControl w:val="0"/>
              <w:numPr>
                <w:ilvl w:val="0"/>
                <w:numId w:val="14"/>
              </w:numPr>
              <w:kinsoku/>
              <w:wordWrap/>
              <w:overflowPunct/>
              <w:topLinePunct w:val="0"/>
              <w:autoSpaceDE w:val="0"/>
              <w:autoSpaceDN w:val="0"/>
              <w:bidi w:val="0"/>
              <w:adjustRightInd/>
              <w:snapToGrid/>
              <w:spacing w:line="360" w:lineRule="auto"/>
              <w:ind w:left="0" w:leftChars="0" w:firstLine="422" w:firstLineChars="200"/>
              <w:jc w:val="left"/>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固废</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现有工程一般固废主要为原辅材料废包装、划片废边角料、检验不合格品、纯水设备废石英砂、反渗透膜、清洗废无尘布、沉淀池沉渣和员工日常办公生活垃圾，危险固废为机械设备定期更换废润滑油，根据调查目前项目固废产生情况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现有工程固废产生及处置情况一览表</w:t>
            </w:r>
          </w:p>
          <w:tbl>
            <w:tblPr>
              <w:tblStyle w:val="22"/>
              <w:tblW w:w="4996"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29"/>
              <w:gridCol w:w="1952"/>
              <w:gridCol w:w="1095"/>
              <w:gridCol w:w="1393"/>
              <w:gridCol w:w="2566"/>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序号</w:t>
                  </w:r>
                </w:p>
              </w:tc>
              <w:tc>
                <w:tcPr>
                  <w:tcW w:w="127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名称</w:t>
                  </w:r>
                </w:p>
              </w:tc>
              <w:tc>
                <w:tcPr>
                  <w:tcW w:w="717"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属性</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产生量（t/a）</w:t>
                  </w:r>
                </w:p>
              </w:tc>
              <w:tc>
                <w:tcPr>
                  <w:tcW w:w="167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处置措施</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1</w:t>
                  </w:r>
                </w:p>
              </w:tc>
              <w:tc>
                <w:tcPr>
                  <w:tcW w:w="1278" w:type="pct"/>
                  <w:noWrap w:val="0"/>
                  <w:vAlign w:val="center"/>
                </w:tcPr>
                <w:p>
                  <w:pPr>
                    <w:pStyle w:val="36"/>
                    <w:keepNext w:val="0"/>
                    <w:keepLines w:val="0"/>
                    <w:pageBreakBefore w:val="0"/>
                    <w:kinsoku/>
                    <w:wordWrap/>
                    <w:overflowPunct/>
                    <w:topLinePunct w:val="0"/>
                    <w:autoSpaceDE/>
                    <w:autoSpaceDN/>
                    <w:bidi w:val="0"/>
                    <w:adjustRightInd/>
                    <w:snapToGrid/>
                    <w:spacing w:beforeLines="0" w:afterLines="0" w:line="320" w:lineRule="exact"/>
                    <w:textAlignment w:val="auto"/>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snapToGrid w:val="0"/>
                      <w:color w:val="auto"/>
                      <w:kern w:val="21"/>
                      <w:sz w:val="18"/>
                      <w:szCs w:val="18"/>
                      <w:highlight w:val="none"/>
                      <w:lang w:val="en-US" w:eastAsia="zh-CN"/>
                    </w:rPr>
                    <w:t>废包装</w:t>
                  </w:r>
                </w:p>
              </w:tc>
              <w:tc>
                <w:tcPr>
                  <w:tcW w:w="717"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0.277</w:t>
                  </w:r>
                </w:p>
              </w:tc>
              <w:tc>
                <w:tcPr>
                  <w:tcW w:w="1679" w:type="pct"/>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集中收集，分类暂存后，定期外售综合利用</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2</w:t>
                  </w:r>
                </w:p>
              </w:tc>
              <w:tc>
                <w:tcPr>
                  <w:tcW w:w="1278" w:type="pct"/>
                  <w:noWrap w:val="0"/>
                  <w:vAlign w:val="center"/>
                </w:tcPr>
                <w:p>
                  <w:pPr>
                    <w:pStyle w:val="36"/>
                    <w:keepNext w:val="0"/>
                    <w:keepLines w:val="0"/>
                    <w:pageBreakBefore w:val="0"/>
                    <w:kinsoku/>
                    <w:wordWrap/>
                    <w:overflowPunct/>
                    <w:topLinePunct w:val="0"/>
                    <w:autoSpaceDE/>
                    <w:autoSpaceDN/>
                    <w:bidi w:val="0"/>
                    <w:adjustRightInd/>
                    <w:snapToGrid/>
                    <w:spacing w:beforeLines="0" w:afterLines="0" w:line="320" w:lineRule="exact"/>
                    <w:textAlignment w:val="auto"/>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snapToGrid w:val="0"/>
                      <w:color w:val="auto"/>
                      <w:kern w:val="21"/>
                      <w:sz w:val="18"/>
                      <w:szCs w:val="18"/>
                      <w:highlight w:val="none"/>
                      <w:lang w:val="en-US" w:eastAsia="zh-CN"/>
                    </w:rPr>
                    <w:t>废边角料</w:t>
                  </w:r>
                </w:p>
              </w:tc>
              <w:tc>
                <w:tcPr>
                  <w:tcW w:w="717"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0.2</w:t>
                  </w:r>
                </w:p>
              </w:tc>
              <w:tc>
                <w:tcPr>
                  <w:tcW w:w="16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kern w:val="2"/>
                      <w:sz w:val="18"/>
                      <w:szCs w:val="18"/>
                      <w:highlight w:val="none"/>
                      <w:lang w:val="en-US" w:eastAsia="zh-CN" w:bidi="ar-SA"/>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3</w:t>
                  </w:r>
                </w:p>
              </w:tc>
              <w:tc>
                <w:tcPr>
                  <w:tcW w:w="1278" w:type="pct"/>
                  <w:noWrap w:val="0"/>
                  <w:vAlign w:val="center"/>
                </w:tcPr>
                <w:p>
                  <w:pPr>
                    <w:pStyle w:val="36"/>
                    <w:keepNext w:val="0"/>
                    <w:keepLines w:val="0"/>
                    <w:pageBreakBefore w:val="0"/>
                    <w:kinsoku/>
                    <w:wordWrap/>
                    <w:overflowPunct/>
                    <w:topLinePunct w:val="0"/>
                    <w:autoSpaceDE/>
                    <w:autoSpaceDN/>
                    <w:bidi w:val="0"/>
                    <w:adjustRightInd/>
                    <w:snapToGrid/>
                    <w:spacing w:beforeLines="0" w:afterLines="0" w:line="320" w:lineRule="exact"/>
                    <w:textAlignment w:val="auto"/>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snapToGrid w:val="0"/>
                      <w:color w:val="auto"/>
                      <w:kern w:val="21"/>
                      <w:sz w:val="18"/>
                      <w:szCs w:val="18"/>
                      <w:highlight w:val="none"/>
                      <w:lang w:val="en-US" w:eastAsia="zh-CN"/>
                    </w:rPr>
                    <w:t>不合格品</w:t>
                  </w:r>
                </w:p>
              </w:tc>
              <w:tc>
                <w:tcPr>
                  <w:tcW w:w="717"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0.5</w:t>
                  </w:r>
                </w:p>
              </w:tc>
              <w:tc>
                <w:tcPr>
                  <w:tcW w:w="16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kern w:val="2"/>
                      <w:sz w:val="18"/>
                      <w:szCs w:val="18"/>
                      <w:highlight w:val="none"/>
                      <w:lang w:val="en-US" w:eastAsia="zh-CN" w:bidi="ar-SA"/>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4</w:t>
                  </w:r>
                </w:p>
              </w:tc>
              <w:tc>
                <w:tcPr>
                  <w:tcW w:w="1278" w:type="pct"/>
                  <w:noWrap w:val="0"/>
                  <w:vAlign w:val="center"/>
                </w:tcPr>
                <w:p>
                  <w:pPr>
                    <w:pStyle w:val="36"/>
                    <w:keepNext w:val="0"/>
                    <w:keepLines w:val="0"/>
                    <w:pageBreakBefore w:val="0"/>
                    <w:kinsoku/>
                    <w:wordWrap/>
                    <w:overflowPunct/>
                    <w:topLinePunct w:val="0"/>
                    <w:autoSpaceDE/>
                    <w:autoSpaceDN/>
                    <w:bidi w:val="0"/>
                    <w:adjustRightInd/>
                    <w:snapToGrid/>
                    <w:spacing w:beforeLines="0" w:afterLines="0" w:line="320" w:lineRule="exact"/>
                    <w:textAlignment w:val="auto"/>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snapToGrid w:val="0"/>
                      <w:color w:val="auto"/>
                      <w:kern w:val="21"/>
                      <w:sz w:val="18"/>
                      <w:szCs w:val="18"/>
                      <w:highlight w:val="none"/>
                      <w:lang w:val="en-US" w:eastAsia="zh-CN"/>
                    </w:rPr>
                    <w:t>废石英砂、反渗透膜</w:t>
                  </w:r>
                </w:p>
              </w:tc>
              <w:tc>
                <w:tcPr>
                  <w:tcW w:w="717"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0.045</w:t>
                  </w:r>
                </w:p>
              </w:tc>
              <w:tc>
                <w:tcPr>
                  <w:tcW w:w="1679" w:type="pct"/>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kern w:val="2"/>
                      <w:sz w:val="18"/>
                      <w:szCs w:val="18"/>
                      <w:highlight w:val="none"/>
                      <w:lang w:val="en-US" w:eastAsia="zh-CN" w:bidi="ar-SA"/>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2"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5</w:t>
                  </w:r>
                </w:p>
              </w:tc>
              <w:tc>
                <w:tcPr>
                  <w:tcW w:w="1278" w:type="pct"/>
                  <w:tcBorders>
                    <w:bottom w:val="single" w:color="auto" w:sz="4" w:space="0"/>
                  </w:tcBorders>
                  <w:noWrap w:val="0"/>
                  <w:vAlign w:val="center"/>
                </w:tcPr>
                <w:p>
                  <w:pPr>
                    <w:pStyle w:val="36"/>
                    <w:keepNext w:val="0"/>
                    <w:keepLines w:val="0"/>
                    <w:pageBreakBefore w:val="0"/>
                    <w:kinsoku/>
                    <w:wordWrap/>
                    <w:overflowPunct/>
                    <w:topLinePunct w:val="0"/>
                    <w:autoSpaceDE/>
                    <w:autoSpaceDN/>
                    <w:bidi w:val="0"/>
                    <w:adjustRightInd/>
                    <w:snapToGrid/>
                    <w:spacing w:beforeLines="0" w:afterLines="0" w:line="320" w:lineRule="exact"/>
                    <w:textAlignment w:val="auto"/>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snapToGrid w:val="0"/>
                      <w:color w:val="auto"/>
                      <w:kern w:val="21"/>
                      <w:sz w:val="18"/>
                      <w:szCs w:val="18"/>
                      <w:highlight w:val="none"/>
                      <w:lang w:val="en-US" w:eastAsia="zh-CN"/>
                    </w:rPr>
                    <w:t>废无尘布</w:t>
                  </w:r>
                </w:p>
              </w:tc>
              <w:tc>
                <w:tcPr>
                  <w:tcW w:w="717" w:type="pct"/>
                  <w:tcBorders>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w:t>
                  </w:r>
                </w:p>
              </w:tc>
              <w:tc>
                <w:tcPr>
                  <w:tcW w:w="912"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0.044</w:t>
                  </w:r>
                </w:p>
              </w:tc>
              <w:tc>
                <w:tcPr>
                  <w:tcW w:w="1679" w:type="pct"/>
                  <w:vMerge w:val="restart"/>
                  <w:tcBorders>
                    <w:top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集中收集后，</w:t>
                  </w:r>
                  <w:r>
                    <w:rPr>
                      <w:rFonts w:hint="default" w:ascii="Times New Roman" w:hAnsi="Times New Roman" w:cs="Times New Roman"/>
                      <w:color w:val="auto"/>
                      <w:sz w:val="18"/>
                      <w:szCs w:val="18"/>
                      <w:highlight w:val="none"/>
                    </w:rPr>
                    <w:t>交由环卫部门</w:t>
                  </w:r>
                  <w:r>
                    <w:rPr>
                      <w:rFonts w:hint="default" w:ascii="Times New Roman" w:hAnsi="Times New Roman" w:cs="Times New Roman"/>
                      <w:color w:val="auto"/>
                      <w:sz w:val="18"/>
                      <w:szCs w:val="18"/>
                      <w:highlight w:val="none"/>
                      <w:lang w:eastAsia="zh-CN"/>
                    </w:rPr>
                    <w:t>处理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2" w:type="pct"/>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6</w:t>
                  </w:r>
                </w:p>
              </w:tc>
              <w:tc>
                <w:tcPr>
                  <w:tcW w:w="1278" w:type="pct"/>
                  <w:tcBorders>
                    <w:top w:val="single" w:color="auto" w:sz="4" w:space="0"/>
                  </w:tcBorders>
                  <w:noWrap w:val="0"/>
                  <w:vAlign w:val="center"/>
                </w:tcPr>
                <w:p>
                  <w:pPr>
                    <w:pStyle w:val="36"/>
                    <w:keepNext w:val="0"/>
                    <w:keepLines w:val="0"/>
                    <w:pageBreakBefore w:val="0"/>
                    <w:kinsoku/>
                    <w:wordWrap/>
                    <w:overflowPunct/>
                    <w:topLinePunct w:val="0"/>
                    <w:autoSpaceDE/>
                    <w:autoSpaceDN/>
                    <w:bidi w:val="0"/>
                    <w:adjustRightInd/>
                    <w:snapToGrid/>
                    <w:spacing w:beforeLines="0" w:afterLines="0" w:line="320" w:lineRule="exact"/>
                    <w:textAlignment w:val="auto"/>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snapToGrid w:val="0"/>
                      <w:color w:val="auto"/>
                      <w:kern w:val="21"/>
                      <w:sz w:val="18"/>
                      <w:szCs w:val="18"/>
                      <w:highlight w:val="none"/>
                      <w:lang w:val="en-US" w:eastAsia="zh-CN"/>
                    </w:rPr>
                    <w:t>沉渣</w:t>
                  </w:r>
                </w:p>
              </w:tc>
              <w:tc>
                <w:tcPr>
                  <w:tcW w:w="717" w:type="pct"/>
                  <w:tcBorders>
                    <w:top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w:t>
                  </w:r>
                </w:p>
              </w:tc>
              <w:tc>
                <w:tcPr>
                  <w:tcW w:w="912" w:type="pct"/>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0.03</w:t>
                  </w:r>
                </w:p>
              </w:tc>
              <w:tc>
                <w:tcPr>
                  <w:tcW w:w="16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7</w:t>
                  </w:r>
                </w:p>
              </w:tc>
              <w:tc>
                <w:tcPr>
                  <w:tcW w:w="1278"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napToGrid w:val="0"/>
                      <w:color w:val="auto"/>
                      <w:kern w:val="21"/>
                      <w:sz w:val="18"/>
                      <w:szCs w:val="18"/>
                      <w:highlight w:val="none"/>
                      <w:lang w:val="en-US" w:eastAsia="zh-CN" w:bidi="ar-SA"/>
                    </w:rPr>
                    <w:t>生活垃圾</w:t>
                  </w:r>
                </w:p>
              </w:tc>
              <w:tc>
                <w:tcPr>
                  <w:tcW w:w="717"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color w:val="auto"/>
                      <w:sz w:val="18"/>
                      <w:szCs w:val="18"/>
                      <w:highlight w:val="none"/>
                    </w:rPr>
                    <w:t>一般固废</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2.85</w:t>
                  </w:r>
                </w:p>
              </w:tc>
              <w:tc>
                <w:tcPr>
                  <w:tcW w:w="1679" w:type="pct"/>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8</w:t>
                  </w:r>
                </w:p>
              </w:tc>
              <w:tc>
                <w:tcPr>
                  <w:tcW w:w="1278"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废润滑油</w:t>
                  </w:r>
                </w:p>
              </w:tc>
              <w:tc>
                <w:tcPr>
                  <w:tcW w:w="717"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eastAsiaTheme="minorEastAsia"/>
                      <w:color w:val="auto"/>
                      <w:sz w:val="18"/>
                      <w:szCs w:val="18"/>
                      <w:highlight w:val="none"/>
                      <w:lang w:eastAsia="zh-CN"/>
                    </w:rPr>
                    <w:t>危险废物</w:t>
                  </w:r>
                </w:p>
              </w:tc>
              <w:tc>
                <w:tcPr>
                  <w:tcW w:w="91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0.02</w:t>
                  </w:r>
                </w:p>
              </w:tc>
              <w:tc>
                <w:tcPr>
                  <w:tcW w:w="1679" w:type="pct"/>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无收集暂存措施</w:t>
                  </w:r>
                  <w:r>
                    <w:rPr>
                      <w:rFonts w:hint="eastAsia" w:cs="Times New Roman"/>
                      <w:color w:val="auto"/>
                      <w:sz w:val="18"/>
                      <w:szCs w:val="18"/>
                      <w:highlight w:val="none"/>
                      <w:lang w:val="en-US" w:eastAsia="zh-CN" w:bidi="ar-SA"/>
                    </w:rPr>
                    <w:t>，要求按照要求设置危险固废暂存间</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lang w:val="en-US" w:eastAsia="zh-CN"/>
              </w:rPr>
              <w:t>10</w:t>
            </w:r>
            <w:r>
              <w:rPr>
                <w:rFonts w:hint="default" w:ascii="Times New Roman" w:hAnsi="Times New Roman" w:cs="Times New Roman"/>
                <w:b/>
                <w:color w:val="auto"/>
                <w:kern w:val="0"/>
                <w:szCs w:val="21"/>
                <w:highlight w:val="none"/>
              </w:rPr>
              <w:t>、现有工程“三废”污染物汇总情况</w:t>
            </w:r>
          </w:p>
          <w:p>
            <w:pPr>
              <w:autoSpaceDE w:val="0"/>
              <w:autoSpaceDN w:val="0"/>
              <w:adjustRightInd w:val="0"/>
              <w:snapToGrid w:val="0"/>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bCs/>
                <w:color w:val="auto"/>
                <w:szCs w:val="21"/>
                <w:highlight w:val="none"/>
              </w:rPr>
              <w:t>根据《新乡市百合光电有限公司</w:t>
            </w:r>
            <w:r>
              <w:rPr>
                <w:rFonts w:hint="default" w:ascii="Times New Roman" w:hAnsi="Times New Roman" w:cs="Times New Roman"/>
                <w:bCs/>
                <w:color w:val="auto"/>
                <w:kern w:val="0"/>
                <w:sz w:val="21"/>
                <w:szCs w:val="21"/>
                <w:highlight w:val="none"/>
                <w:lang w:eastAsia="zh-CN"/>
              </w:rPr>
              <w:t>年加工真空镀膜光学零件</w:t>
            </w:r>
            <w:r>
              <w:rPr>
                <w:rFonts w:hint="default" w:ascii="Times New Roman" w:hAnsi="Times New Roman" w:cs="Times New Roman"/>
                <w:bCs/>
                <w:color w:val="auto"/>
                <w:kern w:val="0"/>
                <w:sz w:val="21"/>
                <w:szCs w:val="21"/>
                <w:highlight w:val="none"/>
                <w:lang w:val="en-US" w:eastAsia="zh-CN"/>
              </w:rPr>
              <w:t>40万片</w:t>
            </w:r>
            <w:r>
              <w:rPr>
                <w:rFonts w:hint="default" w:ascii="Times New Roman" w:hAnsi="Times New Roman" w:cs="Times New Roman"/>
                <w:bCs/>
                <w:color w:val="auto"/>
                <w:kern w:val="0"/>
                <w:sz w:val="21"/>
                <w:szCs w:val="21"/>
                <w:highlight w:val="none"/>
                <w:lang w:eastAsia="zh-CN"/>
              </w:rPr>
              <w:t>项目</w:t>
            </w:r>
            <w:r>
              <w:rPr>
                <w:rFonts w:hint="default" w:ascii="Times New Roman" w:hAnsi="Times New Roman" w:cs="Times New Roman"/>
                <w:bCs/>
                <w:color w:val="auto"/>
                <w:kern w:val="0"/>
                <w:szCs w:val="21"/>
                <w:highlight w:val="none"/>
                <w:lang w:eastAsia="zh-CN"/>
              </w:rPr>
              <w:t>环境影响评价报告表</w:t>
            </w:r>
            <w:r>
              <w:rPr>
                <w:rFonts w:hint="default" w:ascii="Times New Roman" w:hAnsi="Times New Roman" w:cs="Times New Roman"/>
                <w:bCs/>
                <w:color w:val="auto"/>
                <w:szCs w:val="21"/>
                <w:highlight w:val="none"/>
              </w:rPr>
              <w:t>》</w:t>
            </w:r>
            <w:r>
              <w:rPr>
                <w:rFonts w:hint="eastAsia" w:cs="Times New Roman"/>
                <w:bCs/>
                <w:color w:val="auto"/>
                <w:szCs w:val="21"/>
                <w:highlight w:val="none"/>
                <w:lang w:eastAsia="zh-CN"/>
              </w:rPr>
              <w:t>可知，由于现有工程环评办理时间较早，未许可废气、废水排放总量，根据</w:t>
            </w:r>
            <w:r>
              <w:rPr>
                <w:rFonts w:hint="default" w:ascii="Times New Roman" w:hAnsi="Times New Roman" w:cs="Times New Roman"/>
                <w:bCs/>
                <w:color w:val="auto"/>
                <w:szCs w:val="21"/>
                <w:highlight w:val="none"/>
                <w:lang w:eastAsia="zh-CN"/>
              </w:rPr>
              <w:t>工程实际运行情况</w:t>
            </w:r>
            <w:r>
              <w:rPr>
                <w:rFonts w:hint="eastAsia" w:cs="Times New Roman"/>
                <w:bCs/>
                <w:color w:val="auto"/>
                <w:szCs w:val="21"/>
                <w:highlight w:val="none"/>
                <w:lang w:eastAsia="zh-CN"/>
              </w:rPr>
              <w:t>，现有工程外排废水主要为生活污水和生产废水，目前通过区域污水管网排入新乡县综合污水处理厂进一步处理后，最终排入东孟姜女河</w:t>
            </w:r>
            <w:r>
              <w:rPr>
                <w:rFonts w:hint="default" w:ascii="Times New Roman" w:hAnsi="Times New Roman" w:cs="Times New Roman"/>
                <w:bCs/>
                <w:color w:val="auto"/>
                <w:szCs w:val="21"/>
                <w:highlight w:val="none"/>
              </w:rPr>
              <w:t>，</w:t>
            </w:r>
            <w:r>
              <w:rPr>
                <w:rFonts w:hint="default" w:ascii="Times New Roman" w:hAnsi="Times New Roman" w:cs="Times New Roman"/>
                <w:bCs/>
                <w:color w:val="auto"/>
                <w:kern w:val="0"/>
                <w:szCs w:val="21"/>
                <w:highlight w:val="none"/>
              </w:rPr>
              <w:t>现有工程“三废”污染物排放汇总情况见下表。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现有工程“三废”污染物排放汇总情况一览表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2"/>
              <w:gridCol w:w="1785"/>
              <w:gridCol w:w="1515"/>
              <w:gridCol w:w="2019"/>
              <w:gridCol w:w="13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642"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项目</w:t>
                  </w:r>
                </w:p>
              </w:tc>
              <w:tc>
                <w:tcPr>
                  <w:tcW w:w="1168"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污染物</w:t>
                  </w:r>
                </w:p>
              </w:tc>
              <w:tc>
                <w:tcPr>
                  <w:tcW w:w="2312"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lang w:eastAsia="zh-CN"/>
                    </w:rPr>
                    <w:t>实际</w:t>
                  </w:r>
                  <w:r>
                    <w:rPr>
                      <w:rFonts w:hint="default" w:ascii="Times New Roman" w:hAnsi="Times New Roman" w:cs="Times New Roman" w:eastAsiaTheme="minorEastAsia"/>
                      <w:b w:val="0"/>
                      <w:bCs w:val="0"/>
                      <w:color w:val="auto"/>
                      <w:sz w:val="18"/>
                      <w:szCs w:val="18"/>
                      <w:highlight w:val="none"/>
                      <w:u w:val="none"/>
                    </w:rPr>
                    <w:t>排放量</w:t>
                  </w:r>
                </w:p>
              </w:tc>
              <w:tc>
                <w:tcPr>
                  <w:tcW w:w="876"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许可排放量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642"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p>
              </w:tc>
              <w:tc>
                <w:tcPr>
                  <w:tcW w:w="1168"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p>
              </w:tc>
              <w:tc>
                <w:tcPr>
                  <w:tcW w:w="99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color w:val="auto"/>
                      <w:sz w:val="18"/>
                      <w:szCs w:val="18"/>
                      <w:highlight w:val="none"/>
                      <w:vertAlign w:val="baseline"/>
                      <w:lang w:val="en-US" w:eastAsia="zh-CN"/>
                    </w:rPr>
                    <w:t>接管网考核量</w:t>
                  </w:r>
                </w:p>
              </w:tc>
              <w:tc>
                <w:tcPr>
                  <w:tcW w:w="132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eastAsia="zh-CN"/>
                    </w:rPr>
                  </w:pPr>
                  <w:r>
                    <w:rPr>
                      <w:rFonts w:hint="default" w:ascii="Times New Roman" w:hAnsi="Times New Roman" w:cs="Times New Roman"/>
                      <w:color w:val="auto"/>
                      <w:sz w:val="18"/>
                      <w:szCs w:val="18"/>
                      <w:highlight w:val="none"/>
                      <w:vertAlign w:val="baseline"/>
                      <w:lang w:val="en-US" w:eastAsia="zh-CN"/>
                    </w:rPr>
                    <w:t>污水处理厂处理后排放量</w:t>
                  </w:r>
                </w:p>
              </w:tc>
              <w:tc>
                <w:tcPr>
                  <w:tcW w:w="87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2"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废水</w:t>
                  </w:r>
                </w:p>
              </w:tc>
              <w:tc>
                <w:tcPr>
                  <w:tcW w:w="116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废水量（m</w:t>
                  </w:r>
                  <w:r>
                    <w:rPr>
                      <w:rFonts w:hint="default" w:ascii="Times New Roman" w:hAnsi="Times New Roman" w:cs="Times New Roman" w:eastAsiaTheme="minorEastAsia"/>
                      <w:b w:val="0"/>
                      <w:bCs w:val="0"/>
                      <w:color w:val="auto"/>
                      <w:sz w:val="18"/>
                      <w:szCs w:val="18"/>
                      <w:highlight w:val="none"/>
                      <w:u w:val="none"/>
                      <w:vertAlign w:val="superscript"/>
                    </w:rPr>
                    <w:t>3</w:t>
                  </w:r>
                  <w:r>
                    <w:rPr>
                      <w:rFonts w:hint="default" w:ascii="Times New Roman" w:hAnsi="Times New Roman" w:cs="Times New Roman" w:eastAsiaTheme="minorEastAsia"/>
                      <w:b w:val="0"/>
                      <w:bCs w:val="0"/>
                      <w:color w:val="auto"/>
                      <w:sz w:val="18"/>
                      <w:szCs w:val="18"/>
                      <w:highlight w:val="none"/>
                      <w:u w:val="none"/>
                    </w:rPr>
                    <w:t>/a）</w:t>
                  </w:r>
                </w:p>
              </w:tc>
              <w:tc>
                <w:tcPr>
                  <w:tcW w:w="99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lang w:val="en-US" w:eastAsia="zh-CN"/>
                    </w:rPr>
                    <w:t>3159.3105</w:t>
                  </w:r>
                </w:p>
              </w:tc>
              <w:tc>
                <w:tcPr>
                  <w:tcW w:w="132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3159.3105</w:t>
                  </w:r>
                </w:p>
              </w:tc>
              <w:tc>
                <w:tcPr>
                  <w:tcW w:w="8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2"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p>
              </w:tc>
              <w:tc>
                <w:tcPr>
                  <w:tcW w:w="116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COD（t/a）</w:t>
                  </w:r>
                </w:p>
              </w:tc>
              <w:tc>
                <w:tcPr>
                  <w:tcW w:w="99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lang w:val="en-US" w:eastAsia="zh-CN"/>
                    </w:rPr>
                    <w:t>0.6022</w:t>
                  </w:r>
                </w:p>
              </w:tc>
              <w:tc>
                <w:tcPr>
                  <w:tcW w:w="132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eastAsia" w:cs="Times New Roman" w:eastAsiaTheme="minorEastAsia"/>
                      <w:b w:val="0"/>
                      <w:bCs w:val="0"/>
                      <w:color w:val="auto"/>
                      <w:sz w:val="18"/>
                      <w:szCs w:val="18"/>
                      <w:highlight w:val="none"/>
                      <w:u w:val="none"/>
                      <w:lang w:val="en-US" w:eastAsia="zh-CN"/>
                    </w:rPr>
                    <w:t>0.1264</w:t>
                  </w:r>
                </w:p>
              </w:tc>
              <w:tc>
                <w:tcPr>
                  <w:tcW w:w="8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2"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p>
              </w:tc>
              <w:tc>
                <w:tcPr>
                  <w:tcW w:w="116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NH</w:t>
                  </w:r>
                  <w:r>
                    <w:rPr>
                      <w:rFonts w:hint="default" w:ascii="Times New Roman" w:hAnsi="Times New Roman" w:cs="Times New Roman" w:eastAsiaTheme="minorEastAsia"/>
                      <w:b w:val="0"/>
                      <w:bCs w:val="0"/>
                      <w:color w:val="auto"/>
                      <w:sz w:val="18"/>
                      <w:szCs w:val="18"/>
                      <w:highlight w:val="none"/>
                      <w:u w:val="none"/>
                      <w:vertAlign w:val="subscript"/>
                    </w:rPr>
                    <w:t>3</w:t>
                  </w:r>
                  <w:r>
                    <w:rPr>
                      <w:rFonts w:hint="default" w:ascii="Times New Roman" w:hAnsi="Times New Roman" w:cs="Times New Roman" w:eastAsiaTheme="minorEastAsia"/>
                      <w:b w:val="0"/>
                      <w:bCs w:val="0"/>
                      <w:color w:val="auto"/>
                      <w:sz w:val="18"/>
                      <w:szCs w:val="18"/>
                      <w:highlight w:val="none"/>
                      <w:u w:val="none"/>
                    </w:rPr>
                    <w:t>-N（t/a）</w:t>
                  </w:r>
                </w:p>
              </w:tc>
              <w:tc>
                <w:tcPr>
                  <w:tcW w:w="99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lang w:val="en-US" w:eastAsia="zh-CN"/>
                    </w:rPr>
                    <w:t>0.0613</w:t>
                  </w:r>
                </w:p>
              </w:tc>
              <w:tc>
                <w:tcPr>
                  <w:tcW w:w="132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eastAsia" w:cs="Times New Roman" w:eastAsiaTheme="minorEastAsia"/>
                      <w:b w:val="0"/>
                      <w:bCs w:val="0"/>
                      <w:color w:val="auto"/>
                      <w:sz w:val="18"/>
                      <w:szCs w:val="18"/>
                      <w:highlight w:val="none"/>
                      <w:u w:val="none"/>
                      <w:lang w:val="en-US" w:eastAsia="zh-CN"/>
                    </w:rPr>
                    <w:t>0.0063</w:t>
                  </w:r>
                </w:p>
              </w:tc>
              <w:tc>
                <w:tcPr>
                  <w:tcW w:w="8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2"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固体废物</w:t>
                  </w:r>
                </w:p>
              </w:tc>
              <w:tc>
                <w:tcPr>
                  <w:tcW w:w="116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一般固废（t/a）</w:t>
                  </w:r>
                </w:p>
              </w:tc>
              <w:tc>
                <w:tcPr>
                  <w:tcW w:w="2312"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0</w:t>
                  </w:r>
                </w:p>
              </w:tc>
              <w:tc>
                <w:tcPr>
                  <w:tcW w:w="8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2"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p>
              </w:tc>
              <w:tc>
                <w:tcPr>
                  <w:tcW w:w="116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生活垃圾（t/a）</w:t>
                  </w:r>
                </w:p>
              </w:tc>
              <w:tc>
                <w:tcPr>
                  <w:tcW w:w="2312"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0</w:t>
                  </w:r>
                </w:p>
              </w:tc>
              <w:tc>
                <w:tcPr>
                  <w:tcW w:w="87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0</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lang w:val="en-US" w:eastAsia="zh-CN"/>
              </w:rPr>
              <w:t>11、</w:t>
            </w:r>
            <w:r>
              <w:rPr>
                <w:rFonts w:hint="default" w:ascii="Times New Roman" w:hAnsi="Times New Roman" w:cs="Times New Roman"/>
                <w:b/>
                <w:bCs/>
                <w:color w:val="auto"/>
                <w:kern w:val="0"/>
                <w:szCs w:val="21"/>
                <w:highlight w:val="none"/>
              </w:rPr>
              <w:t>现有工程现存环保问题及整改措施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cs="Times New Roman"/>
                <w:b w:val="0"/>
                <w:bCs/>
                <w:color w:val="auto"/>
                <w:szCs w:val="21"/>
                <w:highlight w:val="none"/>
                <w:lang w:eastAsia="zh-CN"/>
              </w:rPr>
            </w:pPr>
            <w:r>
              <w:rPr>
                <w:rFonts w:hint="default" w:ascii="Times New Roman" w:hAnsi="Times New Roman" w:cs="Times New Roman"/>
                <w:b w:val="0"/>
                <w:bCs/>
                <w:color w:val="auto"/>
                <w:szCs w:val="21"/>
                <w:highlight w:val="none"/>
                <w:lang w:eastAsia="zh-CN"/>
              </w:rPr>
              <w:t>根据现场调查，现有工程一般固废暂存间</w:t>
            </w:r>
            <w:r>
              <w:rPr>
                <w:rFonts w:hint="eastAsia" w:cs="Times New Roman"/>
                <w:b w:val="0"/>
                <w:bCs/>
                <w:color w:val="auto"/>
                <w:szCs w:val="21"/>
                <w:highlight w:val="none"/>
                <w:lang w:eastAsia="zh-CN"/>
              </w:rPr>
              <w:t>和危险固废暂存间</w:t>
            </w:r>
            <w:r>
              <w:rPr>
                <w:rFonts w:hint="default" w:ascii="Times New Roman" w:hAnsi="Times New Roman" w:cs="Times New Roman"/>
                <w:b w:val="0"/>
                <w:bCs/>
                <w:color w:val="auto"/>
                <w:szCs w:val="21"/>
                <w:highlight w:val="none"/>
                <w:lang w:eastAsia="zh-CN"/>
              </w:rPr>
              <w:t>建设不符合标准要求，现有工程问题梳理情况一览表。</w:t>
            </w:r>
          </w:p>
          <w:p>
            <w:pPr>
              <w:rPr>
                <w:rFonts w:hint="default"/>
                <w:color w:val="auto"/>
                <w:lang w:eastAsia="zh-CN"/>
              </w:rPr>
            </w:pPr>
          </w:p>
          <w:p>
            <w:pPr>
              <w:pStyle w:val="2"/>
              <w:rPr>
                <w:rFonts w:hint="default"/>
                <w:color w:val="auto"/>
                <w:lang w:eastAsia="zh-CN"/>
              </w:rPr>
            </w:pPr>
          </w:p>
          <w:p>
            <w:pPr>
              <w:pStyle w:val="2"/>
              <w:rPr>
                <w:rFonts w:hint="default"/>
                <w:color w:val="auto"/>
                <w:lang w:eastAsia="zh-CN"/>
              </w:rPr>
            </w:pPr>
            <w:r>
              <w:rPr>
                <w:rFonts w:hint="default"/>
                <w:color w:val="auto"/>
                <w:lang w:eastAsia="zh-CN"/>
              </w:rPr>
              <w:br w:type="textWrapp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eastAsia" w:ascii="Times New Roman" w:hAnsi="Times New Roman" w:eastAsia="黑体" w:cs="Times New Roman"/>
                <w:color w:val="auto"/>
                <w:sz w:val="18"/>
                <w:szCs w:val="18"/>
                <w:highlight w:val="none"/>
                <w:lang w:val="en-US" w:eastAsia="zh-CN"/>
              </w:rPr>
              <w:t>现有工程及整改要求</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1362"/>
              <w:gridCol w:w="3750"/>
              <w:gridCol w:w="9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3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现有问题</w:t>
                  </w:r>
                </w:p>
              </w:tc>
              <w:tc>
                <w:tcPr>
                  <w:tcW w:w="2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整改要求</w:t>
                  </w:r>
                </w:p>
              </w:tc>
              <w:tc>
                <w:tcPr>
                  <w:tcW w:w="61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整改期限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一般固废暂存间</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无标识，存放不规范</w:t>
                  </w:r>
                </w:p>
              </w:tc>
              <w:tc>
                <w:tcPr>
                  <w:tcW w:w="2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设置标识，一般固废间内划分区域，分类存放</w:t>
                  </w:r>
                </w:p>
              </w:tc>
              <w:tc>
                <w:tcPr>
                  <w:tcW w:w="61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即刻整改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危险固废</w:t>
                  </w:r>
                  <w:r>
                    <w:rPr>
                      <w:rFonts w:hint="default" w:ascii="Times New Roman" w:hAnsi="Times New Roman" w:cs="Times New Roman"/>
                      <w:color w:val="auto"/>
                      <w:sz w:val="18"/>
                      <w:szCs w:val="18"/>
                      <w:highlight w:val="none"/>
                    </w:rPr>
                    <w:t>暂存间</w:t>
                  </w:r>
                </w:p>
              </w:tc>
              <w:tc>
                <w:tcPr>
                  <w:tcW w:w="89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无标识，存放不规范</w:t>
                  </w:r>
                </w:p>
              </w:tc>
              <w:tc>
                <w:tcPr>
                  <w:tcW w:w="245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设置标识</w:t>
                  </w:r>
                  <w:r>
                    <w:rPr>
                      <w:rFonts w:hint="eastAsia" w:cs="Times New Roman"/>
                      <w:color w:val="auto"/>
                      <w:sz w:val="18"/>
                      <w:szCs w:val="18"/>
                      <w:highlight w:val="none"/>
                      <w:lang w:eastAsia="zh-CN"/>
                    </w:rPr>
                    <w:t>，按照《环境保护图形标识一固体废物贮存（处置）场》（GB15562.2）要求设置环境保护图形标志，分类存放</w:t>
                  </w:r>
                </w:p>
              </w:tc>
              <w:tc>
                <w:tcPr>
                  <w:tcW w:w="61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eastAsia="宋体" w:cs="Times New Roman"/>
                <w:bCs/>
                <w:color w:val="auto"/>
                <w:szCs w:val="21"/>
                <w:highlight w:val="cyan"/>
                <w:lang w:val="en-US" w:eastAsia="zh-CN"/>
              </w:rPr>
            </w:pPr>
            <w:r>
              <w:rPr>
                <w:rFonts w:hint="eastAsia" w:cs="Times New Roman"/>
                <w:bCs/>
                <w:color w:val="auto"/>
                <w:szCs w:val="21"/>
                <w:highlight w:val="none"/>
                <w:lang w:val="en-US" w:eastAsia="zh-CN"/>
              </w:rPr>
              <w:t xml:space="preserve"> </w:t>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r>
              <w:rPr>
                <w:rFonts w:hint="eastAsia" w:cs="Times New Roman"/>
                <w:bCs/>
                <w:color w:val="auto"/>
                <w:szCs w:val="21"/>
                <w:highlight w:val="none"/>
                <w:lang w:val="en-US" w:eastAsia="zh-CN"/>
              </w:rPr>
              <w:br w:type="textWrapping"/>
            </w:r>
          </w:p>
        </w:tc>
      </w:tr>
    </w:tbl>
    <w:p>
      <w:pPr>
        <w:pStyle w:val="18"/>
        <w:jc w:val="center"/>
        <w:rPr>
          <w:rFonts w:hint="default" w:ascii="Times New Roman" w:hAnsi="Times New Roman" w:eastAsia="黑体" w:cs="Times New Roman"/>
          <w:snapToGrid w:val="0"/>
          <w:color w:val="auto"/>
          <w:sz w:val="36"/>
          <w:szCs w:val="36"/>
          <w:highlight w:val="cya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三、区域环境质量现状、环境保护目标及评价标准</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78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50" w:hRule="atLeast"/>
          <w:jc w:val="center"/>
        </w:trPr>
        <w:tc>
          <w:tcPr>
            <w:tcW w:w="411" w:type="pct"/>
            <w:noWrap w:val="0"/>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区域</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质量</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现状</w:t>
            </w:r>
          </w:p>
        </w:tc>
        <w:tc>
          <w:tcPr>
            <w:tcW w:w="4588" w:type="pct"/>
            <w:noWrap w:val="0"/>
            <w:vAlign w:val="center"/>
          </w:tcPr>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环境空气质量现状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u w:val="none"/>
              </w:rPr>
              <w:t>项目所在地属空气环境质量二类功能区，环境空气质量应执行《环境空气质量标准》（GB3095-2012）二级标准。</w:t>
            </w:r>
            <w:r>
              <w:rPr>
                <w:rFonts w:hint="default" w:ascii="Times New Roman" w:hAnsi="Times New Roman" w:cs="Times New Roman"/>
                <w:color w:val="auto"/>
                <w:sz w:val="21"/>
                <w:szCs w:val="21"/>
                <w:highlight w:val="none"/>
              </w:rPr>
              <w:t>根据新乡市生态环境局发布的《新乡市</w:t>
            </w:r>
            <w:r>
              <w:rPr>
                <w:rFonts w:hint="default" w:ascii="Times New Roman" w:hAnsi="Times New Roman" w:cs="Times New Roman"/>
                <w:color w:val="auto"/>
                <w:sz w:val="21"/>
                <w:szCs w:val="21"/>
                <w:highlight w:val="none"/>
                <w:lang w:val="en-US" w:eastAsia="zh-CN"/>
              </w:rPr>
              <w:t>202</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年环境质量年报》，区域空气质量现状数据如下表所示。</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区域空气质量现状评价表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846"/>
              <w:gridCol w:w="1605"/>
              <w:gridCol w:w="1031"/>
              <w:gridCol w:w="1031"/>
              <w:gridCol w:w="1031"/>
              <w:gridCol w:w="1031"/>
              <w:gridCol w:w="10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556"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w:t>
                  </w:r>
                </w:p>
              </w:tc>
              <w:tc>
                <w:tcPr>
                  <w:tcW w:w="1054"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年评价指标</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现状浓度/（μg/m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标准值/（μg/m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占标率</w:t>
                  </w:r>
                </w:p>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超标倍数</w:t>
                  </w:r>
                </w:p>
              </w:tc>
              <w:tc>
                <w:tcPr>
                  <w:tcW w:w="678"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556"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PM</w:t>
                  </w:r>
                  <w:r>
                    <w:rPr>
                      <w:rFonts w:hint="default" w:ascii="Times New Roman" w:hAnsi="Times New Roman" w:eastAsia="宋体" w:cs="Times New Roman"/>
                      <w:color w:val="auto"/>
                      <w:sz w:val="18"/>
                      <w:szCs w:val="18"/>
                      <w:vertAlign w:val="subscript"/>
                    </w:rPr>
                    <w:t>10</w:t>
                  </w:r>
                </w:p>
              </w:tc>
              <w:tc>
                <w:tcPr>
                  <w:tcW w:w="1054"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年平均质量浓度</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93</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132.9</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0.329</w:t>
                  </w:r>
                </w:p>
              </w:tc>
              <w:tc>
                <w:tcPr>
                  <w:tcW w:w="678"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556"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PM</w:t>
                  </w:r>
                  <w:r>
                    <w:rPr>
                      <w:rFonts w:hint="default" w:ascii="Times New Roman" w:hAnsi="Times New Roman" w:eastAsia="宋体" w:cs="Times New Roman"/>
                      <w:color w:val="auto"/>
                      <w:sz w:val="18"/>
                      <w:szCs w:val="18"/>
                      <w:vertAlign w:val="subscript"/>
                    </w:rPr>
                    <w:t>2.5</w:t>
                  </w:r>
                </w:p>
              </w:tc>
              <w:tc>
                <w:tcPr>
                  <w:tcW w:w="1054"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年平均质量浓度</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47</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134.3</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0.343</w:t>
                  </w:r>
                </w:p>
              </w:tc>
              <w:tc>
                <w:tcPr>
                  <w:tcW w:w="678"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556"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SO</w:t>
                  </w:r>
                  <w:r>
                    <w:rPr>
                      <w:rFonts w:hint="default" w:ascii="Times New Roman" w:hAnsi="Times New Roman" w:eastAsia="宋体" w:cs="Times New Roman"/>
                      <w:color w:val="auto"/>
                      <w:sz w:val="18"/>
                      <w:szCs w:val="18"/>
                      <w:vertAlign w:val="subscript"/>
                    </w:rPr>
                    <w:t>2</w:t>
                  </w:r>
                </w:p>
              </w:tc>
              <w:tc>
                <w:tcPr>
                  <w:tcW w:w="1054"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年平均质量浓度</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18.3</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w w:val="101"/>
                      <w:position w:val="2"/>
                      <w:sz w:val="18"/>
                      <w:szCs w:val="18"/>
                    </w:rPr>
                    <w:t>/</w:t>
                  </w:r>
                </w:p>
              </w:tc>
              <w:tc>
                <w:tcPr>
                  <w:tcW w:w="678"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556"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NO</w:t>
                  </w:r>
                  <w:r>
                    <w:rPr>
                      <w:rFonts w:hint="default" w:ascii="Times New Roman" w:hAnsi="Times New Roman" w:eastAsia="宋体" w:cs="Times New Roman"/>
                      <w:color w:val="auto"/>
                      <w:sz w:val="18"/>
                      <w:szCs w:val="18"/>
                      <w:vertAlign w:val="subscript"/>
                    </w:rPr>
                    <w:t>2</w:t>
                  </w:r>
                </w:p>
              </w:tc>
              <w:tc>
                <w:tcPr>
                  <w:tcW w:w="1054"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年平均质量浓度</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32</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w w:val="101"/>
                      <w:position w:val="2"/>
                      <w:sz w:val="18"/>
                      <w:szCs w:val="18"/>
                    </w:rPr>
                    <w:t>/</w:t>
                  </w:r>
                </w:p>
              </w:tc>
              <w:tc>
                <w:tcPr>
                  <w:tcW w:w="678"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556"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CO</w:t>
                  </w:r>
                </w:p>
              </w:tc>
              <w:tc>
                <w:tcPr>
                  <w:tcW w:w="1054"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第95百分位浓度</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1.6mg/m</w:t>
                  </w:r>
                  <w:r>
                    <w:rPr>
                      <w:rFonts w:hint="default" w:ascii="Times New Roman" w:hAnsi="Times New Roman" w:eastAsia="宋体" w:cs="Times New Roman"/>
                      <w:color w:val="auto"/>
                      <w:sz w:val="18"/>
                      <w:szCs w:val="18"/>
                      <w:vertAlign w:val="superscript"/>
                    </w:rPr>
                    <w:t>3</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4mg/m</w:t>
                  </w:r>
                  <w:r>
                    <w:rPr>
                      <w:rFonts w:hint="default" w:ascii="Times New Roman" w:hAnsi="Times New Roman" w:eastAsia="宋体" w:cs="Times New Roman"/>
                      <w:color w:val="auto"/>
                      <w:sz w:val="18"/>
                      <w:szCs w:val="18"/>
                      <w:vertAlign w:val="superscript"/>
                    </w:rPr>
                    <w:t>3</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w w:val="101"/>
                      <w:position w:val="2"/>
                      <w:sz w:val="18"/>
                      <w:szCs w:val="18"/>
                    </w:rPr>
                    <w:t>/</w:t>
                  </w:r>
                </w:p>
              </w:tc>
              <w:tc>
                <w:tcPr>
                  <w:tcW w:w="678"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556"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O</w:t>
                  </w:r>
                  <w:r>
                    <w:rPr>
                      <w:rFonts w:hint="default" w:ascii="Times New Roman" w:hAnsi="Times New Roman" w:eastAsia="宋体" w:cs="Times New Roman"/>
                      <w:color w:val="auto"/>
                      <w:sz w:val="18"/>
                      <w:szCs w:val="18"/>
                      <w:vertAlign w:val="subscript"/>
                    </w:rPr>
                    <w:t>3</w:t>
                  </w:r>
                </w:p>
              </w:tc>
              <w:tc>
                <w:tcPr>
                  <w:tcW w:w="1054"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第90百分位浓度</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173</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160</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108</w:t>
                  </w:r>
                </w:p>
              </w:tc>
              <w:tc>
                <w:tcPr>
                  <w:tcW w:w="677"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0.08</w:t>
                  </w:r>
                </w:p>
              </w:tc>
              <w:tc>
                <w:tcPr>
                  <w:tcW w:w="678" w:type="pct"/>
                  <w:tcBorders>
                    <w:tl2br w:val="nil"/>
                    <w:tr2bl w:val="nil"/>
                  </w:tcBorders>
                  <w:noWrap w:val="0"/>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超标</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由上表可知，其中PM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bscript"/>
                <w:lang w:eastAsia="zh-CN"/>
              </w:rPr>
              <w:t>2</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vertAlign w:val="baseline"/>
                <w:lang w:eastAsia="zh-CN"/>
              </w:rPr>
              <w:t>和</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均不能够满足《环境空气质量标准》（GB3095-2012）二级标准要求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本项目所在区域属于不达标区。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val="0"/>
                <w:bCs w:val="0"/>
                <w:color w:val="auto"/>
                <w:sz w:val="21"/>
                <w:szCs w:val="21"/>
                <w:highlight w:val="none"/>
                <w:u w:val="none"/>
                <w:lang w:eastAsia="zh-CN"/>
              </w:rPr>
            </w:pPr>
            <w:r>
              <w:rPr>
                <w:rFonts w:hint="default" w:ascii="Times New Roman" w:hAnsi="Times New Roman" w:cs="Times New Roman"/>
                <w:b w:val="0"/>
                <w:bCs w:val="0"/>
                <w:color w:val="auto"/>
                <w:sz w:val="21"/>
                <w:szCs w:val="21"/>
                <w:highlight w:val="none"/>
                <w:u w:val="none"/>
                <w:lang w:eastAsia="zh-CN"/>
              </w:rPr>
              <w:t>目前，新乡市正在实施《河南省2022年大气污染防治攻坚战实施方案》、《新乡市202</w:t>
            </w:r>
            <w:r>
              <w:rPr>
                <w:rFonts w:hint="eastAsia" w:ascii="Times New Roman" w:hAnsi="Times New Roman" w:cs="Times New Roman"/>
                <w:b w:val="0"/>
                <w:bCs w:val="0"/>
                <w:color w:val="auto"/>
                <w:sz w:val="21"/>
                <w:szCs w:val="21"/>
                <w:highlight w:val="none"/>
                <w:u w:val="none"/>
                <w:lang w:val="en-US" w:eastAsia="zh-CN"/>
              </w:rPr>
              <w:t>2</w:t>
            </w:r>
            <w:r>
              <w:rPr>
                <w:rFonts w:hint="default" w:ascii="Times New Roman" w:hAnsi="Times New Roman" w:cs="Times New Roman"/>
                <w:b w:val="0"/>
                <w:bCs w:val="0"/>
                <w:color w:val="auto"/>
                <w:sz w:val="21"/>
                <w:szCs w:val="21"/>
                <w:highlight w:val="none"/>
                <w:u w:val="none"/>
                <w:lang w:eastAsia="zh-CN"/>
              </w:rPr>
              <w:t>年大气污染防治攻坚战实施方案》、《新乡市蓝天工程行动计划》等一系列措施，将不断改善区域大气环境质量。</w:t>
            </w:r>
          </w:p>
          <w:p>
            <w:pPr>
              <w:keepNext w:val="0"/>
              <w:keepLines w:val="0"/>
              <w:pageBreakBefore w:val="0"/>
              <w:widowControl w:val="0"/>
              <w:kinsoku/>
              <w:wordWrap/>
              <w:overflowPunct/>
              <w:topLinePunct w:val="0"/>
              <w:autoSpaceDE/>
              <w:autoSpaceDN/>
              <w:bidi w:val="0"/>
              <w:adjustRightInd/>
              <w:snapToGrid/>
              <w:spacing w:line="360" w:lineRule="auto"/>
              <w:ind w:right="0" w:firstLine="422" w:firstLineChars="20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2、水环境质量现状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pacing w:val="-4"/>
                <w:sz w:val="21"/>
                <w:szCs w:val="21"/>
                <w:highlight w:val="none"/>
              </w:rPr>
            </w:pPr>
            <w:r>
              <w:rPr>
                <w:rFonts w:hint="default" w:ascii="Times New Roman" w:hAnsi="Times New Roman" w:cs="Times New Roman"/>
                <w:color w:val="auto"/>
                <w:sz w:val="21"/>
                <w:szCs w:val="21"/>
                <w:highlight w:val="none"/>
                <w:lang w:eastAsia="zh-CN"/>
              </w:rPr>
              <w:t>项目最终纳污水体为东孟姜女河，根据《“十四五”及2021年地表水环境质量目标》，其规划水体功能为</w:t>
            </w: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=4\*ROMAN\*MERGEFORMAT</w:instrText>
            </w:r>
            <w:r>
              <w:rPr>
                <w:rFonts w:hint="default" w:ascii="Times New Roman" w:hAnsi="Times New Roman" w:cs="Times New Roman"/>
                <w:color w:val="auto"/>
                <w:sz w:val="21"/>
                <w:szCs w:val="21"/>
                <w:highlight w:val="none"/>
                <w:lang w:eastAsia="zh-CN"/>
              </w:rPr>
              <w:fldChar w:fldCharType="separate"/>
            </w:r>
            <w:r>
              <w:rPr>
                <w:color w:val="auto"/>
              </w:rPr>
              <w:t>IV</w:t>
            </w:r>
            <w:r>
              <w:rPr>
                <w:rFonts w:hint="default" w:ascii="Times New Roman" w:hAnsi="Times New Roman" w:cs="Times New Roman"/>
                <w:color w:val="auto"/>
                <w:sz w:val="21"/>
                <w:szCs w:val="21"/>
                <w:highlight w:val="none"/>
                <w:lang w:eastAsia="zh-CN"/>
              </w:rPr>
              <w:fldChar w:fldCharType="end"/>
            </w:r>
            <w:r>
              <w:rPr>
                <w:rFonts w:hint="default" w:ascii="Times New Roman" w:hAnsi="Times New Roman" w:cs="Times New Roman"/>
                <w:color w:val="auto"/>
                <w:sz w:val="21"/>
                <w:szCs w:val="21"/>
                <w:highlight w:val="none"/>
                <w:lang w:eastAsia="zh-CN"/>
              </w:rPr>
              <w:t>类，评价引用新乡市环境监测站对东孟姜女河南环桥断面2022年4月份周报监测数据。具体数据见下表。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东孟姜女河南环桥断面2022年4月份监测数据</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1755"/>
              <w:gridCol w:w="2033"/>
              <w:gridCol w:w="16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5" w:type="pct"/>
                  <w:tcBorders>
                    <w:top w:val="single" w:color="auto" w:sz="8"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监测因子</w:t>
                  </w:r>
                </w:p>
              </w:tc>
              <w:tc>
                <w:tcPr>
                  <w:tcW w:w="1153" w:type="pct"/>
                  <w:tcBorders>
                    <w:top w:val="single" w:color="auto" w:sz="8"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COD</w:t>
                  </w:r>
                </w:p>
              </w:tc>
              <w:tc>
                <w:tcPr>
                  <w:tcW w:w="1336" w:type="pct"/>
                  <w:tcBorders>
                    <w:top w:val="single" w:color="auto" w:sz="8"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NH</w:t>
                  </w:r>
                  <w:r>
                    <w:rPr>
                      <w:rFonts w:hint="default" w:ascii="Times New Roman" w:hAnsi="Times New Roman" w:cs="Times New Roman"/>
                      <w:b w:val="0"/>
                      <w:bCs/>
                      <w:color w:val="auto"/>
                      <w:sz w:val="18"/>
                      <w:szCs w:val="18"/>
                      <w:highlight w:val="none"/>
                      <w:vertAlign w:val="subscript"/>
                    </w:rPr>
                    <w:t>3</w:t>
                  </w:r>
                  <w:r>
                    <w:rPr>
                      <w:rFonts w:hint="default" w:ascii="Times New Roman" w:hAnsi="Times New Roman" w:cs="Times New Roman"/>
                      <w:b w:val="0"/>
                      <w:bCs/>
                      <w:color w:val="auto"/>
                      <w:sz w:val="18"/>
                      <w:szCs w:val="18"/>
                      <w:highlight w:val="none"/>
                    </w:rPr>
                    <w:t>-N</w:t>
                  </w:r>
                </w:p>
              </w:tc>
              <w:tc>
                <w:tcPr>
                  <w:tcW w:w="1074" w:type="pct"/>
                  <w:tcBorders>
                    <w:top w:val="single" w:color="auto" w:sz="8" w:space="0"/>
                    <w:left w:val="single" w:color="auto" w:sz="4" w:space="0"/>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TP</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5"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监测数据</w:t>
                  </w:r>
                </w:p>
              </w:tc>
              <w:tc>
                <w:tcPr>
                  <w:tcW w:w="115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20.37~27.61</w:t>
                  </w:r>
                </w:p>
              </w:tc>
              <w:tc>
                <w:tcPr>
                  <w:tcW w:w="13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0.44</w:t>
                  </w:r>
                  <w:r>
                    <w:rPr>
                      <w:rFonts w:hint="default" w:ascii="Times New Roman" w:hAnsi="Times New Roman" w:cs="Times New Roman"/>
                      <w:b w:val="0"/>
                      <w:bCs/>
                      <w:color w:val="auto"/>
                      <w:kern w:val="0"/>
                      <w:sz w:val="18"/>
                      <w:szCs w:val="18"/>
                      <w:highlight w:val="none"/>
                    </w:rPr>
                    <w:t>~</w:t>
                  </w:r>
                  <w:r>
                    <w:rPr>
                      <w:rFonts w:hint="eastAsia" w:cs="Times New Roman"/>
                      <w:b w:val="0"/>
                      <w:bCs/>
                      <w:color w:val="auto"/>
                      <w:kern w:val="0"/>
                      <w:sz w:val="18"/>
                      <w:szCs w:val="18"/>
                      <w:highlight w:val="none"/>
                      <w:lang w:val="en-US" w:eastAsia="zh-CN"/>
                    </w:rPr>
                    <w:t>1.26</w:t>
                  </w:r>
                </w:p>
              </w:tc>
              <w:tc>
                <w:tcPr>
                  <w:tcW w:w="1074" w:type="pct"/>
                  <w:tcBorders>
                    <w:top w:val="single" w:color="auto" w:sz="4" w:space="0"/>
                    <w:left w:val="single" w:color="auto" w:sz="4" w:space="0"/>
                    <w:bottom w:val="single" w:color="auto" w:sz="4" w:space="0"/>
                    <w:right w:val="nil"/>
                  </w:tcBorders>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0.189</w:t>
                  </w:r>
                  <w:r>
                    <w:rPr>
                      <w:rFonts w:hint="default" w:ascii="Times New Roman" w:hAnsi="Times New Roman" w:cs="Times New Roman"/>
                      <w:b w:val="0"/>
                      <w:bCs/>
                      <w:color w:val="auto"/>
                      <w:kern w:val="0"/>
                      <w:sz w:val="18"/>
                      <w:szCs w:val="18"/>
                      <w:highlight w:val="none"/>
                    </w:rPr>
                    <w:t>~0.</w:t>
                  </w:r>
                  <w:r>
                    <w:rPr>
                      <w:rFonts w:hint="eastAsia" w:cs="Times New Roman"/>
                      <w:b w:val="0"/>
                      <w:bCs/>
                      <w:color w:val="auto"/>
                      <w:kern w:val="0"/>
                      <w:sz w:val="18"/>
                      <w:szCs w:val="18"/>
                      <w:highlight w:val="none"/>
                      <w:lang w:val="en-US" w:eastAsia="zh-CN"/>
                    </w:rPr>
                    <w:t>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5"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断面标准</w:t>
                  </w:r>
                </w:p>
              </w:tc>
              <w:tc>
                <w:tcPr>
                  <w:tcW w:w="115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30</w:t>
                  </w:r>
                </w:p>
              </w:tc>
              <w:tc>
                <w:tcPr>
                  <w:tcW w:w="13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1.5</w:t>
                  </w:r>
                </w:p>
              </w:tc>
              <w:tc>
                <w:tcPr>
                  <w:tcW w:w="1074" w:type="pct"/>
                  <w:tcBorders>
                    <w:top w:val="single" w:color="auto" w:sz="4" w:space="0"/>
                    <w:left w:val="single" w:color="auto" w:sz="4" w:space="0"/>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5" w:type="pct"/>
                  <w:tcBorders>
                    <w:top w:val="single" w:color="auto" w:sz="4" w:space="0"/>
                    <w:left w:val="nil"/>
                    <w:bottom w:val="single" w:color="auto" w:sz="8"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达标情况</w:t>
                  </w:r>
                </w:p>
              </w:tc>
              <w:tc>
                <w:tcPr>
                  <w:tcW w:w="1153" w:type="pct"/>
                  <w:tcBorders>
                    <w:top w:val="single" w:color="auto" w:sz="4"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达标</w:t>
                  </w:r>
                </w:p>
              </w:tc>
              <w:tc>
                <w:tcPr>
                  <w:tcW w:w="1336" w:type="pct"/>
                  <w:tcBorders>
                    <w:top w:val="single" w:color="auto" w:sz="4" w:space="0"/>
                    <w:left w:val="single" w:color="auto" w:sz="4" w:space="0"/>
                    <w:bottom w:val="single" w:color="auto" w:sz="8"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eastAsia="zh-CN"/>
                    </w:rPr>
                    <w:t>达标</w:t>
                  </w:r>
                </w:p>
              </w:tc>
              <w:tc>
                <w:tcPr>
                  <w:tcW w:w="1074" w:type="pct"/>
                  <w:tcBorders>
                    <w:top w:val="single" w:color="auto" w:sz="4" w:space="0"/>
                    <w:left w:val="single" w:color="auto" w:sz="4" w:space="0"/>
                    <w:bottom w:val="single" w:color="auto" w:sz="8" w:space="0"/>
                    <w:right w:val="nil"/>
                  </w:tcBorders>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cs="Times New Roman"/>
                      <w:b w:val="0"/>
                      <w:bCs/>
                      <w:color w:val="auto"/>
                      <w:sz w:val="18"/>
                      <w:szCs w:val="18"/>
                      <w:highlight w:val="none"/>
                      <w:lang w:eastAsia="zh-CN"/>
                    </w:rPr>
                    <w:t>达标</w:t>
                  </w:r>
                </w:p>
              </w:tc>
            </w:tr>
          </w:tbl>
          <w:p>
            <w:pPr>
              <w:keepNext w:val="0"/>
              <w:keepLines w:val="0"/>
              <w:pageBreakBefore w:val="0"/>
              <w:widowControl w:val="0"/>
              <w:kinsoku/>
              <w:wordWrap w:val="0"/>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根据上表监测数据显示，</w:t>
            </w:r>
            <w:r>
              <w:rPr>
                <w:rFonts w:hint="default" w:ascii="Times New Roman" w:hAnsi="Times New Roman" w:eastAsia="宋体" w:cs="Times New Roman"/>
                <w:color w:val="auto"/>
                <w:sz w:val="21"/>
                <w:szCs w:val="21"/>
                <w:highlight w:val="none"/>
                <w:lang w:eastAsia="zh-CN"/>
              </w:rPr>
              <w:t>东孟姜女河水</w:t>
            </w:r>
            <w:r>
              <w:rPr>
                <w:rFonts w:hint="default" w:ascii="Times New Roman" w:hAnsi="Times New Roman" w:eastAsia="宋体" w:cs="Times New Roman"/>
                <w:color w:val="auto"/>
                <w:sz w:val="21"/>
                <w:szCs w:val="21"/>
                <w:highlight w:val="none"/>
              </w:rPr>
              <w:t>质</w:t>
            </w:r>
            <w:r>
              <w:rPr>
                <w:rFonts w:hint="default" w:ascii="Times New Roman" w:hAnsi="Times New Roman" w:eastAsia="宋体" w:cs="Times New Roman"/>
                <w:color w:val="auto"/>
                <w:sz w:val="21"/>
                <w:szCs w:val="21"/>
                <w:highlight w:val="none"/>
                <w:lang w:eastAsia="zh-CN"/>
              </w:rPr>
              <w:t>中</w:t>
            </w:r>
            <w:r>
              <w:rPr>
                <w:rFonts w:hint="default" w:ascii="Times New Roman" w:hAnsi="Times New Roman" w:eastAsia="宋体" w:cs="Times New Roman"/>
                <w:color w:val="auto"/>
                <w:sz w:val="21"/>
                <w:szCs w:val="21"/>
                <w:highlight w:val="none"/>
                <w:lang w:val="en-US" w:eastAsia="zh-CN"/>
              </w:rPr>
              <w:t>COD、</w:t>
            </w:r>
            <w:r>
              <w:rPr>
                <w:rFonts w:hint="eastAsia" w:cs="Times New Roman"/>
                <w:color w:val="auto"/>
                <w:sz w:val="21"/>
                <w:szCs w:val="21"/>
                <w:highlight w:val="none"/>
                <w:lang w:val="en-US" w:eastAsia="zh-CN"/>
              </w:rPr>
              <w:t>NH</w:t>
            </w:r>
            <w:r>
              <w:rPr>
                <w:rFonts w:hint="eastAsia" w:cs="Times New Roman"/>
                <w:color w:val="auto"/>
                <w:sz w:val="21"/>
                <w:szCs w:val="21"/>
                <w:highlight w:val="none"/>
                <w:vertAlign w:val="subscript"/>
                <w:lang w:val="en-US" w:eastAsia="zh-CN"/>
              </w:rPr>
              <w:t>3</w:t>
            </w:r>
            <w:r>
              <w:rPr>
                <w:rFonts w:hint="eastAsia"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lang w:val="en-US" w:eastAsia="zh-CN"/>
              </w:rPr>
              <w:t>TP均</w:t>
            </w:r>
            <w:r>
              <w:rPr>
                <w:rFonts w:hint="default" w:ascii="Times New Roman" w:hAnsi="Times New Roman" w:eastAsia="宋体" w:cs="Times New Roman"/>
                <w:color w:val="auto"/>
                <w:sz w:val="21"/>
                <w:szCs w:val="21"/>
                <w:highlight w:val="none"/>
              </w:rPr>
              <w:t>能够满足《地表水环境质量标准》（GB3838-2002）</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4 \* ROMAN \* MERGEFORMAT </w:instrText>
            </w:r>
            <w:r>
              <w:rPr>
                <w:rFonts w:hint="default" w:ascii="Times New Roman" w:hAnsi="Times New Roman" w:eastAsia="宋体" w:cs="Times New Roman"/>
                <w:color w:val="auto"/>
                <w:sz w:val="21"/>
                <w:szCs w:val="21"/>
                <w:highlight w:val="none"/>
              </w:rPr>
              <w:fldChar w:fldCharType="separate"/>
            </w:r>
            <w:r>
              <w:rPr>
                <w:color w:val="auto"/>
              </w:rPr>
              <w:t>IV</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rPr>
              <w:t>类水质要求</w:t>
            </w:r>
            <w:r>
              <w:rPr>
                <w:rFonts w:hint="eastAsia"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rPr>
              <w:t>目前新乡市正在推进实施《新乡市人民政府关于打赢水污染防治攻坚战的意见》（新政文</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20</w:t>
            </w:r>
            <w:r>
              <w:rPr>
                <w:rFonts w:hint="default" w:ascii="Times New Roman" w:hAnsi="Times New Roman" w:eastAsia="宋体" w:cs="Times New Roman"/>
                <w:color w:val="auto"/>
                <w:kern w:val="0"/>
                <w:sz w:val="21"/>
                <w:szCs w:val="21"/>
                <w:highlight w:val="none"/>
                <w:lang w:val="en-US" w:eastAsia="zh-CN"/>
              </w:rPr>
              <w:t>17</w:t>
            </w:r>
            <w:r>
              <w:rPr>
                <w:rFonts w:hint="default" w:ascii="Times New Roman" w:hAnsi="Times New Roman" w:eastAsia="宋体" w:cs="Times New Roman"/>
                <w:color w:val="auto"/>
                <w:kern w:val="0"/>
                <w:sz w:val="21"/>
                <w:szCs w:val="21"/>
                <w:highlight w:val="none"/>
              </w:rPr>
              <w:t>〕28号）、《新乡市卫河流域水污染防治攻坚战实施方案等11个专项方案》（新环攻坚办</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20</w:t>
            </w:r>
            <w:r>
              <w:rPr>
                <w:rFonts w:hint="default" w:ascii="Times New Roman" w:hAnsi="Times New Roman" w:eastAsia="宋体" w:cs="Times New Roman"/>
                <w:color w:val="auto"/>
                <w:kern w:val="0"/>
                <w:sz w:val="21"/>
                <w:szCs w:val="21"/>
                <w:highlight w:val="none"/>
                <w:lang w:val="en-US" w:eastAsia="zh-CN"/>
              </w:rPr>
              <w:t>17</w:t>
            </w:r>
            <w:r>
              <w:rPr>
                <w:rFonts w:hint="default" w:ascii="Times New Roman" w:hAnsi="Times New Roman" w:eastAsia="宋体" w:cs="Times New Roman"/>
                <w:color w:val="auto"/>
                <w:kern w:val="0"/>
                <w:sz w:val="21"/>
                <w:szCs w:val="21"/>
                <w:highlight w:val="none"/>
              </w:rPr>
              <w:t>〕20号）、《新乡市污水处理厂及配套管网建设与城市黑臭水体整治实施方案》（新环攻坚办</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20</w:t>
            </w:r>
            <w:r>
              <w:rPr>
                <w:rFonts w:hint="default" w:ascii="Times New Roman" w:hAnsi="Times New Roman" w:eastAsia="宋体" w:cs="Times New Roman"/>
                <w:color w:val="auto"/>
                <w:kern w:val="0"/>
                <w:sz w:val="21"/>
                <w:szCs w:val="21"/>
                <w:highlight w:val="none"/>
                <w:lang w:val="en-US" w:eastAsia="zh-CN"/>
              </w:rPr>
              <w:t>17</w:t>
            </w:r>
            <w:r>
              <w:rPr>
                <w:rFonts w:hint="default" w:ascii="Times New Roman" w:hAnsi="Times New Roman" w:eastAsia="宋体" w:cs="Times New Roman"/>
                <w:color w:val="auto"/>
                <w:kern w:val="0"/>
                <w:sz w:val="21"/>
                <w:szCs w:val="21"/>
                <w:highlight w:val="none"/>
              </w:rPr>
              <w:t>〕13号）和《关于印发新乡市202</w:t>
            </w:r>
            <w:r>
              <w:rPr>
                <w:rFonts w:hint="eastAsia"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年大气、水、土壤污染防治攻坚战实施方案的通知》（新环攻坚</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202</w:t>
            </w:r>
            <w:r>
              <w:rPr>
                <w:rFonts w:hint="eastAsia"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w:t>
            </w:r>
            <w:r>
              <w:rPr>
                <w:rFonts w:hint="eastAsia" w:cs="Times New Roman"/>
                <w:color w:val="auto"/>
                <w:kern w:val="0"/>
                <w:sz w:val="21"/>
                <w:szCs w:val="21"/>
                <w:highlight w:val="none"/>
                <w:lang w:val="en-US" w:eastAsia="zh-CN"/>
              </w:rPr>
              <w:t>60</w:t>
            </w:r>
            <w:r>
              <w:rPr>
                <w:rFonts w:hint="default" w:ascii="Times New Roman" w:hAnsi="Times New Roman" w:eastAsia="宋体" w:cs="Times New Roman"/>
                <w:color w:val="auto"/>
                <w:kern w:val="0"/>
                <w:sz w:val="21"/>
                <w:szCs w:val="21"/>
                <w:highlight w:val="none"/>
              </w:rPr>
              <w:t>号），将进一步改善新乡市水环境质量。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声环境质量现状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根据《建设项目环境影响报告表编制技术指南（污染影响类）（试行）》，厂界外周边50米范围内存在声环境保护目标的建设项目，应监测保护目标声环境质量现状并评价达标情况。</w:t>
            </w:r>
            <w:r>
              <w:rPr>
                <w:rFonts w:hint="default" w:ascii="Times New Roman" w:hAnsi="Times New Roman" w:cs="Times New Roman"/>
                <w:color w:val="auto"/>
                <w:sz w:val="21"/>
                <w:szCs w:val="21"/>
                <w:highlight w:val="none"/>
                <w:lang w:eastAsia="zh-CN"/>
              </w:rPr>
              <w:t>根据现场勘查，目前项目厂界外周边</w:t>
            </w:r>
            <w:r>
              <w:rPr>
                <w:rFonts w:hint="default" w:ascii="Times New Roman" w:hAnsi="Times New Roman" w:cs="Times New Roman"/>
                <w:color w:val="auto"/>
                <w:sz w:val="21"/>
                <w:szCs w:val="21"/>
                <w:highlight w:val="none"/>
                <w:lang w:val="en-US" w:eastAsia="zh-CN"/>
              </w:rPr>
              <w:t>50m范围内</w:t>
            </w:r>
            <w:r>
              <w:rPr>
                <w:rFonts w:hint="default" w:ascii="Times New Roman" w:hAnsi="Times New Roman" w:cs="Times New Roman"/>
                <w:color w:val="auto"/>
                <w:sz w:val="21"/>
                <w:szCs w:val="21"/>
                <w:highlight w:val="none"/>
              </w:rPr>
              <w:t>声环境保护目标</w:t>
            </w:r>
            <w:r>
              <w:rPr>
                <w:rFonts w:hint="default" w:ascii="Times New Roman" w:hAnsi="Times New Roman" w:cs="Times New Roman"/>
                <w:color w:val="auto"/>
                <w:sz w:val="21"/>
                <w:szCs w:val="21"/>
                <w:highlight w:val="none"/>
                <w:lang w:val="en-US" w:eastAsia="zh-CN"/>
              </w:rPr>
              <w:t>为南侧25m处的隆府花园小区</w:t>
            </w:r>
            <w:r>
              <w:rPr>
                <w:rFonts w:hint="default" w:ascii="Times New Roman" w:hAnsi="Times New Roman" w:cs="Times New Roman"/>
                <w:color w:val="auto"/>
                <w:sz w:val="21"/>
                <w:szCs w:val="21"/>
                <w:highlight w:val="none"/>
                <w:lang w:eastAsia="zh-CN"/>
              </w:rPr>
              <w:t>，企业委托</w:t>
            </w:r>
            <w:r>
              <w:rPr>
                <w:rFonts w:hint="default" w:ascii="Times New Roman" w:hAnsi="Times New Roman" w:cs="Times New Roman"/>
                <w:color w:val="auto"/>
                <w:sz w:val="21"/>
                <w:szCs w:val="21"/>
                <w:highlight w:val="none"/>
                <w:lang w:val="en-US" w:eastAsia="zh-CN"/>
              </w:rPr>
              <w:t>河南鼎晟监测技术有限公司于2022年3月17日至3月18日对其现状噪声情况进行实测，具体</w:t>
            </w:r>
            <w:r>
              <w:rPr>
                <w:rFonts w:hint="default" w:ascii="Times New Roman" w:hAnsi="Times New Roman" w:cs="Times New Roman"/>
                <w:b w:val="0"/>
                <w:bCs w:val="0"/>
                <w:color w:val="auto"/>
                <w:kern w:val="2"/>
                <w:sz w:val="21"/>
                <w:szCs w:val="21"/>
                <w:highlight w:val="none"/>
                <w:u w:val="none"/>
                <w:lang w:val="en-US" w:eastAsia="zh-CN" w:bidi="ar-SA"/>
              </w:rPr>
              <w:t>监测结果如下：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声环境保护目标现状监测值</w:t>
            </w:r>
          </w:p>
          <w:tbl>
            <w:tblPr>
              <w:tblStyle w:val="22"/>
              <w:tblW w:w="4998" w:type="pct"/>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6"/>
              <w:gridCol w:w="1153"/>
              <w:gridCol w:w="1185"/>
              <w:gridCol w:w="3640"/>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方位</w:t>
                  </w:r>
                </w:p>
              </w:tc>
              <w:tc>
                <w:tcPr>
                  <w:tcW w:w="75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昼间dB（A）</w:t>
                  </w:r>
                </w:p>
              </w:tc>
              <w:tc>
                <w:tcPr>
                  <w:tcW w:w="77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夜间dB（A）</w:t>
                  </w:r>
                </w:p>
              </w:tc>
              <w:tc>
                <w:tcPr>
                  <w:tcW w:w="239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标准值</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隆府花园小区</w:t>
                  </w:r>
                </w:p>
              </w:tc>
              <w:tc>
                <w:tcPr>
                  <w:tcW w:w="75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52~54</w:t>
                  </w:r>
                </w:p>
              </w:tc>
              <w:tc>
                <w:tcPr>
                  <w:tcW w:w="77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41~43</w:t>
                  </w:r>
                </w:p>
              </w:tc>
              <w:tc>
                <w:tcPr>
                  <w:tcW w:w="239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《声环境质量标准》</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（GB3096-2008）2类标准</w:t>
                  </w:r>
                </w:p>
              </w:tc>
            </w:tr>
          </w:tbl>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由上表可知，</w:t>
            </w:r>
            <w:r>
              <w:rPr>
                <w:rFonts w:hint="default" w:ascii="Times New Roman" w:hAnsi="Times New Roman" w:cs="Times New Roman"/>
                <w:color w:val="auto"/>
                <w:sz w:val="21"/>
                <w:szCs w:val="21"/>
                <w:highlight w:val="none"/>
                <w:lang w:eastAsia="zh-CN"/>
              </w:rPr>
              <w:t>项目厂界南侧隆府花园小区（敏感点）声环境质量现状</w:t>
            </w:r>
            <w:r>
              <w:rPr>
                <w:rFonts w:hint="default" w:ascii="Times New Roman" w:hAnsi="Times New Roman" w:cs="Times New Roman"/>
                <w:color w:val="auto"/>
                <w:sz w:val="21"/>
                <w:szCs w:val="21"/>
                <w:highlight w:val="none"/>
              </w:rPr>
              <w:t>能够满足《声环境质量标准》（GB3096-2008）2类标准。</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4、生态环境质量现状</w:t>
            </w:r>
          </w:p>
          <w:p>
            <w:pPr>
              <w:pStyle w:val="28"/>
              <w:keepNext w:val="0"/>
              <w:keepLines w:val="0"/>
              <w:pageBreakBefore w:val="0"/>
              <w:widowControl w:val="0"/>
              <w:numPr>
                <w:ilvl w:val="0"/>
                <w:numId w:val="0"/>
              </w:numPr>
              <w:kinsoku/>
              <w:wordWrap/>
              <w:overflowPunct/>
              <w:topLinePunct w:val="0"/>
              <w:bidi w:val="0"/>
              <w:adjustRightInd/>
              <w:snapToGrid/>
              <w:spacing w:line="360" w:lineRule="auto"/>
              <w:ind w:firstLine="420" w:firstLineChars="200"/>
              <w:jc w:val="both"/>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2"/>
                <w:sz w:val="21"/>
                <w:szCs w:val="21"/>
                <w:highlight w:val="none"/>
                <w:lang w:val="en-US" w:eastAsia="zh-CN" w:bidi="ar-SA"/>
              </w:rPr>
              <w:t>根据调查，评价区域内生态环境主要以人工生态环境为主，主要植被为人工栽培的树木以及农作物，区域内无珍稀野生植被和野生动物。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9" w:hRule="atLeast"/>
          <w:jc w:val="center"/>
        </w:trPr>
        <w:tc>
          <w:tcPr>
            <w:tcW w:w="411" w:type="pct"/>
            <w:noWrap w:val="0"/>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w:t>
            </w:r>
          </w:p>
          <w:p>
            <w:pPr>
              <w:adjustRightInd w:val="0"/>
              <w:snapToGrid w:val="0"/>
              <w:jc w:val="center"/>
              <w:rPr>
                <w:rFonts w:hint="default" w:ascii="Times New Roman" w:hAnsi="Times New Roman" w:cs="Times New Roman"/>
                <w:color w:val="auto"/>
                <w:kern w:val="0"/>
                <w:szCs w:val="21"/>
                <w:highlight w:val="cyan"/>
              </w:rPr>
            </w:pPr>
            <w:r>
              <w:rPr>
                <w:rFonts w:hint="default" w:ascii="Times New Roman" w:hAnsi="Times New Roman" w:cs="Times New Roman"/>
                <w:color w:val="auto"/>
                <w:kern w:val="0"/>
                <w:szCs w:val="21"/>
                <w:highlight w:val="none"/>
              </w:rPr>
              <w:t>目标</w:t>
            </w:r>
          </w:p>
        </w:tc>
        <w:tc>
          <w:tcPr>
            <w:tcW w:w="458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eastAsia="zh-CN"/>
              </w:rPr>
              <w:t>工程利用现有厂区内</w:t>
            </w:r>
            <w:r>
              <w:rPr>
                <w:rFonts w:hint="default" w:ascii="Times New Roman" w:hAnsi="Times New Roman" w:cs="Times New Roman"/>
                <w:color w:val="auto"/>
                <w:kern w:val="0"/>
                <w:szCs w:val="21"/>
                <w:highlight w:val="none"/>
                <w:lang w:val="en-US" w:eastAsia="zh-CN"/>
              </w:rPr>
              <w:t>2#</w:t>
            </w:r>
            <w:r>
              <w:rPr>
                <w:rFonts w:hint="default" w:ascii="Times New Roman" w:hAnsi="Times New Roman" w:cs="Times New Roman"/>
                <w:color w:val="auto"/>
                <w:kern w:val="0"/>
                <w:szCs w:val="21"/>
                <w:highlight w:val="none"/>
                <w:lang w:eastAsia="zh-CN"/>
              </w:rPr>
              <w:t>生产车间进行技术改造，</w:t>
            </w:r>
            <w:r>
              <w:rPr>
                <w:rFonts w:hint="default" w:ascii="Times New Roman" w:hAnsi="Times New Roman" w:cs="Times New Roman"/>
                <w:color w:val="auto"/>
                <w:kern w:val="0"/>
                <w:szCs w:val="21"/>
                <w:highlight w:val="none"/>
              </w:rPr>
              <w:t>根据现场勘查，</w:t>
            </w:r>
            <w:r>
              <w:rPr>
                <w:rFonts w:hint="default" w:ascii="Times New Roman" w:hAnsi="Times New Roman" w:cs="Times New Roman"/>
                <w:color w:val="auto"/>
                <w:kern w:val="0"/>
                <w:szCs w:val="21"/>
                <w:highlight w:val="none"/>
                <w:lang w:eastAsia="zh-CN"/>
              </w:rPr>
              <w:t>工程厂区西侧为河南天佑物流装备服务有限公司；北侧为河南先科之星植物保护有限公司</w:t>
            </w:r>
            <w:r>
              <w:rPr>
                <w:rFonts w:hint="default" w:ascii="Times New Roman" w:hAnsi="Times New Roman" w:cs="Times New Roman"/>
                <w:color w:val="auto"/>
                <w:kern w:val="0"/>
                <w:szCs w:val="21"/>
                <w:highlight w:val="none"/>
              </w:rPr>
              <w:t>；东侧</w:t>
            </w:r>
            <w:r>
              <w:rPr>
                <w:rFonts w:hint="default" w:ascii="Times New Roman" w:hAnsi="Times New Roman" w:cs="Times New Roman"/>
                <w:color w:val="auto"/>
                <w:kern w:val="0"/>
                <w:szCs w:val="21"/>
                <w:highlight w:val="none"/>
                <w:lang w:eastAsia="zh-CN"/>
              </w:rPr>
              <w:t>为新乡莱必泰机械有限公司</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eastAsia="zh-CN"/>
              </w:rPr>
              <w:t>南侧隔路为</w:t>
            </w:r>
            <w:r>
              <w:rPr>
                <w:rFonts w:hint="default" w:ascii="Times New Roman" w:hAnsi="Times New Roman" w:cs="Times New Roman"/>
                <w:color w:val="auto"/>
                <w:kern w:val="0"/>
                <w:szCs w:val="21"/>
                <w:highlight w:val="none"/>
              </w:rPr>
              <w:t>隆府花园小区</w:t>
            </w:r>
            <w:r>
              <w:rPr>
                <w:rFonts w:hint="default" w:ascii="Times New Roman" w:hAnsi="Times New Roman" w:cs="Times New Roman"/>
                <w:color w:val="auto"/>
                <w:kern w:val="0"/>
                <w:szCs w:val="21"/>
                <w:highlight w:val="none"/>
                <w:lang w:eastAsia="zh-CN"/>
              </w:rPr>
              <w:t>住宅楼</w:t>
            </w:r>
            <w:r>
              <w:rPr>
                <w:rFonts w:hint="default" w:ascii="Times New Roman" w:hAnsi="Times New Roman" w:cs="Times New Roman"/>
                <w:color w:val="auto"/>
                <w:kern w:val="0"/>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根据现场调查，项目环境保护目标详见</w:t>
            </w:r>
            <w:r>
              <w:rPr>
                <w:rFonts w:hint="default" w:ascii="Times New Roman" w:hAnsi="Times New Roman" w:cs="Times New Roman"/>
                <w:bCs/>
                <w:color w:val="auto"/>
                <w:kern w:val="0"/>
                <w:szCs w:val="21"/>
                <w:highlight w:val="none"/>
                <w:lang w:eastAsia="zh-CN"/>
              </w:rPr>
              <w:t>下表</w:t>
            </w:r>
            <w:r>
              <w:rPr>
                <w:rFonts w:hint="default" w:ascii="Times New Roman" w:hAnsi="Times New Roman" w:cs="Times New Roman"/>
                <w:bCs/>
                <w:color w:val="auto"/>
                <w:kern w:val="0"/>
                <w:szCs w:val="21"/>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项目主要环境保护目标一览表</w:t>
            </w:r>
          </w:p>
          <w:tbl>
            <w:tblPr>
              <w:tblStyle w:val="22"/>
              <w:tblW w:w="5000" w:type="pct"/>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782"/>
              <w:gridCol w:w="901"/>
              <w:gridCol w:w="1055"/>
              <w:gridCol w:w="2724"/>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环境要素</w:t>
                  </w:r>
                </w:p>
              </w:tc>
              <w:tc>
                <w:tcPr>
                  <w:tcW w:w="1171"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环境保护对象名称</w:t>
                  </w:r>
                </w:p>
              </w:tc>
              <w:tc>
                <w:tcPr>
                  <w:tcW w:w="592"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方位</w:t>
                  </w:r>
                </w:p>
              </w:tc>
              <w:tc>
                <w:tcPr>
                  <w:tcW w:w="693"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距离（m）</w:t>
                  </w:r>
                </w:p>
              </w:tc>
              <w:tc>
                <w:tcPr>
                  <w:tcW w:w="1790"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保护目标及保护等级</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pct"/>
                  <w:vMerge w:val="restart"/>
                  <w:noWrap w:val="0"/>
                  <w:vAlign w:val="center"/>
                </w:tcPr>
                <w:p>
                  <w:pPr>
                    <w:pStyle w:val="37"/>
                    <w:keepNext w:val="0"/>
                    <w:pageBreakBefore w:val="0"/>
                    <w:kinsoku/>
                    <w:wordWrap/>
                    <w:overflowPunct/>
                    <w:topLinePunct w:val="0"/>
                    <w:autoSpaceDE/>
                    <w:autoSpaceDN/>
                    <w:bidi w:val="0"/>
                    <w:adjustRightInd/>
                    <w:snapToGrid/>
                    <w:spacing w:line="320" w:lineRule="exact"/>
                    <w:ind w:left="0" w:right="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环境空气</w:t>
                  </w:r>
                </w:p>
              </w:tc>
              <w:tc>
                <w:tcPr>
                  <w:tcW w:w="1171" w:type="pct"/>
                  <w:noWrap w:val="0"/>
                  <w:vAlign w:val="center"/>
                </w:tcPr>
                <w:p>
                  <w:pPr>
                    <w:keepNext w:val="0"/>
                    <w:keepLines/>
                    <w:pageBreakBefore w:val="0"/>
                    <w:widowControl/>
                    <w:kinsoku/>
                    <w:wordWrap/>
                    <w:overflowPunct/>
                    <w:topLinePunct w:val="0"/>
                    <w:autoSpaceDE/>
                    <w:autoSpaceDN/>
                    <w:bidi w:val="0"/>
                    <w:adjustRightInd/>
                    <w:snapToGrid/>
                    <w:spacing w:line="320" w:lineRule="exact"/>
                    <w:ind w:left="0" w:right="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聂庄村</w:t>
                  </w:r>
                </w:p>
              </w:tc>
              <w:tc>
                <w:tcPr>
                  <w:tcW w:w="592" w:type="pct"/>
                  <w:noWrap w:val="0"/>
                  <w:vAlign w:val="center"/>
                </w:tcPr>
                <w:p>
                  <w:pPr>
                    <w:keepNext w:val="0"/>
                    <w:keepLines/>
                    <w:pageBreakBefore w:val="0"/>
                    <w:widowControl/>
                    <w:kinsoku/>
                    <w:wordWrap/>
                    <w:overflowPunct/>
                    <w:topLinePunct w:val="0"/>
                    <w:autoSpaceDE/>
                    <w:autoSpaceDN/>
                    <w:bidi w:val="0"/>
                    <w:adjustRightInd/>
                    <w:snapToGrid/>
                    <w:spacing w:line="320" w:lineRule="exact"/>
                    <w:ind w:left="0" w:right="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NW</w:t>
                  </w:r>
                </w:p>
              </w:tc>
              <w:tc>
                <w:tcPr>
                  <w:tcW w:w="693" w:type="pct"/>
                  <w:noWrap w:val="0"/>
                  <w:vAlign w:val="center"/>
                </w:tcPr>
                <w:p>
                  <w:pPr>
                    <w:keepNext w:val="0"/>
                    <w:keepLines/>
                    <w:pageBreakBefore w:val="0"/>
                    <w:widowControl/>
                    <w:kinsoku/>
                    <w:wordWrap/>
                    <w:overflowPunct/>
                    <w:topLinePunct w:val="0"/>
                    <w:autoSpaceDE/>
                    <w:autoSpaceDN/>
                    <w:bidi w:val="0"/>
                    <w:adjustRightInd/>
                    <w:snapToGrid/>
                    <w:spacing w:line="320" w:lineRule="exact"/>
                    <w:ind w:left="0" w:right="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400</w:t>
                  </w:r>
                </w:p>
              </w:tc>
              <w:tc>
                <w:tcPr>
                  <w:tcW w:w="1790" w:type="pct"/>
                  <w:vMerge w:val="restart"/>
                  <w:noWrap w:val="0"/>
                  <w:vAlign w:val="center"/>
                </w:tcPr>
                <w:p>
                  <w:pPr>
                    <w:pStyle w:val="37"/>
                    <w:keepNext w:val="0"/>
                    <w:pageBreakBefore w:val="0"/>
                    <w:kinsoku/>
                    <w:wordWrap/>
                    <w:overflowPunct/>
                    <w:topLinePunct w:val="0"/>
                    <w:autoSpaceDE/>
                    <w:autoSpaceDN/>
                    <w:bidi w:val="0"/>
                    <w:adjustRightInd/>
                    <w:snapToGrid/>
                    <w:spacing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rPr>
                    <w:t>《环境空气质量标准》（GB3095-2012）二级</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pct"/>
                  <w:vMerge w:val="continue"/>
                  <w:noWrap w:val="0"/>
                  <w:vAlign w:val="center"/>
                </w:tcPr>
                <w:p>
                  <w:pPr>
                    <w:pStyle w:val="37"/>
                    <w:keepNext w:val="0"/>
                    <w:pageBreakBefore w:val="0"/>
                    <w:kinsoku/>
                    <w:wordWrap/>
                    <w:overflowPunct/>
                    <w:topLinePunct w:val="0"/>
                    <w:autoSpaceDE/>
                    <w:autoSpaceDN/>
                    <w:bidi w:val="0"/>
                    <w:adjustRightInd/>
                    <w:snapToGrid/>
                    <w:spacing w:line="320" w:lineRule="exact"/>
                    <w:ind w:left="0" w:right="0"/>
                    <w:textAlignment w:val="auto"/>
                    <w:rPr>
                      <w:rFonts w:hint="default" w:ascii="Times New Roman" w:hAnsi="Times New Roman" w:cs="Times New Roman"/>
                      <w:color w:val="auto"/>
                      <w:sz w:val="18"/>
                      <w:szCs w:val="18"/>
                      <w:highlight w:val="none"/>
                    </w:rPr>
                  </w:pPr>
                </w:p>
              </w:tc>
              <w:tc>
                <w:tcPr>
                  <w:tcW w:w="1171" w:type="pct"/>
                  <w:noWrap w:val="0"/>
                  <w:vAlign w:val="center"/>
                </w:tcPr>
                <w:p>
                  <w:pPr>
                    <w:keepNext w:val="0"/>
                    <w:keepLines/>
                    <w:pageBreakBefore w:val="0"/>
                    <w:widowControl/>
                    <w:kinsoku/>
                    <w:wordWrap/>
                    <w:overflowPunct/>
                    <w:topLinePunct w:val="0"/>
                    <w:autoSpaceDE/>
                    <w:autoSpaceDN/>
                    <w:bidi w:val="0"/>
                    <w:adjustRightInd/>
                    <w:snapToGrid/>
                    <w:spacing w:line="320" w:lineRule="exact"/>
                    <w:ind w:left="0" w:right="0"/>
                    <w:jc w:val="center"/>
                    <w:textAlignment w:val="auto"/>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黎明社区闫庄新村</w:t>
                  </w:r>
                </w:p>
              </w:tc>
              <w:tc>
                <w:tcPr>
                  <w:tcW w:w="592" w:type="pct"/>
                  <w:noWrap w:val="0"/>
                  <w:vAlign w:val="center"/>
                </w:tcPr>
                <w:p>
                  <w:pPr>
                    <w:keepNext w:val="0"/>
                    <w:keepLines/>
                    <w:pageBreakBefore w:val="0"/>
                    <w:widowControl/>
                    <w:kinsoku/>
                    <w:wordWrap/>
                    <w:overflowPunct/>
                    <w:topLinePunct w:val="0"/>
                    <w:autoSpaceDE/>
                    <w:autoSpaceDN/>
                    <w:bidi w:val="0"/>
                    <w:adjustRightInd/>
                    <w:snapToGrid/>
                    <w:spacing w:line="320" w:lineRule="exact"/>
                    <w:ind w:left="0" w:right="0"/>
                    <w:jc w:val="center"/>
                    <w:textAlignment w:val="auto"/>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SW</w:t>
                  </w:r>
                </w:p>
              </w:tc>
              <w:tc>
                <w:tcPr>
                  <w:tcW w:w="693" w:type="pct"/>
                  <w:noWrap w:val="0"/>
                  <w:vAlign w:val="center"/>
                </w:tcPr>
                <w:p>
                  <w:pPr>
                    <w:keepNext w:val="0"/>
                    <w:keepLines/>
                    <w:pageBreakBefore w:val="0"/>
                    <w:widowControl/>
                    <w:kinsoku/>
                    <w:wordWrap/>
                    <w:overflowPunct/>
                    <w:topLinePunct w:val="0"/>
                    <w:autoSpaceDE/>
                    <w:autoSpaceDN/>
                    <w:bidi w:val="0"/>
                    <w:adjustRightInd/>
                    <w:snapToGrid/>
                    <w:spacing w:line="320" w:lineRule="exact"/>
                    <w:ind w:left="0" w:right="0"/>
                    <w:jc w:val="center"/>
                    <w:textAlignment w:val="auto"/>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175</w:t>
                  </w:r>
                </w:p>
              </w:tc>
              <w:tc>
                <w:tcPr>
                  <w:tcW w:w="1790" w:type="pct"/>
                  <w:vMerge w:val="continue"/>
                  <w:noWrap w:val="0"/>
                  <w:vAlign w:val="center"/>
                </w:tcPr>
                <w:p>
                  <w:pPr>
                    <w:pStyle w:val="37"/>
                    <w:keepNext w:val="0"/>
                    <w:pageBreakBefore w:val="0"/>
                    <w:kinsoku/>
                    <w:wordWrap/>
                    <w:overflowPunct/>
                    <w:topLinePunct w:val="0"/>
                    <w:autoSpaceDE/>
                    <w:autoSpaceDN/>
                    <w:bidi w:val="0"/>
                    <w:adjustRightInd/>
                    <w:snapToGrid/>
                    <w:spacing w:line="320" w:lineRule="exact"/>
                    <w:ind w:left="0" w:right="0"/>
                    <w:jc w:val="center"/>
                    <w:textAlignment w:val="auto"/>
                    <w:rPr>
                      <w:rFonts w:hint="default" w:ascii="Times New Roman" w:hAnsi="Times New Roman" w:cs="Times New Roman"/>
                      <w:color w:val="auto"/>
                      <w:sz w:val="18"/>
                      <w:szCs w:val="18"/>
                      <w:highlight w:val="none"/>
                      <w:lang w:val="en-US"/>
                    </w:rPr>
                  </w:pP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pct"/>
                  <w:vMerge w:val="continue"/>
                  <w:noWrap w:val="0"/>
                  <w:vAlign w:val="center"/>
                </w:tcPr>
                <w:p>
                  <w:pPr>
                    <w:pStyle w:val="37"/>
                    <w:keepNext w:val="0"/>
                    <w:pageBreakBefore w:val="0"/>
                    <w:kinsoku/>
                    <w:wordWrap/>
                    <w:overflowPunct/>
                    <w:topLinePunct w:val="0"/>
                    <w:autoSpaceDE/>
                    <w:autoSpaceDN/>
                    <w:bidi w:val="0"/>
                    <w:adjustRightInd/>
                    <w:snapToGrid/>
                    <w:spacing w:line="320" w:lineRule="exact"/>
                    <w:ind w:left="0" w:right="0"/>
                    <w:textAlignment w:val="auto"/>
                    <w:rPr>
                      <w:rFonts w:hint="default" w:ascii="Times New Roman" w:hAnsi="Times New Roman" w:cs="Times New Roman"/>
                      <w:color w:val="auto"/>
                      <w:sz w:val="18"/>
                      <w:szCs w:val="18"/>
                      <w:highlight w:val="none"/>
                    </w:rPr>
                  </w:pPr>
                </w:p>
              </w:tc>
              <w:tc>
                <w:tcPr>
                  <w:tcW w:w="1171" w:type="pct"/>
                  <w:noWrap w:val="0"/>
                  <w:vAlign w:val="center"/>
                </w:tcPr>
                <w:p>
                  <w:pPr>
                    <w:keepNext w:val="0"/>
                    <w:keepLines/>
                    <w:pageBreakBefore w:val="0"/>
                    <w:widowControl/>
                    <w:kinsoku/>
                    <w:wordWrap/>
                    <w:overflowPunct/>
                    <w:topLinePunct w:val="0"/>
                    <w:autoSpaceDE/>
                    <w:autoSpaceDN/>
                    <w:bidi w:val="0"/>
                    <w:adjustRightInd/>
                    <w:snapToGrid/>
                    <w:spacing w:line="320" w:lineRule="exact"/>
                    <w:ind w:left="0" w:right="0"/>
                    <w:jc w:val="center"/>
                    <w:textAlignment w:val="auto"/>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隆府花园小区</w:t>
                  </w:r>
                </w:p>
              </w:tc>
              <w:tc>
                <w:tcPr>
                  <w:tcW w:w="592" w:type="pct"/>
                  <w:noWrap w:val="0"/>
                  <w:vAlign w:val="center"/>
                </w:tcPr>
                <w:p>
                  <w:pPr>
                    <w:keepNext w:val="0"/>
                    <w:keepLines/>
                    <w:pageBreakBefore w:val="0"/>
                    <w:widowControl/>
                    <w:kinsoku/>
                    <w:wordWrap/>
                    <w:overflowPunct/>
                    <w:topLinePunct w:val="0"/>
                    <w:autoSpaceDE/>
                    <w:autoSpaceDN/>
                    <w:bidi w:val="0"/>
                    <w:adjustRightInd/>
                    <w:snapToGrid/>
                    <w:spacing w:line="320" w:lineRule="exact"/>
                    <w:ind w:left="0" w:right="0"/>
                    <w:jc w:val="center"/>
                    <w:textAlignment w:val="auto"/>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S</w:t>
                  </w:r>
                </w:p>
              </w:tc>
              <w:tc>
                <w:tcPr>
                  <w:tcW w:w="693" w:type="pct"/>
                  <w:noWrap w:val="0"/>
                  <w:vAlign w:val="center"/>
                </w:tcPr>
                <w:p>
                  <w:pPr>
                    <w:keepNext w:val="0"/>
                    <w:keepLines/>
                    <w:pageBreakBefore w:val="0"/>
                    <w:widowControl/>
                    <w:kinsoku/>
                    <w:wordWrap/>
                    <w:overflowPunct/>
                    <w:topLinePunct w:val="0"/>
                    <w:autoSpaceDE/>
                    <w:autoSpaceDN/>
                    <w:bidi w:val="0"/>
                    <w:adjustRightInd/>
                    <w:snapToGrid/>
                    <w:spacing w:line="320" w:lineRule="exact"/>
                    <w:ind w:left="0" w:right="0"/>
                    <w:jc w:val="center"/>
                    <w:textAlignment w:val="auto"/>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25</w:t>
                  </w:r>
                </w:p>
              </w:tc>
              <w:tc>
                <w:tcPr>
                  <w:tcW w:w="1790" w:type="pct"/>
                  <w:vMerge w:val="continue"/>
                  <w:noWrap w:val="0"/>
                  <w:vAlign w:val="center"/>
                </w:tcPr>
                <w:p>
                  <w:pPr>
                    <w:pStyle w:val="37"/>
                    <w:keepNext w:val="0"/>
                    <w:pageBreakBefore w:val="0"/>
                    <w:kinsoku/>
                    <w:wordWrap/>
                    <w:overflowPunct/>
                    <w:topLinePunct w:val="0"/>
                    <w:autoSpaceDE/>
                    <w:autoSpaceDN/>
                    <w:bidi w:val="0"/>
                    <w:adjustRightInd/>
                    <w:snapToGrid/>
                    <w:spacing w:line="320" w:lineRule="exact"/>
                    <w:ind w:left="0" w:right="0"/>
                    <w:jc w:val="center"/>
                    <w:textAlignment w:val="auto"/>
                    <w:rPr>
                      <w:rFonts w:hint="default" w:ascii="Times New Roman" w:hAnsi="Times New Roman" w:cs="Times New Roman"/>
                      <w:color w:val="auto"/>
                      <w:sz w:val="18"/>
                      <w:szCs w:val="18"/>
                      <w:highlight w:val="none"/>
                      <w:lang w:val="en-US"/>
                    </w:rPr>
                  </w:pP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pct"/>
                  <w:vMerge w:val="continue"/>
                  <w:noWrap w:val="0"/>
                  <w:vAlign w:val="center"/>
                </w:tcPr>
                <w:p>
                  <w:pPr>
                    <w:pStyle w:val="37"/>
                    <w:keepNext w:val="0"/>
                    <w:pageBreakBefore w:val="0"/>
                    <w:kinsoku/>
                    <w:wordWrap/>
                    <w:overflowPunct/>
                    <w:topLinePunct w:val="0"/>
                    <w:autoSpaceDE/>
                    <w:autoSpaceDN/>
                    <w:bidi w:val="0"/>
                    <w:adjustRightInd/>
                    <w:snapToGrid/>
                    <w:spacing w:line="320" w:lineRule="exact"/>
                    <w:ind w:left="0" w:right="0"/>
                    <w:textAlignment w:val="auto"/>
                    <w:rPr>
                      <w:rFonts w:hint="default" w:ascii="Times New Roman" w:hAnsi="Times New Roman" w:cs="Times New Roman"/>
                      <w:color w:val="auto"/>
                      <w:sz w:val="18"/>
                      <w:szCs w:val="18"/>
                      <w:highlight w:val="none"/>
                    </w:rPr>
                  </w:pPr>
                </w:p>
              </w:tc>
              <w:tc>
                <w:tcPr>
                  <w:tcW w:w="1171" w:type="pct"/>
                  <w:noWrap w:val="0"/>
                  <w:vAlign w:val="center"/>
                </w:tcPr>
                <w:p>
                  <w:pPr>
                    <w:keepNext w:val="0"/>
                    <w:keepLines/>
                    <w:pageBreakBefore w:val="0"/>
                    <w:widowControl/>
                    <w:kinsoku/>
                    <w:wordWrap/>
                    <w:overflowPunct/>
                    <w:topLinePunct w:val="0"/>
                    <w:autoSpaceDE/>
                    <w:autoSpaceDN/>
                    <w:bidi w:val="0"/>
                    <w:adjustRightInd/>
                    <w:snapToGrid/>
                    <w:spacing w:line="320" w:lineRule="exact"/>
                    <w:ind w:left="0" w:right="0"/>
                    <w:jc w:val="center"/>
                    <w:textAlignment w:val="auto"/>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恒杰世博庄园小区</w:t>
                  </w:r>
                </w:p>
              </w:tc>
              <w:tc>
                <w:tcPr>
                  <w:tcW w:w="592" w:type="pct"/>
                  <w:noWrap w:val="0"/>
                  <w:vAlign w:val="center"/>
                </w:tcPr>
                <w:p>
                  <w:pPr>
                    <w:keepNext w:val="0"/>
                    <w:keepLines/>
                    <w:pageBreakBefore w:val="0"/>
                    <w:widowControl/>
                    <w:kinsoku/>
                    <w:wordWrap/>
                    <w:overflowPunct/>
                    <w:topLinePunct w:val="0"/>
                    <w:autoSpaceDE/>
                    <w:autoSpaceDN/>
                    <w:bidi w:val="0"/>
                    <w:adjustRightInd/>
                    <w:snapToGrid/>
                    <w:spacing w:line="320" w:lineRule="exact"/>
                    <w:ind w:left="0" w:right="0"/>
                    <w:jc w:val="center"/>
                    <w:textAlignment w:val="auto"/>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S</w:t>
                  </w:r>
                </w:p>
              </w:tc>
              <w:tc>
                <w:tcPr>
                  <w:tcW w:w="693" w:type="pct"/>
                  <w:noWrap w:val="0"/>
                  <w:vAlign w:val="center"/>
                </w:tcPr>
                <w:p>
                  <w:pPr>
                    <w:keepNext w:val="0"/>
                    <w:keepLines/>
                    <w:pageBreakBefore w:val="0"/>
                    <w:widowControl/>
                    <w:kinsoku/>
                    <w:wordWrap/>
                    <w:overflowPunct/>
                    <w:topLinePunct w:val="0"/>
                    <w:autoSpaceDE/>
                    <w:autoSpaceDN/>
                    <w:bidi w:val="0"/>
                    <w:adjustRightInd/>
                    <w:snapToGrid/>
                    <w:spacing w:line="320" w:lineRule="exact"/>
                    <w:ind w:left="0" w:right="0"/>
                    <w:jc w:val="center"/>
                    <w:textAlignment w:val="auto"/>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390</w:t>
                  </w:r>
                </w:p>
              </w:tc>
              <w:tc>
                <w:tcPr>
                  <w:tcW w:w="1790" w:type="pct"/>
                  <w:vMerge w:val="continue"/>
                  <w:noWrap w:val="0"/>
                  <w:vAlign w:val="center"/>
                </w:tcPr>
                <w:p>
                  <w:pPr>
                    <w:pStyle w:val="37"/>
                    <w:keepNext w:val="0"/>
                    <w:pageBreakBefore w:val="0"/>
                    <w:kinsoku/>
                    <w:wordWrap/>
                    <w:overflowPunct/>
                    <w:topLinePunct w:val="0"/>
                    <w:autoSpaceDE/>
                    <w:autoSpaceDN/>
                    <w:bidi w:val="0"/>
                    <w:adjustRightInd/>
                    <w:snapToGrid/>
                    <w:spacing w:line="320" w:lineRule="exact"/>
                    <w:ind w:left="0" w:right="0"/>
                    <w:jc w:val="center"/>
                    <w:textAlignment w:val="auto"/>
                    <w:rPr>
                      <w:rFonts w:hint="default" w:ascii="Times New Roman" w:hAnsi="Times New Roman" w:cs="Times New Roman"/>
                      <w:color w:val="auto"/>
                      <w:sz w:val="18"/>
                      <w:szCs w:val="18"/>
                      <w:highlight w:val="none"/>
                      <w:lang w:val="en-US"/>
                    </w:rPr>
                  </w:pP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声环境</w:t>
                  </w:r>
                </w:p>
              </w:tc>
              <w:tc>
                <w:tcPr>
                  <w:tcW w:w="1171" w:type="pct"/>
                  <w:noWrap w:val="0"/>
                  <w:vAlign w:val="center"/>
                </w:tcPr>
                <w:p>
                  <w:pPr>
                    <w:keepNext w:val="0"/>
                    <w:keepLines/>
                    <w:pageBreakBefore w:val="0"/>
                    <w:widowControl/>
                    <w:kinsoku/>
                    <w:wordWrap/>
                    <w:overflowPunct/>
                    <w:topLinePunct w:val="0"/>
                    <w:autoSpaceDE/>
                    <w:autoSpaceDN/>
                    <w:bidi w:val="0"/>
                    <w:adjustRightInd/>
                    <w:snapToGrid/>
                    <w:spacing w:line="320" w:lineRule="exact"/>
                    <w:ind w:left="0" w:leftChars="0" w:right="0" w:rightChars="0"/>
                    <w:jc w:val="center"/>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隆府花园小区</w:t>
                  </w:r>
                </w:p>
              </w:tc>
              <w:tc>
                <w:tcPr>
                  <w:tcW w:w="592" w:type="pct"/>
                  <w:noWrap w:val="0"/>
                  <w:vAlign w:val="center"/>
                </w:tcPr>
                <w:p>
                  <w:pPr>
                    <w:keepNext w:val="0"/>
                    <w:keepLines/>
                    <w:pageBreakBefore w:val="0"/>
                    <w:widowControl/>
                    <w:kinsoku/>
                    <w:wordWrap/>
                    <w:overflowPunct/>
                    <w:topLinePunct w:val="0"/>
                    <w:autoSpaceDE/>
                    <w:autoSpaceDN/>
                    <w:bidi w:val="0"/>
                    <w:adjustRightInd/>
                    <w:snapToGrid/>
                    <w:spacing w:line="320" w:lineRule="exact"/>
                    <w:ind w:left="0" w:leftChars="0" w:right="0" w:rightChars="0"/>
                    <w:jc w:val="center"/>
                    <w:textAlignment w:val="auto"/>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S</w:t>
                  </w:r>
                </w:p>
              </w:tc>
              <w:tc>
                <w:tcPr>
                  <w:tcW w:w="693" w:type="pct"/>
                  <w:noWrap w:val="0"/>
                  <w:vAlign w:val="center"/>
                </w:tcPr>
                <w:p>
                  <w:pPr>
                    <w:keepNext w:val="0"/>
                    <w:keepLines/>
                    <w:pageBreakBefore w:val="0"/>
                    <w:widowControl/>
                    <w:kinsoku/>
                    <w:wordWrap/>
                    <w:overflowPunct/>
                    <w:topLinePunct w:val="0"/>
                    <w:autoSpaceDE/>
                    <w:autoSpaceDN/>
                    <w:bidi w:val="0"/>
                    <w:adjustRightInd/>
                    <w:snapToGrid/>
                    <w:spacing w:line="320" w:lineRule="exact"/>
                    <w:ind w:left="0" w:leftChars="0" w:right="0" w:rightChars="0"/>
                    <w:jc w:val="center"/>
                    <w:textAlignment w:val="auto"/>
                    <w:outlineLvl w:val="9"/>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25</w:t>
                  </w:r>
                </w:p>
              </w:tc>
              <w:tc>
                <w:tcPr>
                  <w:tcW w:w="1790"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《声环境质量标准》（GB3096-2008）</w:t>
                  </w:r>
                  <w:r>
                    <w:rPr>
                      <w:rFonts w:hint="default"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rPr>
                    <w:t>类标准</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地表水</w:t>
                  </w:r>
                  <w:r>
                    <w:rPr>
                      <w:rFonts w:hint="default" w:ascii="Times New Roman" w:hAnsi="Times New Roman" w:cs="Times New Roman"/>
                      <w:color w:val="auto"/>
                      <w:sz w:val="18"/>
                      <w:szCs w:val="18"/>
                      <w:highlight w:val="none"/>
                      <w:lang w:eastAsia="zh-CN"/>
                    </w:rPr>
                    <w:t>环境</w:t>
                  </w:r>
                </w:p>
              </w:tc>
              <w:tc>
                <w:tcPr>
                  <w:tcW w:w="117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东孟姜女河</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S</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1940</w:t>
                  </w:r>
                </w:p>
              </w:tc>
              <w:tc>
                <w:tcPr>
                  <w:tcW w:w="1790" w:type="pct"/>
                  <w:noWrap w:val="0"/>
                  <w:vAlign w:val="center"/>
                </w:tcPr>
                <w:p>
                  <w:pPr>
                    <w:pStyle w:val="37"/>
                    <w:keepNext w:val="0"/>
                    <w:pageBreakBefore w:val="0"/>
                    <w:kinsoku/>
                    <w:wordWrap/>
                    <w:overflowPunct/>
                    <w:topLinePunct w:val="0"/>
                    <w:autoSpaceDE/>
                    <w:autoSpaceDN/>
                    <w:bidi w:val="0"/>
                    <w:adjustRightInd/>
                    <w:snapToGrid/>
                    <w:spacing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《地表水环境质量准》</w:t>
                  </w:r>
                </w:p>
                <w:p>
                  <w:pPr>
                    <w:pStyle w:val="37"/>
                    <w:keepNext w:val="0"/>
                    <w:pageBreakBefore w:val="0"/>
                    <w:kinsoku/>
                    <w:wordWrap/>
                    <w:overflowPunct/>
                    <w:topLinePunct w:val="0"/>
                    <w:autoSpaceDE/>
                    <w:autoSpaceDN/>
                    <w:bidi w:val="0"/>
                    <w:adjustRightInd/>
                    <w:snapToGrid/>
                    <w:spacing w:line="320" w:lineRule="exact"/>
                    <w:ind w:left="0"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（GB3838-2002）</w:t>
                  </w:r>
                  <w:r>
                    <w:rPr>
                      <w:rFonts w:hint="default" w:ascii="Times New Roman" w:hAnsi="Times New Roman" w:cs="Times New Roman"/>
                      <w:color w:val="auto"/>
                      <w:sz w:val="18"/>
                      <w:szCs w:val="18"/>
                      <w:highlight w:val="none"/>
                    </w:rPr>
                    <w:fldChar w:fldCharType="begin"/>
                  </w:r>
                  <w:r>
                    <w:rPr>
                      <w:rFonts w:hint="default" w:ascii="Times New Roman" w:hAnsi="Times New Roman" w:cs="Times New Roman"/>
                      <w:color w:val="auto"/>
                      <w:sz w:val="18"/>
                      <w:szCs w:val="18"/>
                      <w:highlight w:val="none"/>
                    </w:rPr>
                    <w:instrText xml:space="preserve"> = 4 \* ROMAN \* MERGEFORMAT </w:instrText>
                  </w:r>
                  <w:r>
                    <w:rPr>
                      <w:rFonts w:hint="default" w:ascii="Times New Roman" w:hAnsi="Times New Roman" w:cs="Times New Roman"/>
                      <w:color w:val="auto"/>
                      <w:sz w:val="18"/>
                      <w:szCs w:val="18"/>
                      <w:highlight w:val="none"/>
                    </w:rPr>
                    <w:fldChar w:fldCharType="separate"/>
                  </w:r>
                  <w:r>
                    <w:rPr>
                      <w:color w:val="auto"/>
                    </w:rPr>
                    <w:t>IV</w:t>
                  </w:r>
                  <w:r>
                    <w:rPr>
                      <w:rFonts w:hint="default" w:ascii="Times New Roman" w:hAnsi="Times New Roman" w:cs="Times New Roman"/>
                      <w:color w:val="auto"/>
                      <w:sz w:val="18"/>
                      <w:szCs w:val="18"/>
                      <w:highlight w:val="none"/>
                    </w:rPr>
                    <w:fldChar w:fldCharType="end"/>
                  </w:r>
                  <w:r>
                    <w:rPr>
                      <w:rFonts w:hint="default" w:ascii="Times New Roman" w:hAnsi="Times New Roman" w:cs="Times New Roman"/>
                      <w:color w:val="auto"/>
                      <w:sz w:val="18"/>
                      <w:szCs w:val="18"/>
                      <w:highlight w:val="none"/>
                    </w:rPr>
                    <w:t>类</w:t>
                  </w:r>
                </w:p>
              </w:tc>
            </w:tr>
          </w:tbl>
          <w:p>
            <w:pPr>
              <w:autoSpaceDE w:val="0"/>
              <w:autoSpaceDN w:val="0"/>
              <w:adjustRightInd w:val="0"/>
              <w:snapToGrid w:val="0"/>
              <w:spacing w:line="400" w:lineRule="exact"/>
              <w:rPr>
                <w:rFonts w:hint="default" w:ascii="Times New Roman" w:hAnsi="Times New Roman" w:eastAsia="宋体" w:cs="Times New Roman"/>
                <w:color w:val="auto"/>
                <w:kern w:val="0"/>
                <w:szCs w:val="21"/>
                <w:highlight w:val="cyan"/>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41" w:hRule="atLeast"/>
          <w:jc w:val="center"/>
        </w:trPr>
        <w:tc>
          <w:tcPr>
            <w:tcW w:w="411" w:type="pct"/>
            <w:noWrap w:val="0"/>
            <w:tcMar>
              <w:left w:w="28" w:type="dxa"/>
              <w:right w:w="28" w:type="dxa"/>
            </w:tcMar>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物排</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放控</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制标</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准</w:t>
            </w:r>
          </w:p>
        </w:tc>
        <w:tc>
          <w:tcPr>
            <w:tcW w:w="4588" w:type="pct"/>
            <w:noWrap w:val="0"/>
            <w:vAlign w:val="center"/>
          </w:tcPr>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07"/>
              <w:gridCol w:w="1611"/>
              <w:gridCol w:w="30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执行标准名称及级别</w:t>
                  </w:r>
                </w:p>
              </w:tc>
              <w:tc>
                <w:tcPr>
                  <w:tcW w:w="10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项目</w:t>
                  </w:r>
                </w:p>
              </w:tc>
              <w:tc>
                <w:tcPr>
                  <w:tcW w:w="20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lang w:eastAsia="zh-CN"/>
                    </w:rPr>
                    <w:t>《污水综合排放标准》（</w:t>
                  </w:r>
                  <w:r>
                    <w:rPr>
                      <w:rFonts w:hint="default" w:ascii="Times New Roman" w:hAnsi="Times New Roman" w:cs="Times New Roman"/>
                      <w:b w:val="0"/>
                      <w:bCs w:val="0"/>
                      <w:color w:val="auto"/>
                      <w:sz w:val="18"/>
                      <w:szCs w:val="18"/>
                      <w:highlight w:val="none"/>
                      <w:lang w:val="en-US" w:eastAsia="zh-CN"/>
                    </w:rPr>
                    <w:t>GB8978-1996</w:t>
                  </w:r>
                  <w:r>
                    <w:rPr>
                      <w:rFonts w:hint="default" w:ascii="Times New Roman" w:hAnsi="Times New Roman" w:cs="Times New Roman"/>
                      <w:b w:val="0"/>
                      <w:bCs w:val="0"/>
                      <w:color w:val="auto"/>
                      <w:sz w:val="18"/>
                      <w:szCs w:val="18"/>
                      <w:highlight w:val="none"/>
                      <w:lang w:eastAsia="zh-CN"/>
                    </w:rPr>
                    <w:t>）表</w:t>
                  </w:r>
                  <w:r>
                    <w:rPr>
                      <w:rFonts w:hint="default" w:ascii="Times New Roman" w:hAnsi="Times New Roman" w:cs="Times New Roman"/>
                      <w:b w:val="0"/>
                      <w:bCs w:val="0"/>
                      <w:color w:val="auto"/>
                      <w:sz w:val="18"/>
                      <w:szCs w:val="18"/>
                      <w:highlight w:val="none"/>
                      <w:lang w:val="en-US" w:eastAsia="zh-CN"/>
                    </w:rPr>
                    <w:t>4</w:t>
                  </w:r>
                  <w:r>
                    <w:rPr>
                      <w:rFonts w:hint="default" w:ascii="Times New Roman" w:hAnsi="Times New Roman" w:cs="Times New Roman"/>
                      <w:b w:val="0"/>
                      <w:bCs w:val="0"/>
                      <w:color w:val="auto"/>
                      <w:sz w:val="18"/>
                      <w:szCs w:val="18"/>
                      <w:highlight w:val="none"/>
                      <w:lang w:eastAsia="zh-CN"/>
                    </w:rPr>
                    <w:t>三级标准</w:t>
                  </w:r>
                </w:p>
              </w:tc>
              <w:tc>
                <w:tcPr>
                  <w:tcW w:w="10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color w:val="auto"/>
                      <w:sz w:val="18"/>
                      <w:szCs w:val="18"/>
                      <w:highlight w:val="none"/>
                      <w:lang w:val="en-US" w:eastAsia="zh-CN"/>
                    </w:rPr>
                    <w:t>COD</w:t>
                  </w:r>
                </w:p>
              </w:tc>
              <w:tc>
                <w:tcPr>
                  <w:tcW w:w="20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highlight w:val="none"/>
                    </w:rPr>
                  </w:pPr>
                  <w:r>
                    <w:rPr>
                      <w:rFonts w:hint="default" w:ascii="Times New Roman" w:hAnsi="Times New Roman" w:cs="Times New Roman"/>
                      <w:b w:val="0"/>
                      <w:bCs w:val="0"/>
                      <w:color w:val="auto"/>
                      <w:sz w:val="18"/>
                      <w:szCs w:val="18"/>
                      <w:highlight w:val="none"/>
                      <w:lang w:val="en-US" w:eastAsia="zh-CN"/>
                    </w:rPr>
                    <w:t>500</w:t>
                  </w:r>
                  <w:r>
                    <w:rPr>
                      <w:rFonts w:hint="default" w:ascii="Times New Roman" w:hAnsi="Times New Roman" w:eastAsia="宋体" w:cs="Times New Roman"/>
                      <w:color w:val="auto"/>
                      <w:sz w:val="18"/>
                      <w:szCs w:val="18"/>
                      <w:highlight w:val="none"/>
                      <w:lang w:val="en-US" w:eastAsia="zh-CN"/>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p>
              </w:tc>
              <w:tc>
                <w:tcPr>
                  <w:tcW w:w="10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b w:val="0"/>
                      <w:bCs w:val="0"/>
                      <w:color w:val="auto"/>
                      <w:sz w:val="18"/>
                      <w:szCs w:val="18"/>
                      <w:highlight w:val="none"/>
                      <w:lang w:val="en-US" w:eastAsia="zh-CN"/>
                    </w:rPr>
                    <w:t>BOD</w:t>
                  </w:r>
                  <w:r>
                    <w:rPr>
                      <w:rFonts w:hint="default" w:ascii="Times New Roman" w:hAnsi="Times New Roman" w:cs="Times New Roman"/>
                      <w:b w:val="0"/>
                      <w:bCs w:val="0"/>
                      <w:color w:val="auto"/>
                      <w:sz w:val="18"/>
                      <w:szCs w:val="18"/>
                      <w:highlight w:val="none"/>
                      <w:vertAlign w:val="subscript"/>
                      <w:lang w:val="en-US" w:eastAsia="zh-CN"/>
                    </w:rPr>
                    <w:t>5</w:t>
                  </w:r>
                </w:p>
              </w:tc>
              <w:tc>
                <w:tcPr>
                  <w:tcW w:w="20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300</w:t>
                  </w:r>
                  <w:r>
                    <w:rPr>
                      <w:rFonts w:hint="default" w:ascii="Times New Roman" w:hAnsi="Times New Roman" w:eastAsia="宋体" w:cs="Times New Roman"/>
                      <w:color w:val="auto"/>
                      <w:sz w:val="18"/>
                      <w:szCs w:val="18"/>
                      <w:highlight w:val="none"/>
                      <w:lang w:val="en-US" w:eastAsia="zh-CN"/>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19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eastAsia="zh-CN"/>
                    </w:rPr>
                  </w:pPr>
                </w:p>
              </w:tc>
              <w:tc>
                <w:tcPr>
                  <w:tcW w:w="10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SS</w:t>
                  </w:r>
                </w:p>
              </w:tc>
              <w:tc>
                <w:tcPr>
                  <w:tcW w:w="20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rPr>
                    <w:t>400</w:t>
                  </w:r>
                  <w:r>
                    <w:rPr>
                      <w:rFonts w:hint="default" w:ascii="Times New Roman" w:hAnsi="Times New Roman" w:eastAsia="宋体" w:cs="Times New Roman"/>
                      <w:color w:val="auto"/>
                      <w:sz w:val="18"/>
                      <w:szCs w:val="18"/>
                      <w:highlight w:val="none"/>
                      <w:lang w:val="en-US" w:eastAsia="zh-CN"/>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highlight w:val="none"/>
                    </w:rPr>
                  </w:pPr>
                </w:p>
              </w:tc>
              <w:tc>
                <w:tcPr>
                  <w:tcW w:w="10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LAS</w:t>
                  </w:r>
                </w:p>
              </w:tc>
              <w:tc>
                <w:tcPr>
                  <w:tcW w:w="20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20</w:t>
                  </w:r>
                  <w:r>
                    <w:rPr>
                      <w:rFonts w:hint="default" w:ascii="Times New Roman" w:hAnsi="Times New Roman" w:eastAsia="宋体" w:cs="Times New Roman"/>
                      <w:color w:val="auto"/>
                      <w:sz w:val="18"/>
                      <w:szCs w:val="18"/>
                      <w:highlight w:val="none"/>
                      <w:lang w:val="en-US" w:eastAsia="zh-CN"/>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宋体" w:cs="Times New Roman"/>
                      <w:b w:val="0"/>
                      <w:bCs w:val="0"/>
                      <w:color w:val="auto"/>
                      <w:sz w:val="18"/>
                      <w:szCs w:val="18"/>
                      <w:highlight w:val="none"/>
                      <w:lang w:eastAsia="zh-CN"/>
                    </w:rPr>
                  </w:pPr>
                  <w:r>
                    <w:rPr>
                      <w:rFonts w:hint="default" w:ascii="Times New Roman" w:hAnsi="Times New Roman" w:cs="Times New Roman"/>
                      <w:color w:val="auto"/>
                      <w:sz w:val="18"/>
                      <w:szCs w:val="18"/>
                      <w:highlight w:val="none"/>
                      <w:lang w:eastAsia="zh-CN"/>
                    </w:rPr>
                    <w:t>新乡县综合污水处理厂收水标准</w:t>
                  </w:r>
                </w:p>
              </w:tc>
              <w:tc>
                <w:tcPr>
                  <w:tcW w:w="1059" w:type="pct"/>
                  <w:tcBorders>
                    <w:tl2br w:val="nil"/>
                    <w:tr2bl w:val="nil"/>
                  </w:tcBorders>
                  <w:noWrap w:val="0"/>
                  <w:vAlign w:val="center"/>
                </w:tcPr>
                <w:p>
                  <w:pPr>
                    <w:pStyle w:val="65"/>
                    <w:keepNext w:val="0"/>
                    <w:keepLines w:val="0"/>
                    <w:pageBreakBefore w:val="0"/>
                    <w:widowControl w:val="0"/>
                    <w:kinsoku/>
                    <w:wordWrap/>
                    <w:overflowPunct/>
                    <w:topLinePunct w:val="0"/>
                    <w:bidi w:val="0"/>
                    <w:adjustRightInd/>
                    <w:snapToGrid/>
                    <w:spacing w:line="30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COD</w:t>
                  </w:r>
                </w:p>
              </w:tc>
              <w:tc>
                <w:tcPr>
                  <w:tcW w:w="2027" w:type="pct"/>
                  <w:tcBorders>
                    <w:tl2br w:val="nil"/>
                    <w:tr2bl w:val="nil"/>
                  </w:tcBorders>
                  <w:noWrap w:val="0"/>
                  <w:vAlign w:val="center"/>
                </w:tcPr>
                <w:p>
                  <w:pPr>
                    <w:pStyle w:val="65"/>
                    <w:keepNext w:val="0"/>
                    <w:keepLines w:val="0"/>
                    <w:pageBreakBefore w:val="0"/>
                    <w:widowControl w:val="0"/>
                    <w:kinsoku/>
                    <w:wordWrap/>
                    <w:overflowPunct/>
                    <w:topLinePunct w:val="0"/>
                    <w:bidi w:val="0"/>
                    <w:adjustRightInd/>
                    <w:snapToGrid/>
                    <w:spacing w:line="30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400mg/L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宋体" w:cs="Times New Roman"/>
                      <w:b w:val="0"/>
                      <w:bCs w:val="0"/>
                      <w:color w:val="auto"/>
                      <w:sz w:val="18"/>
                      <w:szCs w:val="18"/>
                      <w:highlight w:val="none"/>
                    </w:rPr>
                  </w:pPr>
                </w:p>
              </w:tc>
              <w:tc>
                <w:tcPr>
                  <w:tcW w:w="1059" w:type="pct"/>
                  <w:tcBorders>
                    <w:tl2br w:val="nil"/>
                    <w:tr2bl w:val="nil"/>
                  </w:tcBorders>
                  <w:noWrap w:val="0"/>
                  <w:vAlign w:val="center"/>
                </w:tcPr>
                <w:p>
                  <w:pPr>
                    <w:pStyle w:val="65"/>
                    <w:keepNext w:val="0"/>
                    <w:keepLines w:val="0"/>
                    <w:pageBreakBefore w:val="0"/>
                    <w:widowControl w:val="0"/>
                    <w:kinsoku/>
                    <w:wordWrap/>
                    <w:overflowPunct/>
                    <w:topLinePunct w:val="0"/>
                    <w:bidi w:val="0"/>
                    <w:adjustRightInd/>
                    <w:snapToGrid/>
                    <w:spacing w:line="30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SS</w:t>
                  </w:r>
                </w:p>
              </w:tc>
              <w:tc>
                <w:tcPr>
                  <w:tcW w:w="2027" w:type="pct"/>
                  <w:tcBorders>
                    <w:tl2br w:val="nil"/>
                    <w:tr2bl w:val="nil"/>
                  </w:tcBorders>
                  <w:noWrap w:val="0"/>
                  <w:vAlign w:val="center"/>
                </w:tcPr>
                <w:p>
                  <w:pPr>
                    <w:pStyle w:val="65"/>
                    <w:keepNext w:val="0"/>
                    <w:keepLines w:val="0"/>
                    <w:pageBreakBefore w:val="0"/>
                    <w:widowControl w:val="0"/>
                    <w:kinsoku/>
                    <w:wordWrap/>
                    <w:overflowPunct/>
                    <w:topLinePunct w:val="0"/>
                    <w:bidi w:val="0"/>
                    <w:adjustRightInd/>
                    <w:snapToGrid/>
                    <w:spacing w:line="30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180mg/L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宋体" w:cs="Times New Roman"/>
                      <w:b w:val="0"/>
                      <w:bCs w:val="0"/>
                      <w:color w:val="auto"/>
                      <w:sz w:val="18"/>
                      <w:szCs w:val="18"/>
                      <w:highlight w:val="none"/>
                    </w:rPr>
                  </w:pPr>
                </w:p>
              </w:tc>
              <w:tc>
                <w:tcPr>
                  <w:tcW w:w="1059" w:type="pct"/>
                  <w:tcBorders>
                    <w:tl2br w:val="nil"/>
                    <w:tr2bl w:val="nil"/>
                  </w:tcBorders>
                  <w:noWrap w:val="0"/>
                  <w:vAlign w:val="center"/>
                </w:tcPr>
                <w:p>
                  <w:pPr>
                    <w:pStyle w:val="65"/>
                    <w:keepNext w:val="0"/>
                    <w:keepLines w:val="0"/>
                    <w:pageBreakBefore w:val="0"/>
                    <w:widowControl w:val="0"/>
                    <w:kinsoku/>
                    <w:wordWrap/>
                    <w:overflowPunct/>
                    <w:topLinePunct w:val="0"/>
                    <w:bidi w:val="0"/>
                    <w:adjustRightInd/>
                    <w:snapToGrid/>
                    <w:spacing w:line="30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rPr>
                    <w:t>-N</w:t>
                  </w:r>
                </w:p>
              </w:tc>
              <w:tc>
                <w:tcPr>
                  <w:tcW w:w="2027" w:type="pct"/>
                  <w:tcBorders>
                    <w:tl2br w:val="nil"/>
                    <w:tr2bl w:val="nil"/>
                  </w:tcBorders>
                  <w:noWrap w:val="0"/>
                  <w:vAlign w:val="center"/>
                </w:tcPr>
                <w:p>
                  <w:pPr>
                    <w:pStyle w:val="65"/>
                    <w:keepNext w:val="0"/>
                    <w:keepLines w:val="0"/>
                    <w:pageBreakBefore w:val="0"/>
                    <w:widowControl w:val="0"/>
                    <w:kinsoku/>
                    <w:wordWrap/>
                    <w:overflowPunct/>
                    <w:topLinePunct w:val="0"/>
                    <w:bidi w:val="0"/>
                    <w:adjustRightInd/>
                    <w:snapToGrid/>
                    <w:spacing w:line="30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59mg/L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宋体" w:cs="Times New Roman"/>
                      <w:b w:val="0"/>
                      <w:bCs w:val="0"/>
                      <w:color w:val="auto"/>
                      <w:sz w:val="18"/>
                      <w:szCs w:val="18"/>
                      <w:highlight w:val="none"/>
                    </w:rPr>
                  </w:pPr>
                </w:p>
              </w:tc>
              <w:tc>
                <w:tcPr>
                  <w:tcW w:w="1059" w:type="pct"/>
                  <w:tcBorders>
                    <w:tl2br w:val="nil"/>
                    <w:tr2bl w:val="nil"/>
                  </w:tcBorders>
                  <w:noWrap w:val="0"/>
                  <w:vAlign w:val="center"/>
                </w:tcPr>
                <w:p>
                  <w:pPr>
                    <w:pStyle w:val="65"/>
                    <w:keepNext w:val="0"/>
                    <w:keepLines w:val="0"/>
                    <w:pageBreakBefore w:val="0"/>
                    <w:widowControl w:val="0"/>
                    <w:kinsoku/>
                    <w:wordWrap/>
                    <w:overflowPunct/>
                    <w:topLinePunct w:val="0"/>
                    <w:bidi w:val="0"/>
                    <w:adjustRightInd/>
                    <w:snapToGrid/>
                    <w:spacing w:line="30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TP</w:t>
                  </w:r>
                </w:p>
              </w:tc>
              <w:tc>
                <w:tcPr>
                  <w:tcW w:w="2027" w:type="pct"/>
                  <w:tcBorders>
                    <w:tl2br w:val="nil"/>
                    <w:tr2bl w:val="nil"/>
                  </w:tcBorders>
                  <w:noWrap w:val="0"/>
                  <w:vAlign w:val="center"/>
                </w:tcPr>
                <w:p>
                  <w:pPr>
                    <w:pStyle w:val="65"/>
                    <w:keepNext w:val="0"/>
                    <w:keepLines w:val="0"/>
                    <w:pageBreakBefore w:val="0"/>
                    <w:widowControl w:val="0"/>
                    <w:kinsoku/>
                    <w:wordWrap/>
                    <w:overflowPunct/>
                    <w:topLinePunct w:val="0"/>
                    <w:bidi w:val="0"/>
                    <w:adjustRightInd/>
                    <w:snapToGrid/>
                    <w:spacing w:line="30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4mg/ 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宋体" w:cs="Times New Roman"/>
                      <w:b w:val="0"/>
                      <w:bCs w:val="0"/>
                      <w:color w:val="auto"/>
                      <w:sz w:val="18"/>
                      <w:szCs w:val="18"/>
                      <w:highlight w:val="none"/>
                    </w:rPr>
                  </w:pPr>
                </w:p>
              </w:tc>
              <w:tc>
                <w:tcPr>
                  <w:tcW w:w="1059" w:type="pct"/>
                  <w:tcBorders>
                    <w:tl2br w:val="nil"/>
                    <w:tr2bl w:val="nil"/>
                  </w:tcBorders>
                  <w:noWrap w:val="0"/>
                  <w:vAlign w:val="center"/>
                </w:tcPr>
                <w:p>
                  <w:pPr>
                    <w:pStyle w:val="65"/>
                    <w:keepNext w:val="0"/>
                    <w:keepLines w:val="0"/>
                    <w:pageBreakBefore w:val="0"/>
                    <w:widowControl w:val="0"/>
                    <w:kinsoku/>
                    <w:wordWrap/>
                    <w:overflowPunct/>
                    <w:topLinePunct w:val="0"/>
                    <w:bidi w:val="0"/>
                    <w:adjustRightInd/>
                    <w:snapToGrid/>
                    <w:spacing w:line="30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TN</w:t>
                  </w:r>
                </w:p>
              </w:tc>
              <w:tc>
                <w:tcPr>
                  <w:tcW w:w="2027" w:type="pct"/>
                  <w:tcBorders>
                    <w:tl2br w:val="nil"/>
                    <w:tr2bl w:val="nil"/>
                  </w:tcBorders>
                  <w:noWrap w:val="0"/>
                  <w:vAlign w:val="center"/>
                </w:tcPr>
                <w:p>
                  <w:pPr>
                    <w:pStyle w:val="65"/>
                    <w:keepNext w:val="0"/>
                    <w:keepLines w:val="0"/>
                    <w:pageBreakBefore w:val="0"/>
                    <w:widowControl w:val="0"/>
                    <w:kinsoku/>
                    <w:wordWrap/>
                    <w:overflowPunct/>
                    <w:topLinePunct w:val="0"/>
                    <w:bidi w:val="0"/>
                    <w:adjustRightInd/>
                    <w:snapToGrid/>
                    <w:spacing w:line="300" w:lineRule="exact"/>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70mg/L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2" w:type="pct"/>
                  <w:vMerge w:val="restart"/>
                  <w:tcBorders>
                    <w:tl2br w:val="nil"/>
                    <w:tr2bl w:val="nil"/>
                  </w:tcBorders>
                  <w:noWrap w:val="0"/>
                  <w:vAlign w:val="center"/>
                </w:tcPr>
                <w:p>
                  <w:pPr>
                    <w:keepNext w:val="0"/>
                    <w:keepLines w:val="0"/>
                    <w:pageBreakBefore w:val="0"/>
                    <w:widowControl w:val="0"/>
                    <w:tabs>
                      <w:tab w:val="left" w:pos="600"/>
                    </w:tabs>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《工业企业厂界环境噪声排放标准》（GB12348-2008）</w:t>
                  </w:r>
                  <w:r>
                    <w:rPr>
                      <w:rFonts w:hint="default" w:ascii="Times New Roman" w:hAnsi="Times New Roman" w:eastAsia="宋体" w:cs="Times New Roman"/>
                      <w:b w:val="0"/>
                      <w:bCs w:val="0"/>
                      <w:color w:val="auto"/>
                      <w:sz w:val="18"/>
                      <w:szCs w:val="18"/>
                      <w:highlight w:val="none"/>
                      <w:lang w:val="en-US" w:eastAsia="zh-CN"/>
                    </w:rPr>
                    <w:t>2</w:t>
                  </w:r>
                  <w:r>
                    <w:rPr>
                      <w:rFonts w:hint="default" w:ascii="Times New Roman" w:hAnsi="Times New Roman" w:eastAsia="宋体" w:cs="Times New Roman"/>
                      <w:b w:val="0"/>
                      <w:bCs w:val="0"/>
                      <w:color w:val="auto"/>
                      <w:sz w:val="18"/>
                      <w:szCs w:val="18"/>
                      <w:highlight w:val="none"/>
                    </w:rPr>
                    <w:t>类</w:t>
                  </w:r>
                </w:p>
              </w:tc>
              <w:tc>
                <w:tcPr>
                  <w:tcW w:w="105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厂界噪声</w:t>
                  </w:r>
                </w:p>
              </w:tc>
              <w:tc>
                <w:tcPr>
                  <w:tcW w:w="20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昼间</w:t>
                  </w:r>
                  <w:r>
                    <w:rPr>
                      <w:rFonts w:hint="default" w:ascii="Times New Roman" w:hAnsi="Times New Roman" w:eastAsia="宋体" w:cs="Times New Roman"/>
                      <w:b w:val="0"/>
                      <w:bCs w:val="0"/>
                      <w:color w:val="auto"/>
                      <w:sz w:val="18"/>
                      <w:szCs w:val="18"/>
                      <w:highlight w:val="none"/>
                      <w:lang w:val="en-US" w:eastAsia="zh-CN"/>
                    </w:rPr>
                    <w:t>60</w:t>
                  </w:r>
                  <w:r>
                    <w:rPr>
                      <w:rFonts w:hint="default" w:ascii="Times New Roman" w:hAnsi="Times New Roman" w:eastAsia="宋体" w:cs="Times New Roman"/>
                      <w:b w:val="0"/>
                      <w:bCs w:val="0"/>
                      <w:color w:val="auto"/>
                      <w:sz w:val="18"/>
                      <w:szCs w:val="18"/>
                      <w:highlight w:val="none"/>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highlight w:val="none"/>
                    </w:rPr>
                  </w:pPr>
                </w:p>
              </w:tc>
              <w:tc>
                <w:tcPr>
                  <w:tcW w:w="10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highlight w:val="none"/>
                    </w:rPr>
                  </w:pPr>
                </w:p>
              </w:tc>
              <w:tc>
                <w:tcPr>
                  <w:tcW w:w="20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夜间5</w:t>
                  </w:r>
                  <w:r>
                    <w:rPr>
                      <w:rFonts w:hint="default" w:ascii="Times New Roman" w:hAnsi="Times New Roman" w:eastAsia="宋体" w:cs="Times New Roman"/>
                      <w:b w:val="0"/>
                      <w:bCs w:val="0"/>
                      <w:color w:val="auto"/>
                      <w:sz w:val="18"/>
                      <w:szCs w:val="18"/>
                      <w:highlight w:val="none"/>
                      <w:lang w:val="en-US" w:eastAsia="zh-CN"/>
                    </w:rPr>
                    <w:t>0</w:t>
                  </w:r>
                  <w:r>
                    <w:rPr>
                      <w:rFonts w:hint="default" w:ascii="Times New Roman" w:hAnsi="Times New Roman" w:eastAsia="宋体" w:cs="Times New Roman"/>
                      <w:b w:val="0"/>
                      <w:bCs w:val="0"/>
                      <w:color w:val="auto"/>
                      <w:sz w:val="18"/>
                      <w:szCs w:val="18"/>
                      <w:highlight w:val="none"/>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eastAsia="zh-CN"/>
                    </w:rPr>
                    <w:t>《中华人民共和国固体废物污染环境防治法》（2020年修订）、《一般工业固体废物贮存和填埋污染控制标准》（</w:t>
                  </w:r>
                  <w:r>
                    <w:rPr>
                      <w:rFonts w:hint="default" w:ascii="Times New Roman" w:hAnsi="Times New Roman" w:eastAsia="宋体" w:cs="Times New Roman"/>
                      <w:b w:val="0"/>
                      <w:bCs w:val="0"/>
                      <w:color w:val="auto"/>
                      <w:sz w:val="18"/>
                      <w:szCs w:val="18"/>
                      <w:highlight w:val="none"/>
                      <w:lang w:val="en-US" w:eastAsia="zh-CN"/>
                    </w:rPr>
                    <w:t>GB18599-2020</w:t>
                  </w:r>
                  <w:r>
                    <w:rPr>
                      <w:rFonts w:hint="default" w:ascii="Times New Roman" w:hAnsi="Times New Roman" w:eastAsia="宋体" w:cs="Times New Roman"/>
                      <w:b w:val="0"/>
                      <w:bCs w:val="0"/>
                      <w:color w:val="auto"/>
                      <w:sz w:val="18"/>
                      <w:szCs w:val="18"/>
                      <w:highlight w:val="non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auto"/>
                      <w:sz w:val="18"/>
                      <w:szCs w:val="18"/>
                      <w:highlight w:val="none"/>
                      <w:lang w:eastAsia="zh-CN"/>
                    </w:rPr>
                  </w:pPr>
                  <w:r>
                    <w:rPr>
                      <w:rFonts w:hint="default" w:ascii="Times New Roman" w:hAnsi="Times New Roman" w:cs="Times New Roman"/>
                      <w:color w:val="auto"/>
                      <w:sz w:val="18"/>
                      <w:szCs w:val="18"/>
                      <w:highlight w:val="none"/>
                    </w:rPr>
                    <w:t>《危险废物贮存污染控制标准》（GB18597-2001）及其2013年修改单</w:t>
                  </w:r>
                </w:p>
              </w:tc>
            </w:tr>
          </w:tbl>
          <w:p>
            <w:pPr>
              <w:autoSpaceDE w:val="0"/>
              <w:autoSpaceDN w:val="0"/>
              <w:adjustRightInd w:val="0"/>
              <w:snapToGrid w:val="0"/>
              <w:spacing w:line="400" w:lineRule="exact"/>
              <w:rPr>
                <w:rFonts w:hint="default" w:ascii="Times New Roman" w:hAnsi="Times New Roman" w:cs="Times New Roman"/>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91" w:hRule="atLeast"/>
          <w:jc w:val="center"/>
        </w:trPr>
        <w:tc>
          <w:tcPr>
            <w:tcW w:w="411" w:type="pct"/>
            <w:noWrap w:val="0"/>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总量</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控制</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指标</w:t>
            </w:r>
          </w:p>
        </w:tc>
        <w:tc>
          <w:tcPr>
            <w:tcW w:w="458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rPr>
                <w:rFonts w:hint="eastAsia"/>
                <w:color w:val="auto"/>
              </w:rPr>
            </w:pPr>
            <w:r>
              <w:rPr>
                <w:rFonts w:hint="eastAsia"/>
                <w:color w:val="auto"/>
              </w:rPr>
              <w:t>根据新乡市生态环境局关于转发《河南省生态环境厅关于印发建设项目主要污染物排放总量指标管理工作内部规程的通知》和《新乡市建设项目新增总量指标替代管理指导意见（试行）》的要求，对新增重点污染物（化学需氧量、氨氮、二氧化硫、氮氧化物、挥发性有机物，重金属铅、铬、镉、汞、砷10类）排放量的项目，需要进行总量审核。</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（1）废气污染物总量指标</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left"/>
              <w:textAlignment w:val="auto"/>
              <w:rPr>
                <w:rFonts w:hint="default" w:ascii="Times New Roman" w:hAnsi="Times New Roman" w:cs="Times New Roman"/>
                <w:color w:val="auto"/>
                <w:sz w:val="21"/>
                <w:szCs w:val="21"/>
                <w:highlight w:val="cyan"/>
                <w:lang w:val="en-US" w:eastAsia="zh-CN"/>
              </w:rPr>
            </w:pPr>
            <w:r>
              <w:rPr>
                <w:rFonts w:hint="eastAsia" w:cs="Times New Roman"/>
                <w:color w:val="auto"/>
                <w:sz w:val="21"/>
                <w:szCs w:val="21"/>
                <w:highlight w:val="none"/>
                <w:lang w:val="en-US" w:eastAsia="zh-CN"/>
              </w:rPr>
              <w:t>现有工程和本次技改工程均不涉及颗粒物、二氧化硫、氮氧化物及挥发性有机物排放。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（2）废水污染物总量指标</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20" w:firstLineChars="20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现有工程</w:t>
            </w:r>
            <w:r>
              <w:rPr>
                <w:rFonts w:hint="default" w:ascii="Times New Roman" w:hAnsi="Times New Roman" w:cs="Times New Roman"/>
                <w:color w:val="auto"/>
                <w:sz w:val="21"/>
                <w:szCs w:val="21"/>
                <w:highlight w:val="none"/>
                <w:lang w:val="en-US" w:eastAsia="zh-CN"/>
              </w:rPr>
              <w:t>废水</w:t>
            </w:r>
            <w:r>
              <w:rPr>
                <w:rFonts w:hint="eastAsia" w:cs="Times New Roman"/>
                <w:color w:val="auto"/>
                <w:sz w:val="21"/>
                <w:szCs w:val="21"/>
                <w:highlight w:val="none"/>
                <w:lang w:val="en-US" w:eastAsia="zh-CN"/>
              </w:rPr>
              <w:t>主要为生活污水和生产废水，由于项目环评办理时间较早，办理期间区域内尚未建设污水管网及配套污水处理厂，因此废水均通过处理后用于厂区绿化，现有工程未许可排放总量。根据调查，目前项目所在区域内污水管网及配套污水厂均已建成，现有工程废水目前均通过区域污水管网排入新乡县综合污水处理厂进一步处理，目前现有工程总排口废水实际排放总量为：废水量3159.3105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/a、COD0.6022t/a、NH</w:t>
            </w:r>
            <w:r>
              <w:rPr>
                <w:rFonts w:hint="eastAsia" w:cs="Times New Roman"/>
                <w:color w:val="auto"/>
                <w:sz w:val="21"/>
                <w:szCs w:val="21"/>
                <w:highlight w:val="none"/>
                <w:vertAlign w:val="subscript"/>
                <w:lang w:val="en-US" w:eastAsia="zh-CN"/>
              </w:rPr>
              <w:t>3</w:t>
            </w:r>
            <w:r>
              <w:rPr>
                <w:rFonts w:hint="eastAsia" w:cs="Times New Roman"/>
                <w:color w:val="auto"/>
                <w:sz w:val="21"/>
                <w:szCs w:val="21"/>
                <w:highlight w:val="none"/>
                <w:lang w:val="en-US" w:eastAsia="zh-CN"/>
              </w:rPr>
              <w:t>-N0.0613t/a；</w:t>
            </w:r>
            <w:r>
              <w:rPr>
                <w:rFonts w:hint="eastAsia"/>
                <w:color w:val="auto"/>
                <w:sz w:val="21"/>
                <w:szCs w:val="21"/>
                <w:highlight w:val="none"/>
                <w:lang w:val="en-US" w:eastAsia="zh-CN"/>
              </w:rPr>
              <w:t>排入外环境的量为：废水量</w:t>
            </w:r>
            <w:r>
              <w:rPr>
                <w:rFonts w:hint="eastAsia" w:cs="Times New Roman"/>
                <w:color w:val="auto"/>
                <w:sz w:val="21"/>
                <w:szCs w:val="21"/>
                <w:highlight w:val="none"/>
                <w:lang w:val="en-US" w:eastAsia="zh-CN"/>
              </w:rPr>
              <w:t>3159.3105</w:t>
            </w:r>
            <w:r>
              <w:rPr>
                <w:rFonts w:hint="eastAsia"/>
                <w:color w:val="auto"/>
                <w:sz w:val="21"/>
                <w:szCs w:val="21"/>
                <w:highlight w:val="none"/>
                <w:lang w:val="en-US" w:eastAsia="zh-CN"/>
              </w:rPr>
              <w:t>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/a，COD0.1264t/a、氨氮0.0063t/a。</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val="en-US" w:eastAsia="zh-CN"/>
              </w:rPr>
              <w:t>本次技改工程完成后厂区总排口总排口废水排放量为：废水量1904.1705m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/a，COD0.3896t/a、氨氮0.0424t/a；项目废水经区域污水管网排入</w:t>
            </w:r>
            <w:r>
              <w:rPr>
                <w:rFonts w:hint="eastAsia" w:cs="Times New Roman"/>
                <w:color w:val="auto"/>
                <w:sz w:val="21"/>
                <w:szCs w:val="21"/>
                <w:highlight w:val="none"/>
                <w:lang w:val="en-US" w:eastAsia="zh-CN"/>
              </w:rPr>
              <w:t>新乡县综合污水处理厂进一步处理后</w:t>
            </w:r>
            <w:r>
              <w:rPr>
                <w:rFonts w:hint="eastAsia"/>
                <w:color w:val="auto"/>
                <w:sz w:val="21"/>
                <w:szCs w:val="21"/>
                <w:highlight w:val="none"/>
                <w:lang w:val="en-US" w:eastAsia="zh-CN"/>
              </w:rPr>
              <w:t>，</w:t>
            </w:r>
            <w:r>
              <w:rPr>
                <w:rFonts w:hint="eastAsia" w:ascii="Times New Roman" w:eastAsia="宋体" w:cs="Times New Roman"/>
                <w:color w:val="auto"/>
                <w:kern w:val="2"/>
                <w:sz w:val="21"/>
                <w:szCs w:val="24"/>
                <w:highlight w:val="none"/>
                <w:lang w:val="en-US" w:eastAsia="zh-CN" w:bidi="ar-SA"/>
              </w:rPr>
              <w:t>排放浓度为COD40mg/L，氨氮2mg/L</w:t>
            </w:r>
            <w:r>
              <w:rPr>
                <w:rFonts w:hint="eastAsia"/>
                <w:color w:val="auto"/>
                <w:sz w:val="21"/>
                <w:szCs w:val="21"/>
                <w:highlight w:val="none"/>
                <w:lang w:val="en-US" w:eastAsia="zh-CN"/>
              </w:rPr>
              <w:t>，则排入外环境的量为：废水量1904.1705m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/a，COD0.0762t/a、氨氮0.0038t/a。</w:t>
            </w:r>
          </w:p>
          <w:p>
            <w:pPr>
              <w:pStyle w:val="21"/>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left="0" w:leftChars="0"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本次技改后全厂污染物总量指标</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color w:val="auto"/>
                <w:sz w:val="21"/>
                <w:szCs w:val="21"/>
                <w:lang w:val="en-US" w:eastAsia="zh-CN"/>
              </w:rPr>
            </w:pPr>
            <w:r>
              <w:rPr>
                <w:rFonts w:hint="eastAsia"/>
                <w:color w:val="auto"/>
                <w:sz w:val="21"/>
                <w:szCs w:val="21"/>
                <w:lang w:val="en-US" w:eastAsia="zh-CN"/>
              </w:rPr>
              <w:t>本次技改前后全厂污染物产排情况汇总如下：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技改前后污染物排放情况</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57" w:type="dxa"/>
                <w:bottom w:w="28" w:type="dxa"/>
                <w:right w:w="57" w:type="dxa"/>
              </w:tblCellMar>
            </w:tblPr>
            <w:tblGrid>
              <w:gridCol w:w="474"/>
              <w:gridCol w:w="1518"/>
              <w:gridCol w:w="926"/>
              <w:gridCol w:w="927"/>
              <w:gridCol w:w="927"/>
              <w:gridCol w:w="927"/>
              <w:gridCol w:w="927"/>
              <w:gridCol w:w="9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311" w:type="pct"/>
                  <w:noWrap w:val="0"/>
                  <w:tcMar>
                    <w:left w:w="28" w:type="dxa"/>
                    <w:right w:w="28" w:type="dxa"/>
                  </w:tcMar>
                  <w:vAlign w:val="center"/>
                </w:tcPr>
                <w:p>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项目</w:t>
                  </w:r>
                </w:p>
              </w:tc>
              <w:tc>
                <w:tcPr>
                  <w:tcW w:w="997" w:type="pct"/>
                  <w:noWrap w:val="0"/>
                  <w:tcMar>
                    <w:left w:w="28" w:type="dxa"/>
                    <w:right w:w="28" w:type="dxa"/>
                  </w:tcMar>
                  <w:vAlign w:val="center"/>
                </w:tcPr>
                <w:p>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污染物</w:t>
                  </w:r>
                </w:p>
              </w:tc>
              <w:tc>
                <w:tcPr>
                  <w:tcW w:w="608" w:type="pct"/>
                  <w:noWrap w:val="0"/>
                  <w:tcMar>
                    <w:left w:w="28" w:type="dxa"/>
                    <w:right w:w="28" w:type="dxa"/>
                  </w:tcMar>
                  <w:vAlign w:val="center"/>
                </w:tcPr>
                <w:p>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现有工程</w:t>
                  </w:r>
                </w:p>
                <w:p>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eastAsia="zh-CN"/>
                    </w:rPr>
                    <w:t>实际</w:t>
                  </w:r>
                  <w:r>
                    <w:rPr>
                      <w:rFonts w:hint="default" w:ascii="Times New Roman" w:hAnsi="Times New Roman" w:cs="Times New Roman"/>
                      <w:bCs/>
                      <w:color w:val="auto"/>
                      <w:sz w:val="18"/>
                      <w:szCs w:val="18"/>
                      <w:highlight w:val="none"/>
                    </w:rPr>
                    <w:t>排放量</w:t>
                  </w:r>
                </w:p>
              </w:tc>
              <w:tc>
                <w:tcPr>
                  <w:tcW w:w="609" w:type="pct"/>
                  <w:noWrap w:val="0"/>
                  <w:vAlign w:val="center"/>
                </w:tcPr>
                <w:p>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现有工程</w:t>
                  </w:r>
                </w:p>
                <w:p>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许可排放量</w:t>
                  </w:r>
                </w:p>
              </w:tc>
              <w:tc>
                <w:tcPr>
                  <w:tcW w:w="609" w:type="pct"/>
                  <w:noWrap w:val="0"/>
                  <w:vAlign w:val="center"/>
                </w:tcPr>
                <w:p>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本项目</w:t>
                  </w:r>
                </w:p>
                <w:p>
                  <w:pPr>
                    <w:adjustRightInd w:val="0"/>
                    <w:snapToGrid w:val="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排放量</w:t>
                  </w:r>
                </w:p>
              </w:tc>
              <w:tc>
                <w:tcPr>
                  <w:tcW w:w="609" w:type="pct"/>
                  <w:noWrap w:val="0"/>
                  <w:vAlign w:val="center"/>
                </w:tcPr>
                <w:p>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以新带老</w:t>
                  </w:r>
                </w:p>
                <w:p>
                  <w:pPr>
                    <w:adjustRightInd w:val="0"/>
                    <w:snapToGrid w:val="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削减量</w:t>
                  </w:r>
                </w:p>
              </w:tc>
              <w:tc>
                <w:tcPr>
                  <w:tcW w:w="609" w:type="pct"/>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全厂最终排放量</w:t>
                  </w:r>
                </w:p>
              </w:tc>
              <w:tc>
                <w:tcPr>
                  <w:tcW w:w="644" w:type="pct"/>
                  <w:noWrap w:val="0"/>
                  <w:vAlign w:val="center"/>
                </w:tcPr>
                <w:p>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排放</w:t>
                  </w:r>
                </w:p>
                <w:p>
                  <w:pPr>
                    <w:adjustRightInd w:val="0"/>
                    <w:snapToGrid w:val="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增减量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311" w:type="pct"/>
                  <w:vMerge w:val="restart"/>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bCs/>
                      <w:color w:val="auto"/>
                      <w:sz w:val="18"/>
                      <w:szCs w:val="18"/>
                      <w:highlight w:val="none"/>
                      <w:lang w:eastAsia="zh-CN"/>
                    </w:rPr>
                    <w:t>废水</w:t>
                  </w:r>
                </w:p>
              </w:tc>
              <w:tc>
                <w:tcPr>
                  <w:tcW w:w="997" w:type="pct"/>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bCs/>
                      <w:color w:val="auto"/>
                      <w:sz w:val="18"/>
                      <w:szCs w:val="18"/>
                      <w:highlight w:val="none"/>
                      <w:lang w:eastAsia="zh-CN"/>
                    </w:rPr>
                    <w:t>废水量（</w:t>
                  </w:r>
                  <w:r>
                    <w:rPr>
                      <w:rFonts w:hint="default" w:ascii="Times New Roman" w:hAnsi="Times New Roman" w:cs="Times New Roman"/>
                      <w:bCs/>
                      <w:color w:val="auto"/>
                      <w:sz w:val="18"/>
                      <w:szCs w:val="18"/>
                      <w:highlight w:val="none"/>
                      <w:lang w:val="en-US" w:eastAsia="zh-CN"/>
                    </w:rPr>
                    <w:t>m</w:t>
                  </w:r>
                  <w:r>
                    <w:rPr>
                      <w:rFonts w:hint="default" w:ascii="Times New Roman" w:hAnsi="Times New Roman" w:cs="Times New Roman"/>
                      <w:bCs/>
                      <w:color w:val="auto"/>
                      <w:sz w:val="18"/>
                      <w:szCs w:val="18"/>
                      <w:highlight w:val="none"/>
                      <w:vertAlign w:val="superscript"/>
                      <w:lang w:val="en-US" w:eastAsia="zh-CN"/>
                    </w:rPr>
                    <w:t>3</w:t>
                  </w:r>
                  <w:r>
                    <w:rPr>
                      <w:rFonts w:hint="default" w:ascii="Times New Roman" w:hAnsi="Times New Roman" w:cs="Times New Roman"/>
                      <w:bCs/>
                      <w:color w:val="auto"/>
                      <w:sz w:val="18"/>
                      <w:szCs w:val="18"/>
                      <w:highlight w:val="none"/>
                      <w:lang w:val="en-US" w:eastAsia="zh-CN"/>
                    </w:rPr>
                    <w:t>/a</w:t>
                  </w:r>
                  <w:r>
                    <w:rPr>
                      <w:rFonts w:hint="default" w:ascii="Times New Roman" w:hAnsi="Times New Roman" w:cs="Times New Roman"/>
                      <w:bCs/>
                      <w:color w:val="auto"/>
                      <w:sz w:val="18"/>
                      <w:szCs w:val="18"/>
                      <w:highlight w:val="none"/>
                      <w:lang w:eastAsia="zh-CN"/>
                    </w:rPr>
                    <w:t>）</w:t>
                  </w:r>
                </w:p>
              </w:tc>
              <w:tc>
                <w:tcPr>
                  <w:tcW w:w="608" w:type="pct"/>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color w:val="auto"/>
                      <w:sz w:val="18"/>
                      <w:szCs w:val="18"/>
                      <w:highlight w:val="none"/>
                    </w:rPr>
                    <w:t>3159.3105</w:t>
                  </w:r>
                </w:p>
              </w:tc>
              <w:tc>
                <w:tcPr>
                  <w:tcW w:w="609" w:type="pct"/>
                  <w:noWrap w:val="0"/>
                  <w:vAlign w:val="center"/>
                </w:tcPr>
                <w:p>
                  <w:pPr>
                    <w:adjustRightInd w:val="0"/>
                    <w:snapToGrid w:val="0"/>
                    <w:spacing w:line="276" w:lineRule="auto"/>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0</w:t>
                  </w:r>
                </w:p>
              </w:tc>
              <w:tc>
                <w:tcPr>
                  <w:tcW w:w="609" w:type="pct"/>
                  <w:noWrap w:val="0"/>
                  <w:vAlign w:val="center"/>
                </w:tcPr>
                <w:p>
                  <w:pPr>
                    <w:adjustRightInd w:val="0"/>
                    <w:snapToGrid w:val="0"/>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1904.1705</w:t>
                  </w:r>
                </w:p>
              </w:tc>
              <w:tc>
                <w:tcPr>
                  <w:tcW w:w="609" w:type="pct"/>
                  <w:noWrap w:val="0"/>
                  <w:vAlign w:val="center"/>
                </w:tcPr>
                <w:p>
                  <w:pPr>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color w:val="auto"/>
                      <w:sz w:val="18"/>
                      <w:szCs w:val="18"/>
                      <w:highlight w:val="none"/>
                    </w:rPr>
                    <w:t>3159.3105</w:t>
                  </w:r>
                </w:p>
              </w:tc>
              <w:tc>
                <w:tcPr>
                  <w:tcW w:w="609" w:type="pct"/>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1904.1705</w:t>
                  </w:r>
                </w:p>
              </w:tc>
              <w:tc>
                <w:tcPr>
                  <w:tcW w:w="644" w:type="pct"/>
                  <w:noWrap w:val="0"/>
                  <w:vAlign w:val="center"/>
                </w:tcPr>
                <w:p>
                  <w:pPr>
                    <w:adjustRightInd w:val="0"/>
                    <w:snapToGrid w:val="0"/>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+1904.1705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311" w:type="pct"/>
                  <w:vMerge w:val="continue"/>
                  <w:noWrap w:val="0"/>
                  <w:tcMar>
                    <w:left w:w="28" w:type="dxa"/>
                    <w:right w:w="28" w:type="dxa"/>
                  </w:tcMar>
                  <w:vAlign w:val="center"/>
                </w:tcPr>
                <w:p>
                  <w:pPr>
                    <w:adjustRightInd w:val="0"/>
                    <w:snapToGrid w:val="0"/>
                    <w:jc w:val="center"/>
                    <w:rPr>
                      <w:rFonts w:hint="default" w:ascii="Times New Roman" w:hAnsi="Times New Roman" w:cs="Times New Roman"/>
                      <w:bCs/>
                      <w:color w:val="auto"/>
                      <w:sz w:val="18"/>
                      <w:szCs w:val="18"/>
                      <w:highlight w:val="none"/>
                    </w:rPr>
                  </w:pPr>
                </w:p>
              </w:tc>
              <w:tc>
                <w:tcPr>
                  <w:tcW w:w="997" w:type="pct"/>
                  <w:noWrap w:val="0"/>
                  <w:tcMar>
                    <w:left w:w="28" w:type="dxa"/>
                    <w:right w:w="28" w:type="dxa"/>
                  </w:tcMar>
                  <w:vAlign w:val="center"/>
                </w:tcPr>
                <w:p>
                  <w:pPr>
                    <w:widowControl/>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COD（t/a）</w:t>
                  </w:r>
                </w:p>
              </w:tc>
              <w:tc>
                <w:tcPr>
                  <w:tcW w:w="608" w:type="pct"/>
                  <w:noWrap w:val="0"/>
                  <w:tcMar>
                    <w:left w:w="28"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0.1264</w:t>
                  </w:r>
                </w:p>
              </w:tc>
              <w:tc>
                <w:tcPr>
                  <w:tcW w:w="609" w:type="pct"/>
                  <w:noWrap w:val="0"/>
                  <w:vAlign w:val="center"/>
                </w:tcPr>
                <w:p>
                  <w:pPr>
                    <w:adjustRightInd w:val="0"/>
                    <w:snapToGrid w:val="0"/>
                    <w:spacing w:line="276" w:lineRule="auto"/>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0</w:t>
                  </w:r>
                </w:p>
              </w:tc>
              <w:tc>
                <w:tcPr>
                  <w:tcW w:w="609" w:type="pct"/>
                  <w:noWrap w:val="0"/>
                  <w:vAlign w:val="center"/>
                </w:tcPr>
                <w:p>
                  <w:pPr>
                    <w:adjustRightInd w:val="0"/>
                    <w:snapToGrid w:val="0"/>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0.0762</w:t>
                  </w:r>
                </w:p>
              </w:tc>
              <w:tc>
                <w:tcPr>
                  <w:tcW w:w="927"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0.1264</w:t>
                  </w:r>
                </w:p>
              </w:tc>
              <w:tc>
                <w:tcPr>
                  <w:tcW w:w="927" w:type="dxa"/>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0.0762</w:t>
                  </w:r>
                </w:p>
              </w:tc>
              <w:tc>
                <w:tcPr>
                  <w:tcW w:w="981" w:type="dxa"/>
                  <w:noWrap w:val="0"/>
                  <w:vAlign w:val="center"/>
                </w:tcPr>
                <w:p>
                  <w:pPr>
                    <w:adjustRightInd w:val="0"/>
                    <w:snapToGrid w:val="0"/>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+0.0762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311" w:type="pct"/>
                  <w:vMerge w:val="continue"/>
                  <w:noWrap w:val="0"/>
                  <w:tcMar>
                    <w:left w:w="28" w:type="dxa"/>
                    <w:right w:w="28" w:type="dxa"/>
                  </w:tcMar>
                  <w:vAlign w:val="center"/>
                </w:tcPr>
                <w:p>
                  <w:pPr>
                    <w:adjustRightInd w:val="0"/>
                    <w:snapToGrid w:val="0"/>
                    <w:jc w:val="center"/>
                    <w:rPr>
                      <w:rFonts w:hint="default" w:ascii="Times New Roman" w:hAnsi="Times New Roman" w:cs="Times New Roman"/>
                      <w:bCs/>
                      <w:color w:val="auto"/>
                      <w:sz w:val="18"/>
                      <w:szCs w:val="18"/>
                      <w:highlight w:val="none"/>
                    </w:rPr>
                  </w:pPr>
                </w:p>
              </w:tc>
              <w:tc>
                <w:tcPr>
                  <w:tcW w:w="997" w:type="pct"/>
                  <w:noWrap w:val="0"/>
                  <w:tcMar>
                    <w:left w:w="28" w:type="dxa"/>
                    <w:right w:w="28" w:type="dxa"/>
                  </w:tcMar>
                  <w:vAlign w:val="center"/>
                </w:tcPr>
                <w:p>
                  <w:pPr>
                    <w:widowControl/>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NH</w:t>
                  </w:r>
                  <w:r>
                    <w:rPr>
                      <w:rFonts w:hint="default" w:ascii="Times New Roman" w:hAnsi="Times New Roman" w:cs="Times New Roman"/>
                      <w:color w:val="auto"/>
                      <w:kern w:val="0"/>
                      <w:sz w:val="18"/>
                      <w:szCs w:val="18"/>
                      <w:highlight w:val="none"/>
                      <w:vertAlign w:val="subscript"/>
                      <w:lang w:val="en-US" w:eastAsia="zh-CN"/>
                    </w:rPr>
                    <w:t>3</w:t>
                  </w:r>
                  <w:r>
                    <w:rPr>
                      <w:rFonts w:hint="default" w:ascii="Times New Roman" w:hAnsi="Times New Roman" w:cs="Times New Roman"/>
                      <w:color w:val="auto"/>
                      <w:kern w:val="0"/>
                      <w:sz w:val="18"/>
                      <w:szCs w:val="18"/>
                      <w:highlight w:val="none"/>
                      <w:lang w:val="en-US" w:eastAsia="zh-CN"/>
                    </w:rPr>
                    <w:t>-N（t/a）</w:t>
                  </w:r>
                </w:p>
              </w:tc>
              <w:tc>
                <w:tcPr>
                  <w:tcW w:w="608" w:type="pct"/>
                  <w:noWrap w:val="0"/>
                  <w:tcMar>
                    <w:left w:w="28" w:type="dxa"/>
                    <w:right w:w="28"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0.0063</w:t>
                  </w:r>
                </w:p>
              </w:tc>
              <w:tc>
                <w:tcPr>
                  <w:tcW w:w="609" w:type="pct"/>
                  <w:noWrap w:val="0"/>
                  <w:vAlign w:val="center"/>
                </w:tcPr>
                <w:p>
                  <w:pPr>
                    <w:adjustRightInd w:val="0"/>
                    <w:snapToGrid w:val="0"/>
                    <w:spacing w:line="276" w:lineRule="auto"/>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0</w:t>
                  </w:r>
                </w:p>
              </w:tc>
              <w:tc>
                <w:tcPr>
                  <w:tcW w:w="609" w:type="pct"/>
                  <w:noWrap w:val="0"/>
                  <w:vAlign w:val="center"/>
                </w:tcPr>
                <w:p>
                  <w:pPr>
                    <w:adjustRightInd w:val="0"/>
                    <w:snapToGrid w:val="0"/>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0.0038</w:t>
                  </w:r>
                </w:p>
              </w:tc>
              <w:tc>
                <w:tcPr>
                  <w:tcW w:w="927"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0.0063</w:t>
                  </w:r>
                </w:p>
              </w:tc>
              <w:tc>
                <w:tcPr>
                  <w:tcW w:w="927" w:type="dxa"/>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0.0038</w:t>
                  </w:r>
                </w:p>
              </w:tc>
              <w:tc>
                <w:tcPr>
                  <w:tcW w:w="981" w:type="dxa"/>
                  <w:noWrap w:val="0"/>
                  <w:vAlign w:val="center"/>
                </w:tcPr>
                <w:p>
                  <w:pPr>
                    <w:adjustRightInd w:val="0"/>
                    <w:snapToGrid w:val="0"/>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sz w:val="18"/>
                      <w:szCs w:val="18"/>
                      <w:highlight w:val="none"/>
                      <w:lang w:val="en-US" w:eastAsia="zh-CN"/>
                    </w:rPr>
                    <w:t>+0.0038</w:t>
                  </w:r>
                </w:p>
              </w:tc>
            </w:tr>
          </w:tbl>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综上，本次技改后全厂新增总量控制因子及指标为COD、NH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w:t>
            </w:r>
            <w:r>
              <w:rPr>
                <w:rFonts w:hint="eastAsia" w:cs="Times New Roman"/>
                <w:color w:val="auto"/>
                <w:sz w:val="21"/>
                <w:szCs w:val="21"/>
                <w:highlight w:val="none"/>
                <w:lang w:val="en-US" w:eastAsia="zh-CN"/>
              </w:rPr>
              <w:t>新增总量</w:t>
            </w:r>
            <w:r>
              <w:rPr>
                <w:rFonts w:hint="default" w:ascii="Times New Roman" w:hAnsi="Times New Roman" w:cs="Times New Roman"/>
                <w:color w:val="auto"/>
                <w:sz w:val="21"/>
                <w:szCs w:val="21"/>
                <w:highlight w:val="none"/>
                <w:lang w:val="en-US" w:eastAsia="zh-CN"/>
              </w:rPr>
              <w:t>控制因子及指标为</w:t>
            </w:r>
            <w:r>
              <w:rPr>
                <w:rFonts w:hint="default" w:ascii="Times New Roman" w:hAnsi="Times New Roman" w:eastAsia="宋体" w:cs="Times New Roman"/>
                <w:b w:val="0"/>
                <w:bCs w:val="0"/>
                <w:color w:val="auto"/>
                <w:sz w:val="21"/>
                <w:szCs w:val="21"/>
                <w:highlight w:val="none"/>
              </w:rPr>
              <w:t>COD</w:t>
            </w:r>
            <w:r>
              <w:rPr>
                <w:rFonts w:hint="eastAsia" w:cs="Times New Roman"/>
                <w:b w:val="0"/>
                <w:bCs w:val="0"/>
                <w:color w:val="auto"/>
                <w:sz w:val="21"/>
                <w:szCs w:val="21"/>
                <w:highlight w:val="none"/>
                <w:lang w:val="en-US" w:eastAsia="zh-CN"/>
              </w:rPr>
              <w:t>0.0762</w:t>
            </w:r>
            <w:r>
              <w:rPr>
                <w:rFonts w:hint="default" w:ascii="Times New Roman" w:hAnsi="Times New Roman" w:eastAsia="宋体" w:cs="Times New Roman"/>
                <w:b w:val="0"/>
                <w:bCs w:val="0"/>
                <w:color w:val="auto"/>
                <w:sz w:val="21"/>
                <w:szCs w:val="21"/>
                <w:highlight w:val="none"/>
              </w:rPr>
              <w:t>t/a，NH</w:t>
            </w:r>
            <w:r>
              <w:rPr>
                <w:rFonts w:hint="default" w:ascii="Times New Roman" w:hAnsi="Times New Roman" w:eastAsia="宋体" w:cs="Times New Roman"/>
                <w:b w:val="0"/>
                <w:bCs w:val="0"/>
                <w:color w:val="auto"/>
                <w:sz w:val="21"/>
                <w:szCs w:val="21"/>
                <w:highlight w:val="none"/>
                <w:vertAlign w:val="subscript"/>
              </w:rPr>
              <w:t>3</w:t>
            </w:r>
            <w:r>
              <w:rPr>
                <w:rFonts w:hint="default" w:ascii="Times New Roman" w:hAnsi="Times New Roman" w:eastAsia="宋体" w:cs="Times New Roman"/>
                <w:b w:val="0"/>
                <w:bCs w:val="0"/>
                <w:color w:val="auto"/>
                <w:sz w:val="21"/>
                <w:szCs w:val="21"/>
                <w:highlight w:val="none"/>
              </w:rPr>
              <w:t>-N</w:t>
            </w:r>
            <w:r>
              <w:rPr>
                <w:rFonts w:hint="eastAsia" w:cs="Times New Roman"/>
                <w:b w:val="0"/>
                <w:bCs w:val="0"/>
                <w:color w:val="auto"/>
                <w:sz w:val="21"/>
                <w:szCs w:val="21"/>
                <w:highlight w:val="none"/>
                <w:lang w:val="en-US" w:eastAsia="zh-CN"/>
              </w:rPr>
              <w:t>0.0038</w:t>
            </w:r>
            <w:r>
              <w:rPr>
                <w:rFonts w:hint="default" w:ascii="Times New Roman" w:hAnsi="Times New Roman" w:eastAsia="宋体" w:cs="Times New Roman"/>
                <w:b w:val="0"/>
                <w:bCs w:val="0"/>
                <w:color w:val="auto"/>
                <w:sz w:val="21"/>
                <w:szCs w:val="21"/>
                <w:highlight w:val="none"/>
              </w:rPr>
              <w:t>t/a</w:t>
            </w:r>
            <w:r>
              <w:rPr>
                <w:rFonts w:hint="eastAsia" w:cs="Times New Roman"/>
                <w:color w:val="auto"/>
                <w:sz w:val="21"/>
                <w:szCs w:val="21"/>
                <w:highlight w:val="none"/>
                <w:lang w:val="en-US" w:eastAsia="zh-CN"/>
              </w:rPr>
              <w:t>，拟从</w:t>
            </w:r>
            <w:r>
              <w:rPr>
                <w:rFonts w:hint="default" w:ascii="Times New Roman" w:hAnsi="Times New Roman" w:cs="Times New Roman"/>
                <w:color w:val="auto"/>
                <w:sz w:val="21"/>
                <w:szCs w:val="21"/>
                <w:highlight w:val="none"/>
                <w:lang w:val="en-US" w:eastAsia="zh-CN"/>
              </w:rPr>
              <w:t>平原示范区污水处理厂提标改造产生的减排量剩余量COD12.62876t、氨氮18.49306t</w:t>
            </w:r>
            <w:r>
              <w:rPr>
                <w:rFonts w:hint="eastAsia" w:cs="Times New Roman"/>
                <w:color w:val="auto"/>
                <w:sz w:val="21"/>
                <w:szCs w:val="21"/>
                <w:highlight w:val="none"/>
                <w:lang w:val="en-US" w:eastAsia="zh-CN"/>
              </w:rPr>
              <w:t>中扣除。</w:t>
            </w:r>
          </w:p>
        </w:tc>
      </w:tr>
    </w:tbl>
    <w:p>
      <w:pPr>
        <w:pStyle w:val="18"/>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cyan"/>
        </w:rPr>
        <w:br w:type="page"/>
      </w:r>
      <w:r>
        <w:rPr>
          <w:rFonts w:hint="default" w:ascii="Times New Roman" w:hAnsi="Times New Roman" w:eastAsia="黑体" w:cs="Times New Roman"/>
          <w:snapToGrid w:val="0"/>
          <w:color w:val="auto"/>
          <w:sz w:val="30"/>
          <w:szCs w:val="30"/>
          <w:highlight w:val="none"/>
        </w:rPr>
        <w:t>四、主要环境影响和保护措施</w:t>
      </w:r>
    </w:p>
    <w:tbl>
      <w:tblPr>
        <w:tblStyle w:val="22"/>
        <w:tblW w:w="51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0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22" w:hRule="atLeast"/>
          <w:jc w:val="center"/>
        </w:trPr>
        <w:tc>
          <w:tcPr>
            <w:tcW w:w="434" w:type="pct"/>
            <w:noWrap w:val="0"/>
            <w:tcMar>
              <w:left w:w="28" w:type="dxa"/>
              <w:right w:w="28" w:type="dxa"/>
            </w:tcMar>
            <w:vAlign w:val="center"/>
          </w:tcPr>
          <w:p>
            <w:pPr>
              <w:pStyle w:val="18"/>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施工</w:t>
            </w:r>
          </w:p>
          <w:p>
            <w:pPr>
              <w:pStyle w:val="18"/>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期环</w:t>
            </w:r>
          </w:p>
          <w:p>
            <w:pPr>
              <w:pStyle w:val="18"/>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境保</w:t>
            </w:r>
          </w:p>
          <w:p>
            <w:pPr>
              <w:pStyle w:val="18"/>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护措</w:t>
            </w:r>
          </w:p>
          <w:p>
            <w:pPr>
              <w:pStyle w:val="18"/>
              <w:adjustRightInd w:val="0"/>
              <w:snapToGrid w:val="0"/>
              <w:spacing w:before="0" w:beforeAutospacing="0" w:after="0" w:afterAutospacing="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1"/>
                <w:szCs w:val="21"/>
                <w:highlight w:val="none"/>
              </w:rPr>
              <w:t>施</w:t>
            </w:r>
          </w:p>
        </w:tc>
        <w:tc>
          <w:tcPr>
            <w:tcW w:w="456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firstLine="380" w:firstLineChars="200"/>
              <w:textAlignment w:val="auto"/>
              <w:rPr>
                <w:rFonts w:hint="default" w:ascii="Times New Roman" w:hAnsi="Times New Roman" w:eastAsia="宋体" w:cs="Times New Roman"/>
                <w:bCs/>
                <w:color w:val="auto"/>
                <w:spacing w:val="-10"/>
                <w:szCs w:val="21"/>
                <w:highlight w:val="none"/>
                <w:lang w:val="en-US" w:eastAsia="zh-CN"/>
              </w:rPr>
            </w:pPr>
            <w:r>
              <w:rPr>
                <w:rFonts w:hint="default" w:ascii="Times New Roman" w:hAnsi="Times New Roman" w:cs="Times New Roman"/>
                <w:bCs/>
                <w:color w:val="auto"/>
                <w:spacing w:val="-10"/>
                <w:szCs w:val="21"/>
                <w:highlight w:val="none"/>
                <w:lang w:val="en-US" w:eastAsia="zh-CN"/>
              </w:rPr>
              <w:t>本次技改工程施工期预计3个月，依托现有工程厂区内厂房进行技术改造，</w:t>
            </w:r>
            <w:r>
              <w:rPr>
                <w:rFonts w:hint="default" w:ascii="Times New Roman" w:hAnsi="Times New Roman" w:eastAsia="宋体" w:cs="Times New Roman"/>
                <w:bCs/>
                <w:color w:val="auto"/>
                <w:spacing w:val="-10"/>
                <w:szCs w:val="21"/>
                <w:highlight w:val="none"/>
                <w:lang w:val="en-US" w:eastAsia="zh-CN"/>
              </w:rPr>
              <w:t>后续不再进行大规模土建等施工工程，施工期主要为设备的安装，基本在车间内进行，施工期对项目周围生态环境有轻度和短暂的影响。项目施工期的主要污染环节为施工扬尘、机械噪声、废水和固体废物。</w:t>
            </w:r>
          </w:p>
          <w:p>
            <w:pPr>
              <w:keepNext w:val="0"/>
              <w:keepLines w:val="0"/>
              <w:pageBreakBefore w:val="0"/>
              <w:widowControl w:val="0"/>
              <w:numPr>
                <w:ilvl w:val="0"/>
                <w:numId w:val="16"/>
              </w:numPr>
              <w:kinsoku/>
              <w:wordWrap/>
              <w:overflowPunct/>
              <w:topLinePunct w:val="0"/>
              <w:autoSpaceDE w:val="0"/>
              <w:autoSpaceDN w:val="0"/>
              <w:bidi w:val="0"/>
              <w:adjustRightInd/>
              <w:snapToGrid/>
              <w:spacing w:line="360" w:lineRule="auto"/>
              <w:ind w:left="0" w:leftChars="0" w:firstLine="382" w:firstLineChars="200"/>
              <w:textAlignment w:val="auto"/>
              <w:rPr>
                <w:rFonts w:hint="default" w:ascii="Times New Roman" w:hAnsi="Times New Roman" w:cs="Times New Roman"/>
                <w:b/>
                <w:bCs w:val="0"/>
                <w:color w:val="auto"/>
                <w:spacing w:val="-10"/>
                <w:szCs w:val="21"/>
                <w:highlight w:val="none"/>
                <w:lang w:val="en-US" w:eastAsia="zh-CN"/>
              </w:rPr>
            </w:pPr>
            <w:r>
              <w:rPr>
                <w:rFonts w:hint="default" w:ascii="Times New Roman" w:hAnsi="Times New Roman" w:cs="Times New Roman"/>
                <w:b/>
                <w:bCs w:val="0"/>
                <w:color w:val="auto"/>
                <w:spacing w:val="-10"/>
                <w:szCs w:val="21"/>
                <w:highlight w:val="none"/>
                <w:lang w:val="en-US" w:eastAsia="zh-CN"/>
              </w:rPr>
              <w:t>施工扬尘</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项目施工过程均在车间内进行，厂区及车间地面均已硬化处理，且施工过程不涉及土方运输，因此施工过程几乎无扬尘产生。</w:t>
            </w:r>
          </w:p>
          <w:p>
            <w:pPr>
              <w:keepNext w:val="0"/>
              <w:keepLines w:val="0"/>
              <w:pageBreakBefore w:val="0"/>
              <w:widowControl w:val="0"/>
              <w:numPr>
                <w:ilvl w:val="0"/>
                <w:numId w:val="16"/>
              </w:numPr>
              <w:kinsoku/>
              <w:wordWrap/>
              <w:overflowPunct/>
              <w:topLinePunct w:val="0"/>
              <w:autoSpaceDE w:val="0"/>
              <w:autoSpaceDN w:val="0"/>
              <w:bidi w:val="0"/>
              <w:adjustRightInd/>
              <w:snapToGrid/>
              <w:spacing w:line="360" w:lineRule="auto"/>
              <w:ind w:left="0" w:leftChars="0" w:firstLine="382" w:firstLineChars="200"/>
              <w:textAlignment w:val="auto"/>
              <w:rPr>
                <w:rFonts w:hint="default" w:ascii="Times New Roman" w:hAnsi="Times New Roman" w:cs="Times New Roman"/>
                <w:b/>
                <w:bCs w:val="0"/>
                <w:color w:val="auto"/>
                <w:spacing w:val="-10"/>
                <w:szCs w:val="21"/>
                <w:highlight w:val="none"/>
                <w:lang w:val="en-US" w:eastAsia="zh-CN"/>
              </w:rPr>
            </w:pPr>
            <w:r>
              <w:rPr>
                <w:rFonts w:hint="default" w:ascii="Times New Roman" w:hAnsi="Times New Roman" w:cs="Times New Roman"/>
                <w:b/>
                <w:bCs w:val="0"/>
                <w:color w:val="auto"/>
                <w:spacing w:val="-10"/>
                <w:szCs w:val="21"/>
                <w:highlight w:val="none"/>
                <w:lang w:val="en-US" w:eastAsia="zh-CN"/>
              </w:rPr>
              <w:t>施工废水</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施工期污水以施工人员的日常生活如洗漱、厕所产生生活污水为主，根据建设单位提供的资料，施工高峰期施工人员约为10人，按平均每人每天用水量60L计算，污水排放量按用水量的80%计算，则施工期生活污水排放量约为0.51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/d。废水中主要污染物浓度分别为COD300mg/L、BOD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200mg/L、NH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-N25mg/L。施工废水依托厂区化粪池处理后排入新乡县综合污水处理厂处理后达标排放。</w:t>
            </w:r>
          </w:p>
          <w:p>
            <w:pPr>
              <w:keepNext w:val="0"/>
              <w:keepLines w:val="0"/>
              <w:pageBreakBefore w:val="0"/>
              <w:widowControl w:val="0"/>
              <w:numPr>
                <w:ilvl w:val="0"/>
                <w:numId w:val="16"/>
              </w:numPr>
              <w:kinsoku/>
              <w:wordWrap/>
              <w:overflowPunct/>
              <w:topLinePunct w:val="0"/>
              <w:autoSpaceDE w:val="0"/>
              <w:autoSpaceDN w:val="0"/>
              <w:bidi w:val="0"/>
              <w:adjustRightInd/>
              <w:snapToGrid/>
              <w:spacing w:line="360" w:lineRule="auto"/>
              <w:ind w:left="0" w:leftChars="0" w:firstLine="382" w:firstLineChars="200"/>
              <w:textAlignment w:val="auto"/>
              <w:rPr>
                <w:rFonts w:hint="default" w:ascii="Times New Roman" w:hAnsi="Times New Roman" w:cs="Times New Roman"/>
                <w:b/>
                <w:bCs w:val="0"/>
                <w:color w:val="auto"/>
                <w:spacing w:val="-10"/>
                <w:szCs w:val="21"/>
                <w:highlight w:val="none"/>
                <w:lang w:val="en-US" w:eastAsia="zh-CN"/>
              </w:rPr>
            </w:pPr>
            <w:r>
              <w:rPr>
                <w:rFonts w:hint="default" w:ascii="Times New Roman" w:hAnsi="Times New Roman" w:cs="Times New Roman"/>
                <w:b/>
                <w:bCs w:val="0"/>
                <w:color w:val="auto"/>
                <w:spacing w:val="-10"/>
                <w:szCs w:val="21"/>
                <w:highlight w:val="none"/>
                <w:lang w:val="en-US" w:eastAsia="zh-CN"/>
              </w:rPr>
              <w:t>施工噪声</w:t>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施工期以室内设备安装为主，不涉及大型高噪声施工机械。工程在施工时拟采取以下措施：尽量采用低噪声设备，合理安排施工时间，避免夜间施工，对运输车辆加强管理，压缩施工期的汽车数量及行车密度，控制汽车鸣笛等方式。</w:t>
            </w:r>
          </w:p>
          <w:p>
            <w:pPr>
              <w:keepNext w:val="0"/>
              <w:keepLines w:val="0"/>
              <w:pageBreakBefore w:val="0"/>
              <w:widowControl w:val="0"/>
              <w:numPr>
                <w:ilvl w:val="0"/>
                <w:numId w:val="16"/>
              </w:numPr>
              <w:kinsoku/>
              <w:wordWrap/>
              <w:overflowPunct/>
              <w:topLinePunct w:val="0"/>
              <w:autoSpaceDE w:val="0"/>
              <w:autoSpaceDN w:val="0"/>
              <w:bidi w:val="0"/>
              <w:adjustRightInd/>
              <w:snapToGrid/>
              <w:spacing w:line="360" w:lineRule="auto"/>
              <w:ind w:left="0" w:leftChars="0" w:firstLine="382" w:firstLineChars="200"/>
              <w:textAlignment w:val="auto"/>
              <w:rPr>
                <w:rFonts w:hint="default" w:ascii="Times New Roman" w:hAnsi="Times New Roman" w:cs="Times New Roman"/>
                <w:b/>
                <w:bCs w:val="0"/>
                <w:color w:val="auto"/>
                <w:spacing w:val="-10"/>
                <w:szCs w:val="21"/>
                <w:highlight w:val="none"/>
                <w:lang w:val="en-US" w:eastAsia="zh-CN"/>
              </w:rPr>
            </w:pPr>
            <w:r>
              <w:rPr>
                <w:rFonts w:hint="default" w:ascii="Times New Roman" w:hAnsi="Times New Roman" w:cs="Times New Roman"/>
                <w:b/>
                <w:bCs w:val="0"/>
                <w:color w:val="auto"/>
                <w:spacing w:val="-10"/>
                <w:szCs w:val="21"/>
                <w:highlight w:val="none"/>
                <w:lang w:val="en-US" w:eastAsia="zh-CN"/>
              </w:rPr>
              <w:t>固废废物</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firstLine="380" w:firstLineChars="200"/>
              <w:textAlignment w:val="auto"/>
              <w:rPr>
                <w:rFonts w:hint="default" w:ascii="Times New Roman" w:hAnsi="Times New Roman" w:eastAsia="宋体" w:cs="Times New Roman"/>
                <w:bCs/>
                <w:color w:val="auto"/>
                <w:spacing w:val="-10"/>
                <w:szCs w:val="21"/>
                <w:highlight w:val="none"/>
                <w:lang w:val="en-US" w:eastAsia="zh-CN"/>
              </w:rPr>
            </w:pPr>
            <w:r>
              <w:rPr>
                <w:rFonts w:hint="default" w:ascii="Times New Roman" w:hAnsi="Times New Roman" w:cs="Times New Roman"/>
                <w:bCs/>
                <w:color w:val="auto"/>
                <w:spacing w:val="-10"/>
                <w:szCs w:val="21"/>
                <w:highlight w:val="none"/>
                <w:lang w:val="en-US" w:eastAsia="zh-CN"/>
              </w:rPr>
              <w:t>施工期产生的固体废物主要有建筑垃圾和生活垃圾。建筑施工期产生的建筑垃圾主要废弃建材及边角废料等，分类收集并尽可能的回收再利用，实现资源化利用，不能回收利用的则及时清理出施工现场，按照地方管理要求运送至统一处置场地。生活垃圾经袋装收集后暂存于垃圾收集站，统一交由环卫部门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pct"/>
            <w:noWrap w:val="0"/>
            <w:tcMar>
              <w:left w:w="28" w:type="dxa"/>
              <w:right w:w="28" w:type="dxa"/>
            </w:tcMar>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措施</w:t>
            </w:r>
          </w:p>
        </w:tc>
        <w:tc>
          <w:tcPr>
            <w:tcW w:w="4565" w:type="pct"/>
            <w:noWrap w:val="0"/>
            <w:vAlign w:val="top"/>
          </w:tcPr>
          <w:p>
            <w:pPr>
              <w:pStyle w:val="2"/>
              <w:keepNext/>
              <w:keepLines w:val="0"/>
              <w:pageBreakBefore w:val="0"/>
              <w:widowControl w:val="0"/>
              <w:numPr>
                <w:ilvl w:val="0"/>
                <w:numId w:val="0"/>
              </w:numPr>
              <w:kinsoku/>
              <w:wordWrap/>
              <w:overflowPunct w:val="0"/>
              <w:topLinePunct w:val="0"/>
              <w:autoSpaceDE/>
              <w:autoSpaceDN/>
              <w:bidi w:val="0"/>
              <w:adjustRightInd/>
              <w:snapToGrid/>
              <w:spacing w:before="0" w:after="0" w:line="360" w:lineRule="auto"/>
              <w:ind w:firstLine="422"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1、废水</w:t>
            </w:r>
          </w:p>
          <w:p>
            <w:pPr>
              <w:keepLines w:val="0"/>
              <w:pageBreakBefore w:val="0"/>
              <w:widowControl w:val="0"/>
              <w:kinsoku/>
              <w:wordWrap/>
              <w:topLinePunct w:val="0"/>
              <w:autoSpaceDE w:val="0"/>
              <w:autoSpaceDN w:val="0"/>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cs="Times New Roman"/>
                <w:b w:val="0"/>
                <w:bCs w:val="0"/>
                <w:color w:val="auto"/>
                <w:kern w:val="0"/>
                <w:sz w:val="21"/>
                <w:szCs w:val="21"/>
                <w:highlight w:val="none"/>
                <w:lang w:eastAsia="zh-CN"/>
              </w:rPr>
              <w:t>由于本次技改后产品生产规模发生变化，同时技改后新增切割、粗磨、精磨等工序，因此技改后生产用水情况均发生变化，具体废水产排情况如下：</w:t>
            </w:r>
          </w:p>
          <w:p>
            <w:pPr>
              <w:keepLines w:val="0"/>
              <w:pageBreakBefore w:val="0"/>
              <w:widowControl w:val="0"/>
              <w:numPr>
                <w:ilvl w:val="0"/>
                <w:numId w:val="17"/>
              </w:numPr>
              <w:kinsoku/>
              <w:wordWrap/>
              <w:topLinePunct w:val="0"/>
              <w:autoSpaceDE w:val="0"/>
              <w:autoSpaceDN w:val="0"/>
              <w:bidi w:val="0"/>
              <w:adjustRightInd/>
              <w:snapToGrid/>
              <w:spacing w:line="360" w:lineRule="auto"/>
              <w:ind w:firstLine="422" w:firstLineChars="200"/>
              <w:jc w:val="left"/>
              <w:textAlignment w:val="auto"/>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生产用水产排情况</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jc w:val="both"/>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fldChar w:fldCharType="begin"/>
            </w:r>
            <w:r>
              <w:rPr>
                <w:rFonts w:hint="default" w:ascii="Times New Roman" w:hAnsi="Times New Roman" w:cs="Times New Roman"/>
                <w:b/>
                <w:bCs/>
                <w:color w:val="auto"/>
                <w:sz w:val="21"/>
                <w:szCs w:val="21"/>
                <w:highlight w:val="none"/>
                <w:lang w:val="en-US" w:eastAsia="zh-CN"/>
              </w:rPr>
              <w:instrText xml:space="preserve"> = 1 \* GB3 \* MERGEFORMAT </w:instrText>
            </w:r>
            <w:r>
              <w:rPr>
                <w:rFonts w:hint="default" w:ascii="Times New Roman" w:hAnsi="Times New Roman" w:cs="Times New Roman"/>
                <w:b/>
                <w:bCs/>
                <w:color w:val="auto"/>
                <w:sz w:val="21"/>
                <w:szCs w:val="21"/>
                <w:highlight w:val="none"/>
                <w:lang w:val="en-US" w:eastAsia="zh-CN"/>
              </w:rPr>
              <w:fldChar w:fldCharType="separate"/>
            </w:r>
            <w:r>
              <w:rPr>
                <w:rFonts w:hint="default" w:ascii="Times New Roman" w:hAnsi="Times New Roman" w:cs="Times New Roman"/>
                <w:b/>
                <w:bCs/>
                <w:color w:val="auto"/>
                <w:sz w:val="21"/>
                <w:szCs w:val="21"/>
                <w:highlight w:val="none"/>
              </w:rPr>
              <w:t>①</w:t>
            </w:r>
            <w:r>
              <w:rPr>
                <w:rFonts w:hint="default" w:ascii="Times New Roman" w:hAnsi="Times New Roman" w:cs="Times New Roman"/>
                <w:b/>
                <w:bCs/>
                <w:color w:val="auto"/>
                <w:sz w:val="21"/>
                <w:szCs w:val="21"/>
                <w:highlight w:val="none"/>
                <w:lang w:val="en-US" w:eastAsia="zh-CN"/>
              </w:rPr>
              <w:fldChar w:fldCharType="end"/>
            </w:r>
            <w:r>
              <w:rPr>
                <w:rFonts w:hint="default" w:ascii="Times New Roman" w:hAnsi="Times New Roman" w:cs="Times New Roman"/>
                <w:b/>
                <w:bCs/>
                <w:color w:val="auto"/>
                <w:sz w:val="21"/>
                <w:szCs w:val="21"/>
                <w:highlight w:val="none"/>
                <w:lang w:val="en-US" w:eastAsia="zh-CN"/>
              </w:rPr>
              <w:t>切割</w:t>
            </w:r>
            <w:r>
              <w:rPr>
                <w:rFonts w:hint="eastAsia" w:cs="Times New Roman"/>
                <w:b/>
                <w:bCs/>
                <w:color w:val="auto"/>
                <w:sz w:val="21"/>
                <w:szCs w:val="21"/>
                <w:highlight w:val="none"/>
                <w:lang w:val="en-US" w:eastAsia="zh-CN"/>
              </w:rPr>
              <w:t>、磨边、粗磨、精磨</w:t>
            </w:r>
            <w:r>
              <w:rPr>
                <w:rFonts w:hint="default" w:ascii="Times New Roman" w:hAnsi="Times New Roman" w:cs="Times New Roman"/>
                <w:b/>
                <w:bCs/>
                <w:color w:val="auto"/>
                <w:sz w:val="21"/>
                <w:szCs w:val="21"/>
                <w:highlight w:val="none"/>
                <w:lang w:val="en-US" w:eastAsia="zh-CN"/>
              </w:rPr>
              <w:t>工序</w:t>
            </w:r>
            <w:r>
              <w:rPr>
                <w:rFonts w:hint="eastAsia" w:cs="Times New Roman"/>
                <w:b/>
                <w:bCs/>
                <w:color w:val="auto"/>
                <w:sz w:val="21"/>
                <w:szCs w:val="21"/>
                <w:highlight w:val="none"/>
                <w:lang w:val="en-US" w:eastAsia="zh-CN"/>
              </w:rPr>
              <w:t>冲洗</w:t>
            </w:r>
            <w:r>
              <w:rPr>
                <w:rFonts w:hint="default" w:ascii="Times New Roman" w:hAnsi="Times New Roman" w:cs="Times New Roman"/>
                <w:b/>
                <w:bCs/>
                <w:color w:val="auto"/>
                <w:sz w:val="21"/>
                <w:szCs w:val="21"/>
                <w:highlight w:val="none"/>
                <w:lang w:val="en-US" w:eastAsia="zh-CN"/>
              </w:rPr>
              <w:t>用水</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0" w:firstLineChars="200"/>
              <w:textAlignment w:val="auto"/>
              <w:rPr>
                <w:rFonts w:hint="eastAsia" w:cs="Times New Roman"/>
                <w:bCs/>
                <w:color w:val="auto"/>
                <w:kern w:val="0"/>
                <w:szCs w:val="21"/>
                <w:highlight w:val="none"/>
                <w:lang w:eastAsia="zh-CN"/>
              </w:rPr>
            </w:pPr>
            <w:r>
              <w:rPr>
                <w:rFonts w:hint="eastAsia" w:cs="Times New Roman"/>
                <w:color w:val="auto"/>
                <w:sz w:val="21"/>
                <w:szCs w:val="21"/>
                <w:highlight w:val="none"/>
                <w:lang w:val="en-US" w:eastAsia="zh-CN"/>
              </w:rPr>
              <w:t>工程</w:t>
            </w:r>
            <w:r>
              <w:rPr>
                <w:rFonts w:hint="default" w:ascii="Times New Roman" w:hAnsi="Times New Roman" w:cs="Times New Roman"/>
                <w:bCs/>
                <w:color w:val="auto"/>
                <w:kern w:val="0"/>
                <w:szCs w:val="21"/>
                <w:highlight w:val="none"/>
                <w:lang w:eastAsia="zh-CN"/>
              </w:rPr>
              <w:t>下料、磨边、粗磨、精磨</w:t>
            </w:r>
            <w:r>
              <w:rPr>
                <w:rFonts w:hint="eastAsia" w:cs="Times New Roman"/>
                <w:bCs/>
                <w:color w:val="auto"/>
                <w:kern w:val="0"/>
                <w:szCs w:val="21"/>
                <w:highlight w:val="none"/>
                <w:lang w:eastAsia="zh-CN"/>
              </w:rPr>
              <w:t>等冷加工</w:t>
            </w:r>
            <w:r>
              <w:rPr>
                <w:rFonts w:hint="default" w:ascii="Times New Roman" w:hAnsi="Times New Roman" w:cs="Times New Roman"/>
                <w:bCs/>
                <w:color w:val="auto"/>
                <w:kern w:val="0"/>
                <w:szCs w:val="21"/>
                <w:highlight w:val="none"/>
                <w:lang w:eastAsia="zh-CN"/>
              </w:rPr>
              <w:t>工序</w:t>
            </w:r>
            <w:r>
              <w:rPr>
                <w:rFonts w:hint="eastAsia" w:cs="Times New Roman"/>
                <w:bCs/>
                <w:color w:val="auto"/>
                <w:kern w:val="0"/>
                <w:szCs w:val="21"/>
                <w:highlight w:val="none"/>
                <w:lang w:eastAsia="zh-CN"/>
              </w:rPr>
              <w:t>均通过各设备配套冲洗水系统对加工面进行不断冲洗，冲洗后产生的废水经各设备下方收集槽收集并过滤后，排入现有</w:t>
            </w:r>
            <w:r>
              <w:rPr>
                <w:rFonts w:hint="eastAsia" w:cs="Times New Roman"/>
                <w:bCs/>
                <w:color w:val="auto"/>
                <w:kern w:val="0"/>
                <w:szCs w:val="21"/>
                <w:highlight w:val="none"/>
                <w:lang w:val="en-US" w:eastAsia="zh-CN"/>
              </w:rPr>
              <w:t>1座72m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eastAsia="zh-CN"/>
              </w:rPr>
              <w:t>沉淀池进行沉淀处理后，循环使用。根据企业提供设备参数，工程</w:t>
            </w:r>
            <w:r>
              <w:rPr>
                <w:rFonts w:hint="default" w:ascii="Times New Roman" w:hAnsi="Times New Roman" w:cs="Times New Roman"/>
                <w:bCs/>
                <w:color w:val="auto"/>
                <w:kern w:val="0"/>
                <w:szCs w:val="21"/>
                <w:highlight w:val="none"/>
                <w:lang w:eastAsia="zh-CN"/>
              </w:rPr>
              <w:t>下料、磨边、粗磨、精磨</w:t>
            </w:r>
            <w:r>
              <w:rPr>
                <w:rFonts w:hint="eastAsia" w:cs="Times New Roman"/>
                <w:bCs/>
                <w:color w:val="auto"/>
                <w:kern w:val="0"/>
                <w:szCs w:val="21"/>
                <w:highlight w:val="none"/>
                <w:lang w:eastAsia="zh-CN"/>
              </w:rPr>
              <w:t>等冷加工各工序冲洗用水、排水情况如下：</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jc w:val="both"/>
              <w:textAlignment w:val="auto"/>
              <w:rPr>
                <w:rFonts w:hint="default" w:ascii="Times New Roman" w:hAnsi="Times New Roman" w:cs="Times New Roman"/>
                <w:color w:val="auto"/>
                <w:sz w:val="21"/>
                <w:szCs w:val="21"/>
                <w:highlight w:val="none"/>
                <w:lang w:val="en-US" w:eastAsia="zh-CN"/>
              </w:rPr>
            </w:pPr>
            <w:r>
              <w:rPr>
                <w:rFonts w:hint="eastAsia" w:cs="Times New Roman"/>
                <w:b/>
                <w:bCs/>
                <w:color w:val="auto"/>
                <w:sz w:val="21"/>
                <w:szCs w:val="21"/>
                <w:highlight w:val="none"/>
                <w:lang w:val="en-US" w:eastAsia="zh-CN"/>
              </w:rPr>
              <w:t>切割工序冲洗废水：</w:t>
            </w:r>
            <w:r>
              <w:rPr>
                <w:rFonts w:hint="default" w:ascii="Times New Roman" w:hAnsi="Times New Roman" w:cs="Times New Roman"/>
                <w:color w:val="auto"/>
                <w:sz w:val="21"/>
                <w:szCs w:val="21"/>
                <w:highlight w:val="none"/>
                <w:lang w:val="en-US" w:eastAsia="zh-CN"/>
              </w:rPr>
              <w:t>切割工序设备配套冲洗水流量约为1.5L/min，共设置2台内圆切割机，每台设备每天工作时间按照8h计算，年工作时间按285天计，则切割工序冲洗用水量为1.44m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/d（410.4m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/a），损耗量按照10%计，</w:t>
            </w:r>
            <w:r>
              <w:rPr>
                <w:rFonts w:hint="eastAsia" w:cs="Times New Roman"/>
                <w:color w:val="auto"/>
                <w:sz w:val="21"/>
                <w:szCs w:val="21"/>
                <w:highlight w:val="none"/>
                <w:lang w:val="en-US" w:eastAsia="zh-CN"/>
              </w:rPr>
              <w:t>则损耗量为0.</w:t>
            </w:r>
            <w:r>
              <w:rPr>
                <w:rFonts w:hint="default" w:ascii="Times New Roman" w:hAnsi="Times New Roman" w:cs="Times New Roman"/>
                <w:color w:val="auto"/>
                <w:sz w:val="21"/>
                <w:szCs w:val="21"/>
                <w:highlight w:val="none"/>
                <w:lang w:val="en-US" w:eastAsia="zh-CN"/>
              </w:rPr>
              <w:t>144m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冲洗废水排放量为1.296m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/d（369.36m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r>
              <w:rPr>
                <w:rFonts w:hint="eastAsia" w:cs="Times New Roman"/>
                <w:color w:val="auto"/>
                <w:sz w:val="21"/>
                <w:szCs w:val="21"/>
                <w:highlight w:val="none"/>
                <w:lang w:val="en-US" w:eastAsia="zh-CN"/>
              </w:rPr>
              <w:t>，废水排入沉淀池处理后循环使用</w:t>
            </w:r>
            <w:r>
              <w:rPr>
                <w:rFonts w:hint="default" w:ascii="Times New Roman" w:hAnsi="Times New Roman" w:cs="Times New Roman"/>
                <w:color w:val="auto"/>
                <w:sz w:val="21"/>
                <w:szCs w:val="21"/>
                <w:highlight w:val="none"/>
                <w:lang w:val="en-US" w:eastAsia="zh-CN"/>
              </w:rPr>
              <w:t>。</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磨边</w:t>
            </w:r>
            <w:r>
              <w:rPr>
                <w:rFonts w:hint="eastAsia" w:cs="Times New Roman"/>
                <w:b/>
                <w:bCs/>
                <w:color w:val="auto"/>
                <w:sz w:val="21"/>
                <w:szCs w:val="21"/>
                <w:highlight w:val="none"/>
                <w:lang w:val="en-US" w:eastAsia="zh-CN"/>
              </w:rPr>
              <w:t>工序</w:t>
            </w:r>
            <w:r>
              <w:rPr>
                <w:rFonts w:hint="default" w:ascii="Times New Roman" w:hAnsi="Times New Roman" w:cs="Times New Roman"/>
                <w:b/>
                <w:bCs/>
                <w:color w:val="auto"/>
                <w:sz w:val="21"/>
                <w:szCs w:val="21"/>
                <w:highlight w:val="none"/>
                <w:lang w:val="en-US" w:eastAsia="zh-CN"/>
              </w:rPr>
              <w:t>冲洗用水：</w:t>
            </w:r>
            <w:r>
              <w:rPr>
                <w:rFonts w:hint="default" w:ascii="Times New Roman" w:hAnsi="Times New Roman" w:cs="Times New Roman"/>
                <w:color w:val="auto"/>
                <w:sz w:val="21"/>
                <w:szCs w:val="21"/>
                <w:highlight w:val="none"/>
                <w:lang w:val="en-US" w:eastAsia="zh-CN"/>
              </w:rPr>
              <w:t>根据企业提供设备参数，磨边工序设备配套冲洗水流量约为2L/min，技改后工程保留4台磨边机，每台设备每天工作时间按照4h计算，年工作时间为285天，则切割工序冲洗用水量为1.92m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/d（547.2m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/a），损耗量按照10%计算，</w:t>
            </w:r>
            <w:r>
              <w:rPr>
                <w:rFonts w:hint="eastAsia" w:cs="Times New Roman"/>
                <w:color w:val="auto"/>
                <w:sz w:val="21"/>
                <w:szCs w:val="21"/>
                <w:highlight w:val="none"/>
                <w:lang w:val="en-US" w:eastAsia="zh-CN"/>
              </w:rPr>
              <w:t>则损耗量为0.192</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废水排放量为1.728m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/d（492.48m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r>
              <w:rPr>
                <w:rFonts w:hint="eastAsia" w:cs="Times New Roman"/>
                <w:color w:val="auto"/>
                <w:sz w:val="21"/>
                <w:szCs w:val="21"/>
                <w:highlight w:val="none"/>
                <w:lang w:val="en-US" w:eastAsia="zh-CN"/>
              </w:rPr>
              <w:t>，废水排入沉淀池处理后循环使用</w:t>
            </w:r>
            <w:r>
              <w:rPr>
                <w:rFonts w:hint="default" w:ascii="Times New Roman" w:hAnsi="Times New Roman" w:cs="Times New Roman"/>
                <w:color w:val="auto"/>
                <w:sz w:val="21"/>
                <w:szCs w:val="21"/>
                <w:highlight w:val="none"/>
                <w:lang w:val="en-US" w:eastAsia="zh-CN"/>
              </w:rPr>
              <w:t>。</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粗磨、精磨工序冲洗用水：</w:t>
            </w:r>
            <w:r>
              <w:rPr>
                <w:rFonts w:hint="default" w:ascii="Times New Roman" w:hAnsi="Times New Roman" w:cs="Times New Roman"/>
                <w:color w:val="auto"/>
                <w:sz w:val="21"/>
                <w:szCs w:val="21"/>
                <w:highlight w:val="none"/>
                <w:lang w:val="en-US" w:eastAsia="zh-CN"/>
              </w:rPr>
              <w:t>工程</w:t>
            </w:r>
            <w:r>
              <w:rPr>
                <w:rFonts w:hint="eastAsia" w:cs="Times New Roman"/>
                <w:color w:val="auto"/>
                <w:sz w:val="21"/>
                <w:szCs w:val="21"/>
                <w:highlight w:val="none"/>
                <w:lang w:val="en-US" w:eastAsia="zh-CN"/>
              </w:rPr>
              <w:t>根据</w:t>
            </w:r>
            <w:r>
              <w:rPr>
                <w:rFonts w:hint="default" w:ascii="Times New Roman" w:hAnsi="Times New Roman" w:cs="Times New Roman"/>
                <w:color w:val="auto"/>
                <w:sz w:val="21"/>
                <w:szCs w:val="21"/>
                <w:highlight w:val="none"/>
                <w:lang w:val="en-US" w:eastAsia="zh-CN"/>
              </w:rPr>
              <w:t>各类产品规格</w:t>
            </w:r>
            <w:r>
              <w:rPr>
                <w:rFonts w:hint="eastAsia" w:cs="Times New Roman"/>
                <w:color w:val="auto"/>
                <w:sz w:val="21"/>
                <w:szCs w:val="21"/>
                <w:highlight w:val="none"/>
                <w:lang w:val="en-US" w:eastAsia="zh-CN"/>
              </w:rPr>
              <w:t>的</w:t>
            </w:r>
            <w:r>
              <w:rPr>
                <w:rFonts w:hint="default" w:ascii="Times New Roman" w:hAnsi="Times New Roman" w:cs="Times New Roman"/>
                <w:color w:val="auto"/>
                <w:sz w:val="21"/>
                <w:szCs w:val="21"/>
                <w:highlight w:val="none"/>
                <w:lang w:val="en-US" w:eastAsia="zh-CN"/>
              </w:rPr>
              <w:t>不同，在粗磨和精磨过程所需冲洗水量不同</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但同一件产品在粗磨和精磨后冲洗金刚砂用水量基本相同，根据企业提供资料，各类产品冲洗</w:t>
            </w:r>
            <w:r>
              <w:rPr>
                <w:rFonts w:hint="eastAsia" w:cs="Times New Roman"/>
                <w:color w:val="auto"/>
                <w:sz w:val="21"/>
                <w:szCs w:val="21"/>
                <w:highlight w:val="none"/>
                <w:lang w:val="en-US" w:eastAsia="zh-CN"/>
              </w:rPr>
              <w:t>过程用</w:t>
            </w:r>
            <w:r>
              <w:rPr>
                <w:rFonts w:hint="default" w:ascii="Times New Roman" w:hAnsi="Times New Roman" w:cs="Times New Roman"/>
                <w:color w:val="auto"/>
                <w:sz w:val="21"/>
                <w:szCs w:val="21"/>
                <w:highlight w:val="none"/>
                <w:lang w:val="en-US" w:eastAsia="zh-CN"/>
              </w:rPr>
              <w:t>水量</w:t>
            </w:r>
            <w:r>
              <w:rPr>
                <w:rFonts w:hint="eastAsia" w:cs="Times New Roman"/>
                <w:color w:val="auto"/>
                <w:sz w:val="21"/>
                <w:szCs w:val="21"/>
                <w:highlight w:val="none"/>
                <w:lang w:val="en-US" w:eastAsia="zh-CN"/>
              </w:rPr>
              <w:t>约为</w:t>
            </w:r>
            <w:r>
              <w:rPr>
                <w:rFonts w:hint="default" w:ascii="Times New Roman" w:hAnsi="Times New Roman" w:cs="Times New Roman"/>
                <w:color w:val="auto"/>
                <w:sz w:val="21"/>
                <w:szCs w:val="21"/>
                <w:highlight w:val="none"/>
                <w:lang w:val="en-US" w:eastAsia="zh-CN"/>
              </w:rPr>
              <w:t>1.5L/片~2.5L/片，本次评价取平均值2L/片进行计算，工程年加工各类光学零件共计195300片，经计算冲洗用水量为781.2m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/a（年工作按285天计算，折合约2.741m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/d），损耗量按照10%计，</w:t>
            </w:r>
            <w:r>
              <w:rPr>
                <w:rFonts w:hint="eastAsia" w:cs="Times New Roman"/>
                <w:color w:val="auto"/>
                <w:sz w:val="21"/>
                <w:szCs w:val="21"/>
                <w:highlight w:val="none"/>
                <w:lang w:val="en-US" w:eastAsia="zh-CN"/>
              </w:rPr>
              <w:t>则损耗量为0.2741</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废水产生量为</w:t>
            </w:r>
            <w:r>
              <w:rPr>
                <w:rFonts w:hint="eastAsia" w:cs="Times New Roman"/>
                <w:color w:val="auto"/>
                <w:sz w:val="21"/>
                <w:szCs w:val="21"/>
                <w:highlight w:val="none"/>
                <w:lang w:val="en-US" w:eastAsia="zh-CN"/>
              </w:rPr>
              <w:t>703.0665</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r>
              <w:rPr>
                <w:rFonts w:hint="eastAsia" w:cs="Times New Roman"/>
                <w:color w:val="auto"/>
                <w:sz w:val="21"/>
                <w:szCs w:val="21"/>
                <w:highlight w:val="none"/>
                <w:lang w:val="en-US" w:eastAsia="zh-CN"/>
              </w:rPr>
              <w:t>2.4669</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w:t>
            </w:r>
            <w:r>
              <w:rPr>
                <w:rFonts w:hint="eastAsia" w:cs="Times New Roman"/>
                <w:color w:val="auto"/>
                <w:sz w:val="21"/>
                <w:szCs w:val="21"/>
                <w:highlight w:val="none"/>
                <w:lang w:val="en-US" w:eastAsia="zh-CN"/>
              </w:rPr>
              <w:t>，废水排入沉淀池处理后循环使用</w:t>
            </w:r>
            <w:r>
              <w:rPr>
                <w:rFonts w:hint="default" w:ascii="Times New Roman" w:hAnsi="Times New Roman" w:cs="Times New Roman"/>
                <w:color w:val="auto"/>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cyan"/>
                <w:lang w:eastAsia="zh-CN"/>
              </w:rPr>
            </w:pPr>
            <w:r>
              <w:rPr>
                <w:rFonts w:hint="eastAsia" w:cs="Times New Roman"/>
                <w:color w:val="auto"/>
                <w:sz w:val="21"/>
                <w:szCs w:val="21"/>
                <w:highlight w:val="none"/>
                <w:lang w:val="en-US" w:eastAsia="zh-CN"/>
              </w:rPr>
              <w:t>综上，工程</w:t>
            </w:r>
            <w:r>
              <w:rPr>
                <w:rFonts w:hint="default" w:ascii="Times New Roman" w:hAnsi="Times New Roman" w:cs="Times New Roman"/>
                <w:bCs/>
                <w:color w:val="auto"/>
                <w:kern w:val="0"/>
                <w:szCs w:val="21"/>
                <w:highlight w:val="none"/>
                <w:lang w:eastAsia="zh-CN"/>
              </w:rPr>
              <w:t>下料、磨边、粗磨、精磨</w:t>
            </w:r>
            <w:r>
              <w:rPr>
                <w:rFonts w:hint="eastAsia" w:cs="Times New Roman"/>
                <w:bCs/>
                <w:color w:val="auto"/>
                <w:kern w:val="0"/>
                <w:szCs w:val="21"/>
                <w:highlight w:val="none"/>
                <w:lang w:eastAsia="zh-CN"/>
              </w:rPr>
              <w:t>等冷加工</w:t>
            </w:r>
            <w:r>
              <w:rPr>
                <w:rFonts w:hint="default" w:ascii="Times New Roman" w:hAnsi="Times New Roman" w:cs="Times New Roman"/>
                <w:bCs/>
                <w:color w:val="auto"/>
                <w:kern w:val="0"/>
                <w:szCs w:val="21"/>
                <w:highlight w:val="none"/>
                <w:lang w:eastAsia="zh-CN"/>
              </w:rPr>
              <w:t>工序</w:t>
            </w:r>
            <w:r>
              <w:rPr>
                <w:rFonts w:hint="eastAsia" w:cs="Times New Roman"/>
                <w:bCs/>
                <w:color w:val="auto"/>
                <w:kern w:val="0"/>
                <w:szCs w:val="21"/>
                <w:highlight w:val="none"/>
                <w:lang w:eastAsia="zh-CN"/>
              </w:rPr>
              <w:t>所用循环水量共计</w:t>
            </w:r>
            <w:r>
              <w:rPr>
                <w:rFonts w:hint="eastAsia" w:cs="Times New Roman"/>
                <w:bCs/>
                <w:color w:val="auto"/>
                <w:kern w:val="0"/>
                <w:szCs w:val="21"/>
                <w:highlight w:val="none"/>
                <w:lang w:val="en-US" w:eastAsia="zh-CN"/>
              </w:rPr>
              <w:t>6.101m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/d，在冷加工过程因摩擦产生高温造成损耗量为0.473m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/d</w:t>
            </w:r>
            <w:r>
              <w:rPr>
                <w:rFonts w:hint="eastAsia" w:cs="Times New Roman"/>
                <w:bCs/>
                <w:color w:val="auto"/>
                <w:kern w:val="0"/>
                <w:szCs w:val="21"/>
                <w:highlight w:val="none"/>
                <w:lang w:eastAsia="zh-CN"/>
              </w:rPr>
              <w:t>，定期根据损耗进行补充。</w:t>
            </w:r>
            <w:r>
              <w:rPr>
                <w:rFonts w:hint="eastAsia" w:cs="Times New Roman"/>
                <w:bCs/>
                <w:color w:val="auto"/>
                <w:kern w:val="0"/>
                <w:szCs w:val="21"/>
                <w:highlight w:val="none"/>
                <w:lang w:val="en-US" w:eastAsia="zh-CN"/>
              </w:rPr>
              <w:t>目前厂区内现有1座72m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沉淀池，能够满足冷加工工序冲洗用水的储存和冷却使用，根据企业提供资料，沉淀池储存循环水量保持在沉淀池总容量的50%左右，则沉淀池内循环水量共计为36m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，可以满足日常生产需求，由于循环水长时间循环使用会增加循环水中悬浮物及底泥量，易滋生细菌，因此需每月定期对沉淀池进行1次全面清理，清理出的废水排入混凝沉淀池（5m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）处理后</w:t>
            </w:r>
            <w:r>
              <w:rPr>
                <w:rFonts w:hint="eastAsia" w:cs="Times New Roman"/>
                <w:bCs/>
                <w:color w:val="auto"/>
                <w:kern w:val="0"/>
                <w:szCs w:val="21"/>
                <w:highlight w:val="none"/>
                <w:lang w:eastAsia="zh-CN"/>
              </w:rPr>
              <w:t>，经厂区总排口（</w:t>
            </w:r>
            <w:r>
              <w:rPr>
                <w:rFonts w:hint="eastAsia" w:cs="Times New Roman"/>
                <w:bCs/>
                <w:color w:val="auto"/>
                <w:kern w:val="0"/>
                <w:szCs w:val="21"/>
                <w:highlight w:val="none"/>
                <w:lang w:val="en-US" w:eastAsia="zh-CN"/>
              </w:rPr>
              <w:t>DW001</w:t>
            </w:r>
            <w:r>
              <w:rPr>
                <w:rFonts w:hint="eastAsia" w:cs="Times New Roman"/>
                <w:bCs/>
                <w:color w:val="auto"/>
                <w:kern w:val="0"/>
                <w:szCs w:val="21"/>
                <w:highlight w:val="none"/>
                <w:lang w:eastAsia="zh-CN"/>
              </w:rPr>
              <w:t>）排入区域污水管网</w:t>
            </w:r>
            <w:r>
              <w:rPr>
                <w:rFonts w:hint="default" w:ascii="Times New Roman" w:hAnsi="Times New Roman" w:cs="Times New Roman"/>
                <w:bCs/>
                <w:color w:val="auto"/>
                <w:kern w:val="0"/>
                <w:szCs w:val="21"/>
                <w:highlight w:val="none"/>
                <w:lang w:eastAsia="zh-CN"/>
              </w:rPr>
              <w:t>，后排入新乡县综合污水处理厂进一步处理</w:t>
            </w:r>
            <w:r>
              <w:rPr>
                <w:rFonts w:hint="eastAsia" w:cs="Times New Roman"/>
                <w:bCs/>
                <w:color w:val="auto"/>
                <w:kern w:val="0"/>
                <w:szCs w:val="21"/>
                <w:highlight w:val="none"/>
                <w:lang w:eastAsia="zh-CN"/>
              </w:rPr>
              <w:t>。则上述工序每月定期排放水量约为</w:t>
            </w:r>
            <w:r>
              <w:rPr>
                <w:rFonts w:hint="eastAsia" w:cs="Times New Roman"/>
                <w:bCs/>
                <w:color w:val="auto"/>
                <w:kern w:val="0"/>
                <w:szCs w:val="21"/>
                <w:highlight w:val="none"/>
                <w:lang w:val="en-US" w:eastAsia="zh-CN"/>
              </w:rPr>
              <w:t>36m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，每月平均按照30天计算，折合每天排放量为1.2m</w:t>
            </w:r>
            <w:r>
              <w:rPr>
                <w:rFonts w:hint="eastAsia" w:cs="Times New Roman"/>
                <w:bCs/>
                <w:color w:val="auto"/>
                <w:kern w:val="0"/>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w:t>
            </w:r>
            <w:r>
              <w:rPr>
                <w:rFonts w:hint="eastAsia" w:cs="Times New Roman"/>
                <w:bCs/>
                <w:color w:val="auto"/>
                <w:kern w:val="0"/>
                <w:szCs w:val="21"/>
                <w:highlight w:val="none"/>
                <w:vertAlign w:val="baseline"/>
                <w:lang w:val="en-US" w:eastAsia="zh-CN"/>
              </w:rPr>
              <w:t>（</w:t>
            </w:r>
            <w:r>
              <w:rPr>
                <w:rFonts w:hint="eastAsia" w:cs="Times New Roman"/>
                <w:color w:val="auto"/>
                <w:sz w:val="21"/>
                <w:szCs w:val="21"/>
                <w:highlight w:val="none"/>
                <w:lang w:val="en-US" w:eastAsia="zh-CN"/>
              </w:rPr>
              <w:t>342</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r>
              <w:rPr>
                <w:rFonts w:hint="eastAsia" w:cs="Times New Roman"/>
                <w:bCs/>
                <w:color w:val="auto"/>
                <w:kern w:val="0"/>
                <w:szCs w:val="21"/>
                <w:highlight w:val="none"/>
                <w:vertAlign w:val="baseline"/>
                <w:lang w:val="en-US" w:eastAsia="zh-CN"/>
              </w:rPr>
              <w:t>）</w:t>
            </w:r>
            <w:r>
              <w:rPr>
                <w:rFonts w:hint="eastAsia" w:cs="Times New Roman"/>
                <w:bCs/>
                <w:color w:val="auto"/>
                <w:kern w:val="0"/>
                <w:szCs w:val="21"/>
                <w:highlight w:val="none"/>
                <w:lang w:val="en-US" w:eastAsia="zh-CN"/>
              </w:rPr>
              <w:t>。</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jc w:val="both"/>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fldChar w:fldCharType="begin"/>
            </w:r>
            <w:r>
              <w:rPr>
                <w:rFonts w:hint="default" w:ascii="Times New Roman" w:hAnsi="Times New Roman" w:cs="Times New Roman"/>
                <w:b/>
                <w:bCs/>
                <w:color w:val="auto"/>
                <w:sz w:val="21"/>
                <w:szCs w:val="21"/>
                <w:highlight w:val="none"/>
                <w:lang w:val="en-US" w:eastAsia="zh-CN"/>
              </w:rPr>
              <w:instrText xml:space="preserve"> = 2 \* GB3 \* MERGEFORMAT </w:instrText>
            </w:r>
            <w:r>
              <w:rPr>
                <w:rFonts w:hint="default" w:ascii="Times New Roman" w:hAnsi="Times New Roman" w:cs="Times New Roman"/>
                <w:b/>
                <w:bCs/>
                <w:color w:val="auto"/>
                <w:sz w:val="21"/>
                <w:szCs w:val="21"/>
                <w:highlight w:val="none"/>
                <w:lang w:val="en-US" w:eastAsia="zh-CN"/>
              </w:rPr>
              <w:fldChar w:fldCharType="separate"/>
            </w:r>
            <w:r>
              <w:rPr>
                <w:rFonts w:hint="default" w:ascii="Times New Roman" w:hAnsi="Times New Roman" w:cs="Times New Roman"/>
                <w:b/>
                <w:bCs/>
                <w:color w:val="auto"/>
                <w:sz w:val="21"/>
                <w:szCs w:val="21"/>
                <w:highlight w:val="none"/>
              </w:rPr>
              <w:t>②</w:t>
            </w:r>
            <w:r>
              <w:rPr>
                <w:rFonts w:hint="default" w:ascii="Times New Roman" w:hAnsi="Times New Roman" w:cs="Times New Roman"/>
                <w:b/>
                <w:bCs/>
                <w:color w:val="auto"/>
                <w:sz w:val="21"/>
                <w:szCs w:val="21"/>
                <w:highlight w:val="none"/>
                <w:lang w:val="en-US" w:eastAsia="zh-CN"/>
              </w:rPr>
              <w:fldChar w:fldCharType="end"/>
            </w:r>
            <w:r>
              <w:rPr>
                <w:rFonts w:hint="default" w:ascii="Times New Roman" w:hAnsi="Times New Roman" w:cs="Times New Roman"/>
                <w:b/>
                <w:bCs/>
                <w:color w:val="auto"/>
                <w:sz w:val="21"/>
                <w:szCs w:val="21"/>
                <w:highlight w:val="none"/>
                <w:lang w:val="en-US" w:eastAsia="zh-CN"/>
              </w:rPr>
              <w:t>抛光液补充水</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工程抛光过程所用抛光液</w:t>
            </w:r>
            <w:r>
              <w:rPr>
                <w:rFonts w:hint="default" w:ascii="Times New Roman" w:hAnsi="Times New Roman" w:cs="Times New Roman"/>
                <w:color w:val="auto"/>
                <w:sz w:val="21"/>
                <w:szCs w:val="21"/>
                <w:highlight w:val="none"/>
                <w:lang w:eastAsia="zh-CN"/>
              </w:rPr>
              <w:t>将抛光粉和纯水水按照1：5比例调配使用，抛光液均在配套设置的抛光液储罐冲储存，工程每</w:t>
            </w:r>
            <w:r>
              <w:rPr>
                <w:rFonts w:hint="default" w:ascii="Times New Roman" w:hAnsi="Times New Roman" w:cs="Times New Roman"/>
                <w:color w:val="auto"/>
                <w:sz w:val="21"/>
                <w:szCs w:val="21"/>
                <w:highlight w:val="none"/>
                <w:lang w:val="en-US" w:eastAsia="zh-CN"/>
              </w:rPr>
              <w:t>2台抛光设备共用1抛光液储罐（共5个），每个抛光液储罐规格为</w:t>
            </w:r>
            <w:r>
              <w:rPr>
                <w:rFonts w:hint="default" w:ascii="Times New Roman" w:hAnsi="Times New Roman" w:cs="Times New Roman"/>
                <w:color w:val="auto"/>
                <w:sz w:val="21"/>
                <w:szCs w:val="21"/>
                <w:highlight w:val="none"/>
                <w:lang w:eastAsia="zh-CN"/>
              </w:rPr>
              <w:t>高0.35m，直径0.3m，则抛光液储罐总抛光液量为</w:t>
            </w:r>
            <w:r>
              <w:rPr>
                <w:rFonts w:hint="default" w:ascii="Times New Roman" w:hAnsi="Times New Roman" w:cs="Times New Roman"/>
                <w:color w:val="auto"/>
                <w:sz w:val="21"/>
                <w:szCs w:val="21"/>
                <w:highlight w:val="none"/>
                <w:lang w:val="en-US" w:eastAsia="zh-CN"/>
              </w:rPr>
              <w:t>0.124m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，该部分抛光液均循环使用，根据企业提供资料，工程每台抛光机每天工作16h，抛光液冲洗系统流量为1L/min，则抛光液循环使用量为9.6m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/d，抛光过程水分损耗量按照循环量的10%计算，则需每天定期补充纯水量为0.96m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/d（273.6m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/a），工程所用抛光液定期进行过滤、消毒后循环使用，该部分水不外排。</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jc w:val="both"/>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fldChar w:fldCharType="begin"/>
            </w:r>
            <w:r>
              <w:rPr>
                <w:rFonts w:hint="default" w:ascii="Times New Roman" w:hAnsi="Times New Roman" w:cs="Times New Roman"/>
                <w:b/>
                <w:bCs/>
                <w:color w:val="auto"/>
                <w:sz w:val="21"/>
                <w:szCs w:val="21"/>
                <w:highlight w:val="none"/>
                <w:lang w:val="en-US" w:eastAsia="zh-CN"/>
              </w:rPr>
              <w:instrText xml:space="preserve"> = 3 \* GB3 \* MERGEFORMAT </w:instrText>
            </w:r>
            <w:r>
              <w:rPr>
                <w:rFonts w:hint="default" w:ascii="Times New Roman" w:hAnsi="Times New Roman" w:cs="Times New Roman"/>
                <w:b/>
                <w:bCs/>
                <w:color w:val="auto"/>
                <w:sz w:val="21"/>
                <w:szCs w:val="21"/>
                <w:highlight w:val="none"/>
                <w:lang w:val="en-US" w:eastAsia="zh-CN"/>
              </w:rPr>
              <w:fldChar w:fldCharType="separate"/>
            </w:r>
            <w:r>
              <w:rPr>
                <w:rFonts w:hint="default" w:ascii="Times New Roman" w:hAnsi="Times New Roman" w:cs="Times New Roman"/>
                <w:b/>
                <w:bCs/>
                <w:color w:val="auto"/>
                <w:sz w:val="21"/>
                <w:szCs w:val="21"/>
                <w:highlight w:val="none"/>
              </w:rPr>
              <w:t>③</w:t>
            </w:r>
            <w:r>
              <w:rPr>
                <w:rFonts w:hint="default" w:ascii="Times New Roman" w:hAnsi="Times New Roman" w:cs="Times New Roman"/>
                <w:b/>
                <w:bCs/>
                <w:color w:val="auto"/>
                <w:sz w:val="21"/>
                <w:szCs w:val="21"/>
                <w:highlight w:val="none"/>
                <w:lang w:val="en-US" w:eastAsia="zh-CN"/>
              </w:rPr>
              <w:fldChar w:fldCharType="end"/>
            </w:r>
            <w:r>
              <w:rPr>
                <w:rFonts w:hint="default" w:ascii="Times New Roman" w:hAnsi="Times New Roman" w:cs="Times New Roman"/>
                <w:b/>
                <w:bCs/>
                <w:color w:val="auto"/>
                <w:sz w:val="21"/>
                <w:szCs w:val="21"/>
                <w:highlight w:val="none"/>
                <w:lang w:val="en-US" w:eastAsia="zh-CN"/>
              </w:rPr>
              <w:t>镀膜前清洗用水</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工程镀膜前均需进行清洗，</w:t>
            </w:r>
            <w:r>
              <w:rPr>
                <w:rFonts w:hint="eastAsia" w:cs="Times New Roman"/>
                <w:color w:val="auto"/>
                <w:sz w:val="21"/>
                <w:szCs w:val="21"/>
                <w:highlight w:val="none"/>
                <w:lang w:val="en-US" w:eastAsia="zh-CN"/>
              </w:rPr>
              <w:t>清洗工序</w:t>
            </w:r>
            <w:r>
              <w:rPr>
                <w:rFonts w:hint="default" w:ascii="Times New Roman" w:hAnsi="Times New Roman" w:cs="Times New Roman"/>
                <w:color w:val="auto"/>
                <w:sz w:val="21"/>
                <w:szCs w:val="21"/>
                <w:highlight w:val="none"/>
                <w:lang w:val="en-US" w:eastAsia="zh-CN"/>
              </w:rPr>
              <w:t>采用纯水进行冲洗，根据企业提供资料，各类产品冲洗水量约在1L/片~2L/片，本次评价取平均值1.5L/片进行计算，工程年加工各类光学零件共计195300片，经计算镀膜前冲洗用水量为292.95m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/a（年工作按285天计算，折合约1.028m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/d），损耗量平均按照50mL/片产品计算，则废水排放量为0.994m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/d（283.29m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/a），冲洗后废水均依托现有设置的“混凝沉淀池”处理后，通过厂区总排口</w:t>
            </w:r>
            <w:r>
              <w:rPr>
                <w:rFonts w:hint="eastAsia" w:cs="Times New Roman"/>
                <w:color w:val="auto"/>
                <w:sz w:val="21"/>
                <w:szCs w:val="21"/>
                <w:highlight w:val="none"/>
                <w:lang w:val="en-US" w:eastAsia="zh-CN"/>
              </w:rPr>
              <w:t>（DW001）</w:t>
            </w:r>
            <w:r>
              <w:rPr>
                <w:rFonts w:hint="default" w:ascii="Times New Roman" w:hAnsi="Times New Roman" w:cs="Times New Roman"/>
                <w:color w:val="auto"/>
                <w:sz w:val="21"/>
                <w:szCs w:val="21"/>
                <w:highlight w:val="none"/>
                <w:lang w:val="en-US" w:eastAsia="zh-CN"/>
              </w:rPr>
              <w:t>排入区域污水管网，最终排入新乡县综合污水处理厂进一步处理。</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jc w:val="both"/>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fldChar w:fldCharType="begin"/>
            </w:r>
            <w:r>
              <w:rPr>
                <w:rFonts w:hint="default" w:ascii="Times New Roman" w:hAnsi="Times New Roman" w:cs="Times New Roman"/>
                <w:b/>
                <w:bCs/>
                <w:color w:val="auto"/>
                <w:sz w:val="21"/>
                <w:szCs w:val="21"/>
                <w:highlight w:val="none"/>
                <w:lang w:val="en-US" w:eastAsia="zh-CN"/>
              </w:rPr>
              <w:instrText xml:space="preserve"> = 4 \* GB3 \* MERGEFORMAT </w:instrText>
            </w:r>
            <w:r>
              <w:rPr>
                <w:rFonts w:hint="default" w:ascii="Times New Roman" w:hAnsi="Times New Roman" w:cs="Times New Roman"/>
                <w:b/>
                <w:bCs/>
                <w:color w:val="auto"/>
                <w:sz w:val="21"/>
                <w:szCs w:val="21"/>
                <w:highlight w:val="none"/>
                <w:lang w:val="en-US" w:eastAsia="zh-CN"/>
              </w:rPr>
              <w:fldChar w:fldCharType="separate"/>
            </w:r>
            <w:r>
              <w:rPr>
                <w:rFonts w:hint="default" w:ascii="Times New Roman" w:hAnsi="Times New Roman" w:cs="Times New Roman"/>
                <w:b/>
                <w:bCs/>
                <w:color w:val="auto"/>
                <w:sz w:val="21"/>
                <w:szCs w:val="21"/>
              </w:rPr>
              <w:t>④</w:t>
            </w:r>
            <w:r>
              <w:rPr>
                <w:rFonts w:hint="default" w:ascii="Times New Roman" w:hAnsi="Times New Roman" w:cs="Times New Roman"/>
                <w:b/>
                <w:bCs/>
                <w:color w:val="auto"/>
                <w:sz w:val="21"/>
                <w:szCs w:val="21"/>
                <w:highlight w:val="none"/>
                <w:lang w:val="en-US" w:eastAsia="zh-CN"/>
              </w:rPr>
              <w:fldChar w:fldCharType="end"/>
            </w:r>
            <w:r>
              <w:rPr>
                <w:rFonts w:hint="default" w:ascii="Times New Roman" w:hAnsi="Times New Roman" w:cs="Times New Roman"/>
                <w:b/>
                <w:bCs/>
                <w:color w:val="auto"/>
                <w:sz w:val="21"/>
                <w:szCs w:val="21"/>
                <w:highlight w:val="none"/>
                <w:lang w:val="en-US" w:eastAsia="zh-CN"/>
              </w:rPr>
              <w:t>镀膜后清洗</w:t>
            </w:r>
            <w:r>
              <w:rPr>
                <w:rFonts w:hint="eastAsia" w:cs="Times New Roman"/>
                <w:b/>
                <w:bCs/>
                <w:color w:val="auto"/>
                <w:sz w:val="21"/>
                <w:szCs w:val="21"/>
                <w:highlight w:val="none"/>
                <w:lang w:val="en-US" w:eastAsia="zh-CN"/>
              </w:rPr>
              <w:t>用水</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镀膜后采用超声波清洗方式进行清洗，清洗过程利用纯水和清洗剂</w:t>
            </w:r>
            <w:r>
              <w:rPr>
                <w:rFonts w:hint="eastAsia" w:cs="Times New Roman"/>
                <w:color w:val="auto"/>
                <w:sz w:val="21"/>
                <w:szCs w:val="21"/>
                <w:highlight w:val="none"/>
                <w:lang w:val="en-US" w:eastAsia="zh-CN"/>
              </w:rPr>
              <w:t>按照49:1比例调配后</w:t>
            </w:r>
            <w:r>
              <w:rPr>
                <w:rFonts w:hint="default" w:ascii="Times New Roman" w:hAnsi="Times New Roman" w:cs="Times New Roman"/>
                <w:color w:val="auto"/>
                <w:sz w:val="21"/>
                <w:szCs w:val="21"/>
                <w:highlight w:val="none"/>
                <w:lang w:val="en-US" w:eastAsia="zh-CN"/>
              </w:rPr>
              <w:t>进行清洗，根据企业提供资料，项目超声波清洗设备水槽容量为2m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，内部有效容积按80%计算，则清洗槽内清洗水量约为1.6m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，清水洗过程中清洗液不断损耗，根据情况补充纯水和清洗液，损耗量平均按照50mL/片产品计算，工程年加工各类光学零件共计195300片，则需补充清洗水量为9.765m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/a（折合为0.034m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/d），因此超声波清洗过程所需纯水量为1.634m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/d，超声波清洗机内清洗水每日定期更换，则废清洗液量约为1.6m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w:t>
            </w:r>
            <w:r>
              <w:rPr>
                <w:rFonts w:hint="eastAsia" w:cs="Times New Roman"/>
                <w:color w:val="auto"/>
                <w:sz w:val="21"/>
                <w:szCs w:val="21"/>
                <w:highlight w:val="none"/>
                <w:lang w:val="en-US" w:eastAsia="zh-CN"/>
              </w:rPr>
              <w:t>456</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r>
              <w:rPr>
                <w:rFonts w:hint="eastAsia" w:cs="Times New Roman"/>
                <w:color w:val="auto"/>
                <w:sz w:val="21"/>
                <w:szCs w:val="21"/>
                <w:highlight w:val="none"/>
                <w:lang w:val="en-US" w:eastAsia="zh-CN"/>
              </w:rPr>
              <w:t>排入</w:t>
            </w:r>
            <w:r>
              <w:rPr>
                <w:rFonts w:hint="default" w:ascii="Times New Roman" w:hAnsi="Times New Roman" w:cs="Times New Roman"/>
                <w:color w:val="auto"/>
                <w:sz w:val="21"/>
                <w:szCs w:val="21"/>
                <w:highlight w:val="none"/>
                <w:lang w:val="en-US" w:eastAsia="zh-CN"/>
              </w:rPr>
              <w:t>现有设置的“混凝沉淀池”中处理后，通过厂区总排口</w:t>
            </w:r>
            <w:r>
              <w:rPr>
                <w:rFonts w:hint="eastAsia" w:cs="Times New Roman"/>
                <w:color w:val="auto"/>
                <w:sz w:val="21"/>
                <w:szCs w:val="21"/>
                <w:highlight w:val="none"/>
                <w:lang w:val="en-US" w:eastAsia="zh-CN"/>
              </w:rPr>
              <w:t>（DW001）</w:t>
            </w:r>
            <w:r>
              <w:rPr>
                <w:rFonts w:hint="default" w:ascii="Times New Roman" w:hAnsi="Times New Roman" w:cs="Times New Roman"/>
                <w:color w:val="auto"/>
                <w:sz w:val="21"/>
                <w:szCs w:val="21"/>
                <w:highlight w:val="none"/>
                <w:lang w:val="en-US" w:eastAsia="zh-CN"/>
              </w:rPr>
              <w:t>排入区域污水管网，最终排入新乡县综合污水处理厂进一步处理。</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jc w:val="both"/>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fldChar w:fldCharType="begin"/>
            </w:r>
            <w:r>
              <w:rPr>
                <w:rFonts w:hint="default" w:ascii="Times New Roman" w:hAnsi="Times New Roman" w:cs="Times New Roman"/>
                <w:b/>
                <w:bCs/>
                <w:color w:val="auto"/>
                <w:sz w:val="21"/>
                <w:szCs w:val="21"/>
                <w:highlight w:val="none"/>
                <w:lang w:val="en-US" w:eastAsia="zh-CN"/>
              </w:rPr>
              <w:instrText xml:space="preserve"> = 5 \* GB3 \* MERGEFORMAT </w:instrText>
            </w:r>
            <w:r>
              <w:rPr>
                <w:rFonts w:hint="default" w:ascii="Times New Roman" w:hAnsi="Times New Roman" w:cs="Times New Roman"/>
                <w:b/>
                <w:bCs/>
                <w:color w:val="auto"/>
                <w:sz w:val="21"/>
                <w:szCs w:val="21"/>
                <w:highlight w:val="none"/>
                <w:lang w:val="en-US" w:eastAsia="zh-CN"/>
              </w:rPr>
              <w:fldChar w:fldCharType="separate"/>
            </w:r>
            <w:r>
              <w:rPr>
                <w:rFonts w:hint="default" w:ascii="Times New Roman" w:hAnsi="Times New Roman" w:cs="Times New Roman"/>
                <w:b/>
                <w:bCs/>
                <w:color w:val="auto"/>
                <w:sz w:val="21"/>
                <w:szCs w:val="21"/>
              </w:rPr>
              <w:t>⑤</w:t>
            </w:r>
            <w:r>
              <w:rPr>
                <w:rFonts w:hint="default" w:ascii="Times New Roman" w:hAnsi="Times New Roman" w:cs="Times New Roman"/>
                <w:b/>
                <w:bCs/>
                <w:color w:val="auto"/>
                <w:sz w:val="21"/>
                <w:szCs w:val="21"/>
                <w:highlight w:val="none"/>
                <w:lang w:val="en-US" w:eastAsia="zh-CN"/>
              </w:rPr>
              <w:fldChar w:fldCharType="end"/>
            </w:r>
            <w:r>
              <w:rPr>
                <w:rFonts w:hint="default" w:ascii="Times New Roman" w:hAnsi="Times New Roman" w:cs="Times New Roman"/>
                <w:b/>
                <w:bCs/>
                <w:color w:val="auto"/>
                <w:sz w:val="21"/>
                <w:szCs w:val="21"/>
                <w:highlight w:val="none"/>
                <w:lang w:val="en-US" w:eastAsia="zh-CN"/>
              </w:rPr>
              <w:t>纯水制备用水</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工程纯水通过现有1套纯水制备设备，采用“原水系统</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多介质过滤系统+活性炭过滤系统+一级反渗透系+PH调节系统+二级反渗透系统+EDI超纯水系统+抛光混床系统”工艺，该系统纯水制备率约为75%。工程抛光和</w:t>
            </w:r>
            <w:r>
              <w:rPr>
                <w:rFonts w:hint="eastAsia" w:cs="Times New Roman"/>
                <w:color w:val="auto"/>
                <w:sz w:val="21"/>
                <w:szCs w:val="21"/>
                <w:highlight w:val="none"/>
                <w:lang w:val="en-US" w:eastAsia="zh-CN"/>
              </w:rPr>
              <w:t>镀膜前后</w:t>
            </w:r>
            <w:r>
              <w:rPr>
                <w:rFonts w:hint="default" w:ascii="Times New Roman" w:hAnsi="Times New Roman" w:cs="Times New Roman"/>
                <w:color w:val="auto"/>
                <w:sz w:val="21"/>
                <w:szCs w:val="21"/>
                <w:highlight w:val="none"/>
                <w:lang w:val="en-US" w:eastAsia="zh-CN"/>
              </w:rPr>
              <w:t>清洗</w:t>
            </w:r>
            <w:r>
              <w:rPr>
                <w:rFonts w:hint="eastAsia" w:cs="Times New Roman"/>
                <w:color w:val="auto"/>
                <w:sz w:val="21"/>
                <w:szCs w:val="21"/>
                <w:highlight w:val="none"/>
                <w:lang w:val="en-US" w:eastAsia="zh-CN"/>
              </w:rPr>
              <w:t>工序</w:t>
            </w:r>
            <w:r>
              <w:rPr>
                <w:rFonts w:hint="default" w:ascii="Times New Roman" w:hAnsi="Times New Roman" w:cs="Times New Roman"/>
                <w:color w:val="auto"/>
                <w:sz w:val="21"/>
                <w:szCs w:val="21"/>
                <w:highlight w:val="none"/>
                <w:lang w:val="en-US" w:eastAsia="zh-CN"/>
              </w:rPr>
              <w:t>所需纯水量为</w:t>
            </w:r>
            <w:r>
              <w:rPr>
                <w:rFonts w:hint="eastAsia" w:cs="Times New Roman"/>
                <w:color w:val="auto"/>
                <w:sz w:val="21"/>
                <w:szCs w:val="21"/>
                <w:highlight w:val="none"/>
                <w:lang w:val="en-US" w:eastAsia="zh-CN"/>
              </w:rPr>
              <w:t>3.622</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/d，则所需自来水量为</w:t>
            </w:r>
            <w:r>
              <w:rPr>
                <w:rFonts w:hint="eastAsia" w:cs="Times New Roman"/>
                <w:color w:val="auto"/>
                <w:sz w:val="21"/>
                <w:szCs w:val="21"/>
                <w:highlight w:val="none"/>
                <w:lang w:val="en-US" w:eastAsia="zh-CN"/>
              </w:rPr>
              <w:t>4.8293</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/d，制备产生的反渗透浓水量为</w:t>
            </w:r>
            <w:r>
              <w:rPr>
                <w:rFonts w:hint="eastAsia" w:cs="Times New Roman"/>
                <w:color w:val="auto"/>
                <w:sz w:val="21"/>
                <w:szCs w:val="21"/>
                <w:highlight w:val="none"/>
                <w:lang w:val="en-US" w:eastAsia="zh-CN"/>
              </w:rPr>
              <w:t>1.2073</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w:t>
            </w:r>
            <w:r>
              <w:rPr>
                <w:rFonts w:hint="eastAsia" w:cs="Times New Roman"/>
                <w:color w:val="auto"/>
                <w:sz w:val="21"/>
                <w:szCs w:val="21"/>
                <w:highlight w:val="none"/>
                <w:lang w:val="en-US" w:eastAsia="zh-CN"/>
              </w:rPr>
              <w:t>（344.08</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a）</w:t>
            </w:r>
            <w:r>
              <w:rPr>
                <w:rFonts w:hint="default" w:ascii="Times New Roman" w:hAnsi="Times New Roman" w:cs="Times New Roman"/>
                <w:color w:val="auto"/>
                <w:sz w:val="21"/>
                <w:szCs w:val="21"/>
                <w:highlight w:val="none"/>
                <w:lang w:val="en-US" w:eastAsia="zh-CN"/>
              </w:rPr>
              <w:t>，浓水</w:t>
            </w:r>
            <w:r>
              <w:rPr>
                <w:rFonts w:hint="eastAsia" w:cs="Times New Roman"/>
                <w:color w:val="auto"/>
                <w:sz w:val="21"/>
                <w:szCs w:val="21"/>
                <w:highlight w:val="none"/>
                <w:lang w:val="en-US" w:eastAsia="zh-CN"/>
              </w:rPr>
              <w:t>直接</w:t>
            </w:r>
            <w:r>
              <w:rPr>
                <w:rFonts w:hint="default" w:ascii="Times New Roman" w:hAnsi="Times New Roman" w:cs="Times New Roman"/>
                <w:color w:val="auto"/>
                <w:sz w:val="21"/>
                <w:szCs w:val="21"/>
                <w:highlight w:val="none"/>
                <w:lang w:val="en-US" w:eastAsia="zh-CN"/>
              </w:rPr>
              <w:t>通过厂区总排口</w:t>
            </w:r>
            <w:r>
              <w:rPr>
                <w:rFonts w:hint="eastAsia" w:cs="Times New Roman"/>
                <w:color w:val="auto"/>
                <w:sz w:val="21"/>
                <w:szCs w:val="21"/>
                <w:highlight w:val="none"/>
                <w:lang w:val="en-US" w:eastAsia="zh-CN"/>
              </w:rPr>
              <w:t>（DW001）</w:t>
            </w:r>
            <w:r>
              <w:rPr>
                <w:rFonts w:hint="default" w:ascii="Times New Roman" w:hAnsi="Times New Roman" w:cs="Times New Roman"/>
                <w:color w:val="auto"/>
                <w:sz w:val="21"/>
                <w:szCs w:val="21"/>
                <w:highlight w:val="none"/>
                <w:lang w:val="en-US" w:eastAsia="zh-CN"/>
              </w:rPr>
              <w:t>排入区域污水管网，最终排入新乡县综合污水处理厂进一步处理。</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综上所述，技改后全厂</w:t>
            </w:r>
            <w:r>
              <w:rPr>
                <w:rFonts w:hint="eastAsia" w:cs="Times New Roman"/>
                <w:b w:val="0"/>
                <w:bCs w:val="0"/>
                <w:color w:val="auto"/>
                <w:sz w:val="21"/>
                <w:szCs w:val="21"/>
                <w:highlight w:val="none"/>
                <w:lang w:val="en-US" w:eastAsia="zh-CN"/>
              </w:rPr>
              <w:t>生产</w:t>
            </w:r>
            <w:r>
              <w:rPr>
                <w:rFonts w:hint="default" w:ascii="Times New Roman" w:hAnsi="Times New Roman" w:cs="Times New Roman"/>
                <w:b w:val="0"/>
                <w:bCs w:val="0"/>
                <w:color w:val="auto"/>
                <w:sz w:val="21"/>
                <w:szCs w:val="21"/>
                <w:highlight w:val="none"/>
                <w:lang w:val="en-US" w:eastAsia="zh-CN"/>
              </w:rPr>
              <w:t>废水排放量为</w:t>
            </w:r>
            <w:r>
              <w:rPr>
                <w:rFonts w:hint="eastAsia" w:cs="Times New Roman"/>
                <w:b w:val="0"/>
                <w:bCs w:val="0"/>
                <w:color w:val="auto"/>
                <w:sz w:val="21"/>
                <w:szCs w:val="21"/>
                <w:highlight w:val="none"/>
                <w:lang w:val="en-US" w:eastAsia="zh-CN"/>
              </w:rPr>
              <w:t>5.0013</w:t>
            </w:r>
            <w:r>
              <w:rPr>
                <w:rFonts w:hint="default" w:ascii="Times New Roman" w:hAnsi="Times New Roman" w:cs="Times New Roman"/>
                <w:b w:val="0"/>
                <w:bCs w:val="0"/>
                <w:color w:val="auto"/>
                <w:sz w:val="21"/>
                <w:szCs w:val="21"/>
                <w:highlight w:val="none"/>
                <w:lang w:val="en-US" w:eastAsia="zh-CN"/>
              </w:rPr>
              <w:t>m</w:t>
            </w:r>
            <w:r>
              <w:rPr>
                <w:rFonts w:hint="default" w:ascii="Times New Roman" w:hAnsi="Times New Roman" w:cs="Times New Roman"/>
                <w:b w:val="0"/>
                <w:bCs w:val="0"/>
                <w:color w:val="auto"/>
                <w:sz w:val="21"/>
                <w:szCs w:val="21"/>
                <w:highlight w:val="none"/>
                <w:vertAlign w:val="superscript"/>
                <w:lang w:val="en-US" w:eastAsia="zh-CN"/>
              </w:rPr>
              <w:t>3</w:t>
            </w:r>
            <w:r>
              <w:rPr>
                <w:rFonts w:hint="default" w:ascii="Times New Roman" w:hAnsi="Times New Roman" w:cs="Times New Roman"/>
                <w:b w:val="0"/>
                <w:bCs w:val="0"/>
                <w:color w:val="auto"/>
                <w:sz w:val="21"/>
                <w:szCs w:val="21"/>
                <w:highlight w:val="none"/>
                <w:lang w:val="en-US" w:eastAsia="zh-CN"/>
              </w:rPr>
              <w:t>/d（</w:t>
            </w:r>
            <w:r>
              <w:rPr>
                <w:rFonts w:hint="eastAsia" w:cs="Times New Roman"/>
                <w:b w:val="0"/>
                <w:bCs w:val="0"/>
                <w:color w:val="auto"/>
                <w:sz w:val="21"/>
                <w:szCs w:val="21"/>
                <w:highlight w:val="none"/>
                <w:lang w:val="en-US" w:eastAsia="zh-CN"/>
              </w:rPr>
              <w:t>1425.3705</w:t>
            </w:r>
            <w:r>
              <w:rPr>
                <w:rFonts w:hint="default" w:ascii="Times New Roman" w:hAnsi="Times New Roman" w:cs="Times New Roman"/>
                <w:b w:val="0"/>
                <w:bCs w:val="0"/>
                <w:color w:val="auto"/>
                <w:sz w:val="21"/>
                <w:szCs w:val="21"/>
                <w:highlight w:val="none"/>
                <w:lang w:val="en-US" w:eastAsia="zh-CN"/>
              </w:rPr>
              <w:t>m</w:t>
            </w:r>
            <w:r>
              <w:rPr>
                <w:rFonts w:hint="default" w:ascii="Times New Roman" w:hAnsi="Times New Roman" w:cs="Times New Roman"/>
                <w:b w:val="0"/>
                <w:bCs w:val="0"/>
                <w:color w:val="auto"/>
                <w:sz w:val="21"/>
                <w:szCs w:val="21"/>
                <w:highlight w:val="none"/>
                <w:vertAlign w:val="superscript"/>
                <w:lang w:val="en-US" w:eastAsia="zh-CN"/>
              </w:rPr>
              <w:t>3</w:t>
            </w:r>
            <w:r>
              <w:rPr>
                <w:rFonts w:hint="default" w:ascii="Times New Roman" w:hAnsi="Times New Roman" w:cs="Times New Roman"/>
                <w:b w:val="0"/>
                <w:bCs w:val="0"/>
                <w:color w:val="auto"/>
                <w:sz w:val="21"/>
                <w:szCs w:val="21"/>
                <w:highlight w:val="none"/>
                <w:lang w:val="en-US" w:eastAsia="zh-CN"/>
              </w:rPr>
              <w:t>/a），废水</w:t>
            </w:r>
            <w:r>
              <w:rPr>
                <w:rFonts w:hint="eastAsia" w:cs="Times New Roman"/>
                <w:b w:val="0"/>
                <w:bCs w:val="0"/>
                <w:color w:val="auto"/>
                <w:sz w:val="21"/>
                <w:szCs w:val="21"/>
                <w:highlight w:val="none"/>
                <w:lang w:val="en-US" w:eastAsia="zh-CN"/>
              </w:rPr>
              <w:t>均</w:t>
            </w:r>
            <w:r>
              <w:rPr>
                <w:rFonts w:hint="default" w:ascii="Times New Roman" w:hAnsi="Times New Roman" w:cs="Times New Roman"/>
                <w:b w:val="0"/>
                <w:bCs w:val="0"/>
                <w:color w:val="auto"/>
                <w:sz w:val="21"/>
                <w:szCs w:val="21"/>
                <w:highlight w:val="none"/>
                <w:lang w:val="en-US" w:eastAsia="zh-CN"/>
              </w:rPr>
              <w:t>通过区域污水管网排入</w:t>
            </w:r>
            <w:r>
              <w:rPr>
                <w:rFonts w:hint="default" w:ascii="Times New Roman" w:hAnsi="Times New Roman" w:cs="Times New Roman"/>
                <w:color w:val="auto"/>
                <w:sz w:val="21"/>
                <w:szCs w:val="21"/>
                <w:highlight w:val="none"/>
                <w:lang w:val="en-US" w:eastAsia="zh-CN"/>
              </w:rPr>
              <w:t>新乡县综合污水处理厂进一步处理后，最终排入东孟姜女河。</w:t>
            </w:r>
          </w:p>
          <w:p>
            <w:pPr>
              <w:keepLines w:val="0"/>
              <w:pageBreakBefore w:val="0"/>
              <w:widowControl w:val="0"/>
              <w:numPr>
                <w:ilvl w:val="0"/>
                <w:numId w:val="17"/>
              </w:numPr>
              <w:kinsoku/>
              <w:wordWrap/>
              <w:topLinePunct w:val="0"/>
              <w:autoSpaceDE w:val="0"/>
              <w:autoSpaceDN w:val="0"/>
              <w:bidi w:val="0"/>
              <w:adjustRightInd/>
              <w:snapToGrid/>
              <w:spacing w:line="360" w:lineRule="auto"/>
              <w:ind w:firstLine="422" w:firstLineChars="200"/>
              <w:jc w:val="left"/>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生活用水</w:t>
            </w:r>
            <w:r>
              <w:rPr>
                <w:rFonts w:hint="default" w:ascii="Times New Roman" w:hAnsi="Times New Roman" w:cs="Times New Roman"/>
                <w:b/>
                <w:bCs/>
                <w:color w:val="auto"/>
                <w:kern w:val="0"/>
                <w:sz w:val="21"/>
                <w:szCs w:val="21"/>
                <w:highlight w:val="none"/>
                <w:lang w:eastAsia="zh-CN"/>
              </w:rPr>
              <w:t>产排情况</w:t>
            </w:r>
          </w:p>
          <w:p>
            <w:pPr>
              <w:pStyle w:val="28"/>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本次技改后无新增员工，因此无新增生活用水，现有工程生活废水</w:t>
            </w:r>
            <w:r>
              <w:rPr>
                <w:rFonts w:hint="eastAsia" w:ascii="Times New Roman" w:eastAsia="宋体" w:cs="Times New Roman"/>
                <w:b w:val="0"/>
                <w:bCs w:val="0"/>
                <w:color w:val="auto"/>
                <w:kern w:val="2"/>
                <w:sz w:val="21"/>
                <w:szCs w:val="21"/>
                <w:highlight w:val="none"/>
                <w:lang w:val="en-US" w:eastAsia="zh-CN" w:bidi="ar-SA"/>
              </w:rPr>
              <w:t>排放</w:t>
            </w:r>
            <w:r>
              <w:rPr>
                <w:rFonts w:hint="default" w:ascii="Times New Roman" w:hAnsi="Times New Roman" w:eastAsia="宋体" w:cs="Times New Roman"/>
                <w:b w:val="0"/>
                <w:bCs w:val="0"/>
                <w:color w:val="auto"/>
                <w:kern w:val="2"/>
                <w:sz w:val="21"/>
                <w:szCs w:val="21"/>
                <w:highlight w:val="none"/>
                <w:lang w:val="en-US" w:eastAsia="zh-CN" w:bidi="ar-SA"/>
              </w:rPr>
              <w:t>量为1.68m</w:t>
            </w:r>
            <w:r>
              <w:rPr>
                <w:rFonts w:hint="default" w:ascii="Times New Roman" w:hAnsi="Times New Roman" w:eastAsia="宋体" w:cs="Times New Roman"/>
                <w:b w:val="0"/>
                <w:bCs w:val="0"/>
                <w:color w:val="auto"/>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kern w:val="2"/>
                <w:sz w:val="21"/>
                <w:szCs w:val="21"/>
                <w:highlight w:val="none"/>
                <w:lang w:val="en-US" w:eastAsia="zh-CN" w:bidi="ar-SA"/>
              </w:rPr>
              <w:t>/d（</w:t>
            </w:r>
            <w:r>
              <w:rPr>
                <w:rFonts w:hint="eastAsia" w:ascii="Times New Roman" w:eastAsia="宋体" w:cs="Times New Roman"/>
                <w:b w:val="0"/>
                <w:bCs w:val="0"/>
                <w:color w:val="auto"/>
                <w:kern w:val="2"/>
                <w:sz w:val="21"/>
                <w:szCs w:val="21"/>
                <w:highlight w:val="none"/>
                <w:lang w:val="en-US" w:eastAsia="zh-CN" w:bidi="ar-SA"/>
              </w:rPr>
              <w:t>478.8</w:t>
            </w:r>
            <w:r>
              <w:rPr>
                <w:rFonts w:hint="default" w:ascii="Times New Roman" w:hAnsi="Times New Roman" w:eastAsia="宋体" w:cs="Times New Roman"/>
                <w:b w:val="0"/>
                <w:bCs w:val="0"/>
                <w:color w:val="auto"/>
                <w:kern w:val="2"/>
                <w:sz w:val="21"/>
                <w:szCs w:val="21"/>
                <w:highlight w:val="none"/>
                <w:lang w:val="en-US" w:eastAsia="zh-CN" w:bidi="ar-SA"/>
              </w:rPr>
              <w:t>m</w:t>
            </w:r>
            <w:r>
              <w:rPr>
                <w:rFonts w:hint="default" w:ascii="Times New Roman" w:hAnsi="Times New Roman" w:eastAsia="宋体" w:cs="Times New Roman"/>
                <w:b w:val="0"/>
                <w:bCs w:val="0"/>
                <w:color w:val="auto"/>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kern w:val="2"/>
                <w:sz w:val="21"/>
                <w:szCs w:val="21"/>
                <w:highlight w:val="none"/>
                <w:lang w:val="en-US" w:eastAsia="zh-CN" w:bidi="ar-SA"/>
              </w:rPr>
              <w:t>/a），均通过厂区设置的化粪池处理后，通过厂区总排口排入区域污水管网，最终排入新乡县综合污水处理厂进一步处理。</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废水水质情况</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04" w:firstLineChars="200"/>
              <w:textAlignment w:val="auto"/>
              <w:rPr>
                <w:rFonts w:hint="eastAsia" w:cs="Times New Roman"/>
                <w:b w:val="0"/>
                <w:bCs/>
                <w:color w:val="auto"/>
                <w:spacing w:val="-4"/>
                <w:sz w:val="21"/>
                <w:szCs w:val="21"/>
                <w:highlight w:val="none"/>
                <w:lang w:eastAsia="zh-CN"/>
              </w:rPr>
            </w:pPr>
            <w:r>
              <w:rPr>
                <w:rFonts w:hint="eastAsia" w:cs="Times New Roman"/>
                <w:b w:val="0"/>
                <w:bCs/>
                <w:color w:val="auto"/>
                <w:spacing w:val="-4"/>
                <w:sz w:val="21"/>
                <w:szCs w:val="21"/>
                <w:highlight w:val="none"/>
                <w:lang w:eastAsia="zh-CN"/>
              </w:rPr>
              <w:t>本次技改后</w:t>
            </w:r>
            <w:r>
              <w:rPr>
                <w:rFonts w:hint="default" w:ascii="Times New Roman" w:hAnsi="Times New Roman" w:cs="Times New Roman"/>
                <w:b w:val="0"/>
                <w:bCs/>
                <w:color w:val="auto"/>
                <w:spacing w:val="-4"/>
                <w:sz w:val="21"/>
                <w:szCs w:val="21"/>
                <w:highlight w:val="none"/>
                <w:lang w:eastAsia="zh-CN"/>
              </w:rPr>
              <w:t>全厂外排废水包括生活污水和生产</w:t>
            </w:r>
            <w:r>
              <w:rPr>
                <w:rFonts w:hint="eastAsia" w:cs="Times New Roman"/>
                <w:b w:val="0"/>
                <w:bCs/>
                <w:color w:val="auto"/>
                <w:spacing w:val="-4"/>
                <w:sz w:val="21"/>
                <w:szCs w:val="21"/>
                <w:highlight w:val="none"/>
                <w:lang w:eastAsia="zh-CN"/>
              </w:rPr>
              <w:t>废水（包括切割、磨边、粗磨、精磨工序冲洗废水，镀膜前后清洗废水和纯水制备浓水），外排废水水质情况类比现有工程，各工序废水类比可行性说明如下：</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06" w:firstLineChars="200"/>
              <w:textAlignment w:val="auto"/>
              <w:rPr>
                <w:rFonts w:hint="default" w:ascii="Times New Roman" w:hAnsi="Times New Roman" w:cs="Times New Roman"/>
                <w:b w:val="0"/>
                <w:bCs/>
                <w:color w:val="auto"/>
                <w:spacing w:val="-4"/>
                <w:sz w:val="21"/>
                <w:szCs w:val="21"/>
                <w:highlight w:val="none"/>
                <w:lang w:eastAsia="zh-CN"/>
              </w:rPr>
            </w:pPr>
            <w:r>
              <w:rPr>
                <w:rFonts w:hint="default" w:ascii="Times New Roman" w:hAnsi="Times New Roman" w:cs="Times New Roman"/>
                <w:b/>
                <w:bCs w:val="0"/>
                <w:color w:val="auto"/>
                <w:spacing w:val="-4"/>
                <w:sz w:val="21"/>
                <w:szCs w:val="21"/>
                <w:highlight w:val="none"/>
                <w:lang w:eastAsia="zh-CN"/>
              </w:rPr>
              <w:fldChar w:fldCharType="begin"/>
            </w:r>
            <w:r>
              <w:rPr>
                <w:rFonts w:hint="default" w:ascii="Times New Roman" w:hAnsi="Times New Roman" w:cs="Times New Roman"/>
                <w:b/>
                <w:bCs w:val="0"/>
                <w:color w:val="auto"/>
                <w:spacing w:val="-4"/>
                <w:sz w:val="21"/>
                <w:szCs w:val="21"/>
                <w:highlight w:val="none"/>
                <w:lang w:eastAsia="zh-CN"/>
              </w:rPr>
              <w:instrText xml:space="preserve"> = 1 \* GB3 \* MERGEFORMAT </w:instrText>
            </w:r>
            <w:r>
              <w:rPr>
                <w:rFonts w:hint="default" w:ascii="Times New Roman" w:hAnsi="Times New Roman" w:cs="Times New Roman"/>
                <w:b/>
                <w:bCs w:val="0"/>
                <w:color w:val="auto"/>
                <w:spacing w:val="-4"/>
                <w:sz w:val="21"/>
                <w:szCs w:val="21"/>
                <w:highlight w:val="none"/>
                <w:lang w:eastAsia="zh-CN"/>
              </w:rPr>
              <w:fldChar w:fldCharType="separate"/>
            </w:r>
            <w:r>
              <w:rPr>
                <w:b/>
                <w:bCs w:val="0"/>
                <w:color w:val="auto"/>
                <w:sz w:val="21"/>
                <w:szCs w:val="21"/>
              </w:rPr>
              <w:t>①</w:t>
            </w:r>
            <w:r>
              <w:rPr>
                <w:rFonts w:hint="default" w:ascii="Times New Roman" w:hAnsi="Times New Roman" w:cs="Times New Roman"/>
                <w:b/>
                <w:bCs w:val="0"/>
                <w:color w:val="auto"/>
                <w:spacing w:val="-4"/>
                <w:sz w:val="21"/>
                <w:szCs w:val="21"/>
                <w:highlight w:val="none"/>
                <w:lang w:eastAsia="zh-CN"/>
              </w:rPr>
              <w:fldChar w:fldCharType="end"/>
            </w:r>
            <w:r>
              <w:rPr>
                <w:rFonts w:hint="eastAsia" w:cs="Times New Roman"/>
                <w:b/>
                <w:bCs w:val="0"/>
                <w:color w:val="auto"/>
                <w:spacing w:val="-4"/>
                <w:sz w:val="21"/>
                <w:szCs w:val="21"/>
                <w:highlight w:val="none"/>
                <w:lang w:eastAsia="zh-CN"/>
              </w:rPr>
              <w:t>生活污水：</w:t>
            </w:r>
            <w:r>
              <w:rPr>
                <w:rFonts w:hint="default" w:ascii="Times New Roman" w:hAnsi="Times New Roman" w:cs="Times New Roman"/>
                <w:b w:val="0"/>
                <w:bCs/>
                <w:color w:val="auto"/>
                <w:spacing w:val="-4"/>
                <w:sz w:val="21"/>
                <w:szCs w:val="21"/>
                <w:highlight w:val="none"/>
                <w:lang w:eastAsia="zh-CN"/>
              </w:rPr>
              <w:t>本次技改后无新增员工，因此技改后全厂生活污水产排情况与现有工程一致</w:t>
            </w:r>
            <w:r>
              <w:rPr>
                <w:rFonts w:hint="eastAsia" w:cs="Times New Roman"/>
                <w:b w:val="0"/>
                <w:bCs/>
                <w:color w:val="auto"/>
                <w:spacing w:val="-4"/>
                <w:sz w:val="21"/>
                <w:szCs w:val="21"/>
                <w:highlight w:val="none"/>
                <w:lang w:eastAsia="zh-CN"/>
              </w:rPr>
              <w:t>，因此生活污水水质情况可类比现有工程</w:t>
            </w:r>
            <w:r>
              <w:rPr>
                <w:rFonts w:hint="default" w:ascii="Times New Roman" w:hAnsi="Times New Roman" w:cs="Times New Roman"/>
                <w:b w:val="0"/>
                <w:bCs/>
                <w:color w:val="auto"/>
                <w:spacing w:val="-4"/>
                <w:sz w:val="21"/>
                <w:szCs w:val="21"/>
                <w:highlight w:val="none"/>
                <w:lang w:eastAsia="zh-CN"/>
              </w:rPr>
              <w:t>。</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04" w:firstLineChars="200"/>
              <w:textAlignment w:val="auto"/>
              <w:rPr>
                <w:rFonts w:hint="eastAsia" w:cs="Times New Roman"/>
                <w:b w:val="0"/>
                <w:bCs/>
                <w:color w:val="auto"/>
                <w:spacing w:val="-4"/>
                <w:sz w:val="21"/>
                <w:szCs w:val="21"/>
                <w:highlight w:val="none"/>
                <w:lang w:eastAsia="zh-CN"/>
              </w:rPr>
            </w:pPr>
            <w:r>
              <w:rPr>
                <w:rFonts w:hint="eastAsia" w:cs="Times New Roman"/>
                <w:b w:val="0"/>
                <w:bCs/>
                <w:color w:val="auto"/>
                <w:spacing w:val="-4"/>
                <w:sz w:val="21"/>
                <w:szCs w:val="21"/>
                <w:highlight w:val="none"/>
                <w:lang w:eastAsia="zh-CN"/>
              </w:rPr>
              <w:fldChar w:fldCharType="begin"/>
            </w:r>
            <w:r>
              <w:rPr>
                <w:rFonts w:hint="eastAsia" w:cs="Times New Roman"/>
                <w:b w:val="0"/>
                <w:bCs/>
                <w:color w:val="auto"/>
                <w:spacing w:val="-4"/>
                <w:sz w:val="21"/>
                <w:szCs w:val="21"/>
                <w:highlight w:val="none"/>
                <w:lang w:eastAsia="zh-CN"/>
              </w:rPr>
              <w:instrText xml:space="preserve"> = 2 \* GB3 \* MERGEFORMAT </w:instrText>
            </w:r>
            <w:r>
              <w:rPr>
                <w:rFonts w:hint="eastAsia" w:cs="Times New Roman"/>
                <w:b w:val="0"/>
                <w:bCs/>
                <w:color w:val="auto"/>
                <w:spacing w:val="-4"/>
                <w:sz w:val="21"/>
                <w:szCs w:val="21"/>
                <w:highlight w:val="none"/>
                <w:lang w:eastAsia="zh-CN"/>
              </w:rPr>
              <w:fldChar w:fldCharType="separate"/>
            </w:r>
            <w:r>
              <w:rPr>
                <w:color w:val="auto"/>
                <w:sz w:val="21"/>
                <w:szCs w:val="21"/>
              </w:rPr>
              <w:t>②</w:t>
            </w:r>
            <w:r>
              <w:rPr>
                <w:rFonts w:hint="eastAsia" w:cs="Times New Roman"/>
                <w:b w:val="0"/>
                <w:bCs/>
                <w:color w:val="auto"/>
                <w:spacing w:val="-4"/>
                <w:sz w:val="21"/>
                <w:szCs w:val="21"/>
                <w:highlight w:val="none"/>
                <w:lang w:eastAsia="zh-CN"/>
              </w:rPr>
              <w:fldChar w:fldCharType="end"/>
            </w:r>
            <w:r>
              <w:rPr>
                <w:rFonts w:hint="eastAsia" w:cs="Times New Roman"/>
                <w:b/>
                <w:bCs w:val="0"/>
                <w:color w:val="auto"/>
                <w:spacing w:val="-4"/>
                <w:sz w:val="21"/>
                <w:szCs w:val="21"/>
                <w:highlight w:val="none"/>
                <w:lang w:eastAsia="zh-CN"/>
              </w:rPr>
              <w:t>切割、磨边、粗磨、精磨工序冲洗废水：</w:t>
            </w:r>
            <w:r>
              <w:rPr>
                <w:rFonts w:hint="eastAsia" w:cs="Times New Roman"/>
                <w:b w:val="0"/>
                <w:bCs/>
                <w:color w:val="auto"/>
                <w:spacing w:val="-4"/>
                <w:sz w:val="21"/>
                <w:szCs w:val="21"/>
                <w:highlight w:val="none"/>
                <w:lang w:eastAsia="zh-CN"/>
              </w:rPr>
              <w:t>根据技改前后生产工艺可知，</w:t>
            </w:r>
            <w:r>
              <w:rPr>
                <w:rFonts w:hint="default" w:ascii="Times New Roman" w:hAnsi="Times New Roman" w:cs="Times New Roman"/>
                <w:b w:val="0"/>
                <w:bCs/>
                <w:color w:val="auto"/>
                <w:spacing w:val="-4"/>
                <w:sz w:val="21"/>
                <w:szCs w:val="21"/>
                <w:highlight w:val="none"/>
                <w:lang w:eastAsia="zh-CN"/>
              </w:rPr>
              <w:t>本次技改后</w:t>
            </w:r>
            <w:r>
              <w:rPr>
                <w:rFonts w:hint="eastAsia" w:cs="Times New Roman"/>
                <w:b w:val="0"/>
                <w:bCs/>
                <w:color w:val="auto"/>
                <w:spacing w:val="-4"/>
                <w:sz w:val="21"/>
                <w:szCs w:val="21"/>
                <w:highlight w:val="none"/>
                <w:lang w:eastAsia="zh-CN"/>
              </w:rPr>
              <w:t>新增</w:t>
            </w:r>
            <w:r>
              <w:rPr>
                <w:rFonts w:hint="default" w:ascii="Times New Roman" w:hAnsi="Times New Roman" w:cs="Times New Roman"/>
                <w:b w:val="0"/>
                <w:bCs/>
                <w:color w:val="auto"/>
                <w:spacing w:val="-4"/>
                <w:sz w:val="21"/>
                <w:szCs w:val="21"/>
                <w:highlight w:val="none"/>
                <w:lang w:eastAsia="zh-CN"/>
              </w:rPr>
              <w:t>下料、粗磨、精磨</w:t>
            </w:r>
            <w:r>
              <w:rPr>
                <w:rFonts w:hint="eastAsia" w:cs="Times New Roman"/>
                <w:b w:val="0"/>
                <w:bCs/>
                <w:color w:val="auto"/>
                <w:spacing w:val="-4"/>
                <w:sz w:val="21"/>
                <w:szCs w:val="21"/>
                <w:highlight w:val="none"/>
                <w:lang w:eastAsia="zh-CN"/>
              </w:rPr>
              <w:t>等加工方式同现有磨边工序加工方式类似，均是通过各类磨具进行磨削加工，废水主要为冲洗产生的废水，因此各工序废水水质情况同现有工程类似，可类比现有工程。</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06" w:firstLineChars="200"/>
              <w:textAlignment w:val="auto"/>
              <w:rPr>
                <w:rFonts w:hint="eastAsia" w:cs="Times New Roman"/>
                <w:b w:val="0"/>
                <w:bCs/>
                <w:color w:val="auto"/>
                <w:spacing w:val="-4"/>
                <w:sz w:val="21"/>
                <w:szCs w:val="21"/>
                <w:highlight w:val="none"/>
                <w:lang w:eastAsia="zh-CN"/>
              </w:rPr>
            </w:pPr>
            <w:r>
              <w:rPr>
                <w:rFonts w:hint="default" w:ascii="Times New Roman" w:hAnsi="Times New Roman" w:cs="Times New Roman"/>
                <w:b/>
                <w:bCs w:val="0"/>
                <w:color w:val="auto"/>
                <w:spacing w:val="-4"/>
                <w:sz w:val="21"/>
                <w:szCs w:val="21"/>
                <w:highlight w:val="none"/>
                <w:lang w:eastAsia="zh-CN"/>
              </w:rPr>
              <w:fldChar w:fldCharType="begin"/>
            </w:r>
            <w:r>
              <w:rPr>
                <w:rFonts w:hint="default" w:ascii="Times New Roman" w:hAnsi="Times New Roman" w:cs="Times New Roman"/>
                <w:b/>
                <w:bCs w:val="0"/>
                <w:color w:val="auto"/>
                <w:spacing w:val="-4"/>
                <w:sz w:val="21"/>
                <w:szCs w:val="21"/>
                <w:highlight w:val="none"/>
                <w:lang w:eastAsia="zh-CN"/>
              </w:rPr>
              <w:instrText xml:space="preserve"> = 3 \* GB3 \* MERGEFORMAT </w:instrText>
            </w:r>
            <w:r>
              <w:rPr>
                <w:rFonts w:hint="default" w:ascii="Times New Roman" w:hAnsi="Times New Roman" w:cs="Times New Roman"/>
                <w:b/>
                <w:bCs w:val="0"/>
                <w:color w:val="auto"/>
                <w:spacing w:val="-4"/>
                <w:sz w:val="21"/>
                <w:szCs w:val="21"/>
                <w:highlight w:val="none"/>
                <w:lang w:eastAsia="zh-CN"/>
              </w:rPr>
              <w:fldChar w:fldCharType="separate"/>
            </w:r>
            <w:r>
              <w:rPr>
                <w:b/>
                <w:bCs w:val="0"/>
                <w:color w:val="auto"/>
                <w:sz w:val="21"/>
                <w:szCs w:val="21"/>
              </w:rPr>
              <w:t>③</w:t>
            </w:r>
            <w:r>
              <w:rPr>
                <w:rFonts w:hint="default" w:ascii="Times New Roman" w:hAnsi="Times New Roman" w:cs="Times New Roman"/>
                <w:b/>
                <w:bCs w:val="0"/>
                <w:color w:val="auto"/>
                <w:spacing w:val="-4"/>
                <w:sz w:val="21"/>
                <w:szCs w:val="21"/>
                <w:highlight w:val="none"/>
                <w:lang w:eastAsia="zh-CN"/>
              </w:rPr>
              <w:fldChar w:fldCharType="end"/>
            </w:r>
            <w:r>
              <w:rPr>
                <w:rFonts w:hint="eastAsia" w:cs="Times New Roman"/>
                <w:b/>
                <w:bCs w:val="0"/>
                <w:color w:val="auto"/>
                <w:spacing w:val="-4"/>
                <w:sz w:val="21"/>
                <w:szCs w:val="21"/>
                <w:highlight w:val="none"/>
                <w:lang w:eastAsia="zh-CN"/>
              </w:rPr>
              <w:t>镀膜前后清洗废水：</w:t>
            </w:r>
            <w:r>
              <w:rPr>
                <w:rFonts w:hint="default" w:ascii="Times New Roman" w:hAnsi="Times New Roman" w:cs="Times New Roman"/>
                <w:b w:val="0"/>
                <w:bCs/>
                <w:color w:val="auto"/>
                <w:spacing w:val="-4"/>
                <w:sz w:val="21"/>
                <w:szCs w:val="21"/>
                <w:highlight w:val="none"/>
                <w:lang w:eastAsia="zh-CN"/>
              </w:rPr>
              <w:t>镀膜前后玻璃清洗</w:t>
            </w:r>
            <w:r>
              <w:rPr>
                <w:rFonts w:hint="eastAsia" w:cs="Times New Roman"/>
                <w:b w:val="0"/>
                <w:bCs/>
                <w:color w:val="auto"/>
                <w:spacing w:val="-4"/>
                <w:sz w:val="21"/>
                <w:szCs w:val="21"/>
                <w:highlight w:val="none"/>
                <w:lang w:eastAsia="zh-CN"/>
              </w:rPr>
              <w:t>方式未发生变化，因此技改后镀膜前后清洗废水水质情况同现有工程相同。</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06" w:firstLineChars="200"/>
              <w:textAlignment w:val="auto"/>
              <w:rPr>
                <w:rFonts w:hint="eastAsia" w:cs="Times New Roman"/>
                <w:b w:val="0"/>
                <w:bCs/>
                <w:color w:val="auto"/>
                <w:spacing w:val="-4"/>
                <w:sz w:val="21"/>
                <w:szCs w:val="21"/>
                <w:highlight w:val="none"/>
                <w:lang w:eastAsia="zh-CN"/>
              </w:rPr>
            </w:pPr>
            <w:r>
              <w:rPr>
                <w:rFonts w:hint="eastAsia" w:cs="Times New Roman"/>
                <w:b/>
                <w:bCs w:val="0"/>
                <w:color w:val="auto"/>
                <w:spacing w:val="-4"/>
                <w:sz w:val="21"/>
                <w:szCs w:val="21"/>
                <w:highlight w:val="none"/>
                <w:lang w:eastAsia="zh-CN"/>
              </w:rPr>
              <w:fldChar w:fldCharType="begin"/>
            </w:r>
            <w:r>
              <w:rPr>
                <w:rFonts w:hint="eastAsia" w:cs="Times New Roman"/>
                <w:b/>
                <w:bCs w:val="0"/>
                <w:color w:val="auto"/>
                <w:spacing w:val="-4"/>
                <w:sz w:val="21"/>
                <w:szCs w:val="21"/>
                <w:highlight w:val="none"/>
                <w:lang w:eastAsia="zh-CN"/>
              </w:rPr>
              <w:instrText xml:space="preserve"> = 4 \* GB3 \* MERGEFORMAT </w:instrText>
            </w:r>
            <w:r>
              <w:rPr>
                <w:rFonts w:hint="eastAsia" w:cs="Times New Roman"/>
                <w:b/>
                <w:bCs w:val="0"/>
                <w:color w:val="auto"/>
                <w:spacing w:val="-4"/>
                <w:sz w:val="21"/>
                <w:szCs w:val="21"/>
                <w:highlight w:val="none"/>
                <w:lang w:eastAsia="zh-CN"/>
              </w:rPr>
              <w:fldChar w:fldCharType="separate"/>
            </w:r>
            <w:r>
              <w:rPr>
                <w:b/>
                <w:bCs w:val="0"/>
                <w:color w:val="auto"/>
                <w:sz w:val="21"/>
                <w:szCs w:val="21"/>
                <w:highlight w:val="none"/>
              </w:rPr>
              <w:t>④</w:t>
            </w:r>
            <w:r>
              <w:rPr>
                <w:rFonts w:hint="eastAsia" w:cs="Times New Roman"/>
                <w:b/>
                <w:bCs w:val="0"/>
                <w:color w:val="auto"/>
                <w:spacing w:val="-4"/>
                <w:sz w:val="21"/>
                <w:szCs w:val="21"/>
                <w:highlight w:val="none"/>
                <w:lang w:eastAsia="zh-CN"/>
              </w:rPr>
              <w:fldChar w:fldCharType="end"/>
            </w:r>
            <w:r>
              <w:rPr>
                <w:rFonts w:hint="eastAsia" w:cs="Times New Roman"/>
                <w:b/>
                <w:bCs w:val="0"/>
                <w:color w:val="auto"/>
                <w:spacing w:val="-4"/>
                <w:sz w:val="21"/>
                <w:szCs w:val="21"/>
                <w:highlight w:val="none"/>
                <w:lang w:eastAsia="zh-CN"/>
              </w:rPr>
              <w:t>纯水制备浓水：</w:t>
            </w:r>
            <w:r>
              <w:rPr>
                <w:rFonts w:hint="eastAsia" w:cs="Times New Roman"/>
                <w:b w:val="0"/>
                <w:bCs/>
                <w:color w:val="auto"/>
                <w:spacing w:val="-4"/>
                <w:sz w:val="21"/>
                <w:szCs w:val="21"/>
                <w:highlight w:val="none"/>
                <w:lang w:eastAsia="zh-CN"/>
              </w:rPr>
              <w:t>本次技改后纯水制备仍利用现有设备，纯水制备工艺未发生改变，因此纯水制备过程浓水水质情况同现有工程相同。</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right="0" w:rightChars="0" w:firstLine="404" w:firstLineChars="200"/>
              <w:textAlignment w:val="auto"/>
              <w:rPr>
                <w:rFonts w:hint="default" w:ascii="Times New Roman" w:hAnsi="Times New Roman" w:cs="Times New Roman"/>
                <w:b w:val="0"/>
                <w:bCs/>
                <w:color w:val="auto"/>
                <w:sz w:val="21"/>
                <w:szCs w:val="21"/>
                <w:highlight w:val="none"/>
                <w:lang w:val="en-US" w:eastAsia="zh-CN"/>
              </w:rPr>
            </w:pPr>
            <w:r>
              <w:rPr>
                <w:rFonts w:hint="eastAsia" w:cs="Times New Roman"/>
                <w:b w:val="0"/>
                <w:bCs/>
                <w:color w:val="auto"/>
                <w:spacing w:val="-4"/>
                <w:sz w:val="21"/>
                <w:szCs w:val="21"/>
                <w:highlight w:val="none"/>
                <w:lang w:eastAsia="zh-CN"/>
              </w:rPr>
              <w:t>综上，本次技改后外排</w:t>
            </w:r>
            <w:r>
              <w:rPr>
                <w:rFonts w:hint="default" w:ascii="Times New Roman" w:hAnsi="Times New Roman" w:cs="Times New Roman"/>
                <w:b w:val="0"/>
                <w:bCs/>
                <w:color w:val="auto"/>
                <w:spacing w:val="-4"/>
                <w:sz w:val="21"/>
                <w:szCs w:val="21"/>
                <w:highlight w:val="none"/>
                <w:lang w:eastAsia="zh-CN"/>
              </w:rPr>
              <w:t>废水水质情况</w:t>
            </w:r>
            <w:r>
              <w:rPr>
                <w:rFonts w:hint="eastAsia" w:cs="Times New Roman"/>
                <w:b w:val="0"/>
                <w:bCs/>
                <w:color w:val="auto"/>
                <w:spacing w:val="-4"/>
                <w:sz w:val="21"/>
                <w:szCs w:val="21"/>
                <w:highlight w:val="none"/>
                <w:lang w:eastAsia="zh-CN"/>
              </w:rPr>
              <w:t>均同</w:t>
            </w:r>
            <w:r>
              <w:rPr>
                <w:rFonts w:hint="default" w:ascii="Times New Roman" w:hAnsi="Times New Roman" w:cs="Times New Roman"/>
                <w:b w:val="0"/>
                <w:bCs/>
                <w:color w:val="auto"/>
                <w:spacing w:val="-4"/>
                <w:sz w:val="21"/>
                <w:szCs w:val="21"/>
                <w:highlight w:val="none"/>
                <w:lang w:eastAsia="zh-CN"/>
              </w:rPr>
              <w:t>现有工程类似，</w:t>
            </w:r>
            <w:r>
              <w:rPr>
                <w:rFonts w:hint="eastAsia" w:cs="Times New Roman"/>
                <w:b w:val="0"/>
                <w:bCs/>
                <w:color w:val="auto"/>
                <w:spacing w:val="-4"/>
                <w:sz w:val="21"/>
                <w:szCs w:val="21"/>
                <w:highlight w:val="none"/>
                <w:lang w:eastAsia="zh-CN"/>
              </w:rPr>
              <w:t>因此技改后废水水质情况均</w:t>
            </w:r>
            <w:r>
              <w:rPr>
                <w:rFonts w:hint="default" w:ascii="Times New Roman" w:hAnsi="Times New Roman" w:cs="Times New Roman"/>
                <w:b w:val="0"/>
                <w:bCs/>
                <w:color w:val="auto"/>
                <w:sz w:val="21"/>
                <w:szCs w:val="21"/>
                <w:highlight w:val="none"/>
                <w:lang w:val="en-US" w:eastAsia="zh-CN"/>
              </w:rPr>
              <w:t>类比现有工程，本次技改后全厂废水排放情况如下：</w:t>
            </w:r>
          </w:p>
          <w:p>
            <w:pPr>
              <w:rPr>
                <w:rFonts w:hint="default" w:ascii="Times New Roman" w:hAnsi="Times New Roman" w:cs="Times New Roman"/>
                <w:b w:val="0"/>
                <w:bCs/>
                <w:color w:val="auto"/>
                <w:sz w:val="21"/>
                <w:szCs w:val="21"/>
                <w:highlight w:val="none"/>
                <w:lang w:val="en-US" w:eastAsia="zh-CN"/>
              </w:rPr>
            </w:pPr>
          </w:p>
          <w:p>
            <w:pPr>
              <w:pStyle w:val="2"/>
              <w:rPr>
                <w:rFonts w:hint="default" w:ascii="Times New Roman" w:hAnsi="Times New Roman" w:cs="Times New Roman"/>
                <w:b w:val="0"/>
                <w:bCs/>
                <w:color w:val="auto"/>
                <w:sz w:val="21"/>
                <w:szCs w:val="21"/>
                <w:highlight w:val="none"/>
                <w:lang w:val="en-US" w:eastAsia="zh-CN"/>
              </w:rPr>
            </w:pPr>
          </w:p>
          <w:p>
            <w:pPr>
              <w:rPr>
                <w:rFonts w:hint="default" w:ascii="Times New Roman" w:hAnsi="Times New Roman" w:cs="Times New Roman"/>
                <w:b w:val="0"/>
                <w:bCs/>
                <w:color w:val="auto"/>
                <w:sz w:val="21"/>
                <w:szCs w:val="21"/>
                <w:highlight w:val="none"/>
                <w:lang w:val="en-US" w:eastAsia="zh-CN"/>
              </w:rPr>
            </w:pPr>
          </w:p>
          <w:p>
            <w:pPr>
              <w:pStyle w:val="2"/>
              <w:rPr>
                <w:rFonts w:hint="default" w:ascii="Times New Roman" w:hAnsi="Times New Roman" w:cs="Times New Roman"/>
                <w:b w:val="0"/>
                <w:bCs/>
                <w:color w:val="auto"/>
                <w:sz w:val="21"/>
                <w:szCs w:val="21"/>
                <w:highlight w:val="none"/>
                <w:lang w:val="en-US" w:eastAsia="zh-CN"/>
              </w:rPr>
            </w:pPr>
          </w:p>
          <w:p>
            <w:pPr>
              <w:rPr>
                <w:rFonts w:hint="default" w:ascii="Times New Roman" w:hAnsi="Times New Roman" w:cs="Times New Roman"/>
                <w:b w:val="0"/>
                <w:bCs/>
                <w:color w:val="auto"/>
                <w:sz w:val="21"/>
                <w:szCs w:val="21"/>
                <w:highlight w:val="none"/>
                <w:lang w:val="en-US" w:eastAsia="zh-CN"/>
              </w:rPr>
            </w:pPr>
          </w:p>
          <w:p>
            <w:pPr>
              <w:pStyle w:val="2"/>
              <w:rPr>
                <w:rFonts w:hint="default" w:ascii="Times New Roman" w:hAnsi="Times New Roman" w:cs="Times New Roman"/>
                <w:b w:val="0"/>
                <w:bCs/>
                <w:color w:val="auto"/>
                <w:sz w:val="21"/>
                <w:szCs w:val="21"/>
                <w:highlight w:val="none"/>
                <w:lang w:val="en-US" w:eastAsia="zh-CN"/>
              </w:rPr>
            </w:pPr>
          </w:p>
          <w:p>
            <w:pPr>
              <w:rPr>
                <w:rFonts w:hint="default" w:ascii="Times New Roman" w:hAnsi="Times New Roman" w:cs="Times New Roman"/>
                <w:b w:val="0"/>
                <w:bCs/>
                <w:color w:val="auto"/>
                <w:sz w:val="21"/>
                <w:szCs w:val="21"/>
                <w:highlight w:val="none"/>
                <w:lang w:val="en-US" w:eastAsia="zh-CN"/>
              </w:rPr>
            </w:pPr>
          </w:p>
          <w:p>
            <w:pPr>
              <w:pStyle w:val="2"/>
              <w:rPr>
                <w:rFonts w:hint="default" w:ascii="Times New Roman" w:hAnsi="Times New Roman" w:cs="Times New Roman"/>
                <w:b w:val="0"/>
                <w:bCs/>
                <w:color w:val="auto"/>
                <w:sz w:val="21"/>
                <w:szCs w:val="21"/>
                <w:highlight w:val="none"/>
                <w:lang w:val="en-US" w:eastAsia="zh-CN"/>
              </w:rPr>
            </w:pPr>
          </w:p>
          <w:p>
            <w:pPr>
              <w:rPr>
                <w:rFonts w:hint="default" w:ascii="Times New Roman" w:hAnsi="Times New Roman" w:cs="Times New Roman"/>
                <w:b w:val="0"/>
                <w:bCs/>
                <w:color w:val="auto"/>
                <w:sz w:val="21"/>
                <w:szCs w:val="21"/>
                <w:highlight w:val="none"/>
                <w:lang w:val="en-US" w:eastAsia="zh-CN"/>
              </w:rPr>
            </w:pPr>
          </w:p>
          <w:p>
            <w:pPr>
              <w:pStyle w:val="2"/>
              <w:rPr>
                <w:rFonts w:hint="default" w:ascii="Times New Roman" w:hAnsi="Times New Roman" w:cs="Times New Roman"/>
                <w:b w:val="0"/>
                <w:bCs/>
                <w:color w:val="auto"/>
                <w:sz w:val="21"/>
                <w:szCs w:val="21"/>
                <w:highlight w:val="none"/>
                <w:lang w:val="en-US" w:eastAsia="zh-CN"/>
              </w:rPr>
            </w:pPr>
          </w:p>
          <w:p>
            <w:pPr>
              <w:rPr>
                <w:rFonts w:hint="default" w:ascii="Times New Roman" w:hAnsi="Times New Roman" w:cs="Times New Roman"/>
                <w:b w:val="0"/>
                <w:bCs/>
                <w:color w:val="auto"/>
                <w:sz w:val="21"/>
                <w:szCs w:val="21"/>
                <w:highlight w:val="none"/>
                <w:lang w:val="en-US" w:eastAsia="zh-CN"/>
              </w:rPr>
            </w:pPr>
          </w:p>
          <w:p>
            <w:pPr>
              <w:pStyle w:val="2"/>
              <w:rPr>
                <w:rFonts w:hint="default" w:ascii="Times New Roman" w:hAnsi="Times New Roman" w:cs="Times New Roman"/>
                <w:b w:val="0"/>
                <w:bCs/>
                <w:color w:val="auto"/>
                <w:sz w:val="21"/>
                <w:szCs w:val="21"/>
                <w:highlight w:val="none"/>
                <w:lang w:val="en-US" w:eastAsia="zh-CN"/>
              </w:rPr>
            </w:pPr>
          </w:p>
          <w:p>
            <w:pPr>
              <w:rPr>
                <w:rFonts w:hint="default" w:ascii="Times New Roman" w:hAnsi="Times New Roman" w:cs="Times New Roman"/>
                <w:b w:val="0"/>
                <w:bCs/>
                <w:color w:val="auto"/>
                <w:sz w:val="21"/>
                <w:szCs w:val="21"/>
                <w:highlight w:val="none"/>
                <w:lang w:val="en-US" w:eastAsia="zh-CN"/>
              </w:rPr>
            </w:pPr>
          </w:p>
          <w:p>
            <w:pPr>
              <w:pStyle w:val="2"/>
              <w:rPr>
                <w:rFonts w:hint="default" w:ascii="Times New Roman" w:hAnsi="Times New Roman" w:cs="Times New Roman"/>
                <w:b w:val="0"/>
                <w:bCs/>
                <w:color w:val="auto"/>
                <w:sz w:val="21"/>
                <w:szCs w:val="21"/>
                <w:highlight w:val="none"/>
                <w:lang w:val="en-US" w:eastAsia="zh-CN"/>
              </w:rPr>
            </w:pPr>
          </w:p>
          <w:p>
            <w:pPr>
              <w:pStyle w:val="2"/>
              <w:ind w:left="0" w:leftChars="0" w:firstLine="0" w:firstLineChars="0"/>
              <w:rPr>
                <w:rFonts w:hint="default"/>
                <w:color w:val="auto"/>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right="0"/>
              <w:jc w:val="center"/>
              <w:textAlignment w:val="auto"/>
              <w:rPr>
                <w:rFonts w:hint="default"/>
                <w:color w:val="auto"/>
                <w:lang w:val="en-US" w:eastAsia="zh-CN"/>
              </w:rPr>
            </w:pPr>
            <w:r>
              <w:rPr>
                <w:rFonts w:hint="default" w:ascii="Times New Roman" w:hAnsi="Times New Roman" w:eastAsia="黑体" w:cs="Times New Roman"/>
                <w:color w:val="auto"/>
                <w:sz w:val="18"/>
                <w:szCs w:val="18"/>
                <w:highlight w:val="none"/>
                <w:lang w:val="en-US" w:eastAsia="zh-CN"/>
              </w:rPr>
              <w:t>技改后全厂废水排放情况汇总表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800"/>
              <w:gridCol w:w="945"/>
              <w:gridCol w:w="765"/>
              <w:gridCol w:w="750"/>
              <w:gridCol w:w="475"/>
              <w:gridCol w:w="675"/>
              <w:gridCol w:w="770"/>
              <w:gridCol w:w="720"/>
              <w:gridCol w:w="9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eastAsia" w:cs="Times New Roman"/>
                      <w:b w:val="0"/>
                      <w:bCs/>
                      <w:color w:val="auto"/>
                      <w:spacing w:val="-4"/>
                      <w:sz w:val="18"/>
                      <w:szCs w:val="18"/>
                      <w:highlight w:val="none"/>
                      <w:vertAlign w:val="baseline"/>
                      <w:lang w:eastAsia="zh-CN"/>
                    </w:rPr>
                    <w:t>产污工序</w:t>
                  </w:r>
                </w:p>
              </w:tc>
              <w:tc>
                <w:tcPr>
                  <w:tcW w:w="513"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eastAsia" w:cs="Times New Roman"/>
                      <w:b w:val="0"/>
                      <w:bCs/>
                      <w:color w:val="auto"/>
                      <w:spacing w:val="-4"/>
                      <w:sz w:val="18"/>
                      <w:szCs w:val="18"/>
                      <w:highlight w:val="none"/>
                      <w:vertAlign w:val="baseline"/>
                      <w:lang w:eastAsia="zh-CN"/>
                    </w:rPr>
                    <w:t>废水量（</w:t>
                  </w:r>
                  <w:r>
                    <w:rPr>
                      <w:rFonts w:hint="eastAsia" w:cs="Times New Roman"/>
                      <w:b w:val="0"/>
                      <w:bCs/>
                      <w:color w:val="auto"/>
                      <w:spacing w:val="-4"/>
                      <w:sz w:val="18"/>
                      <w:szCs w:val="18"/>
                      <w:highlight w:val="none"/>
                      <w:vertAlign w:val="baseline"/>
                      <w:lang w:val="en-US" w:eastAsia="zh-CN"/>
                    </w:rPr>
                    <w:t>m</w:t>
                  </w:r>
                  <w:r>
                    <w:rPr>
                      <w:rFonts w:hint="eastAsia" w:cs="Times New Roman"/>
                      <w:b w:val="0"/>
                      <w:bCs/>
                      <w:color w:val="auto"/>
                      <w:spacing w:val="-4"/>
                      <w:sz w:val="18"/>
                      <w:szCs w:val="18"/>
                      <w:highlight w:val="none"/>
                      <w:vertAlign w:val="superscript"/>
                      <w:lang w:val="en-US" w:eastAsia="zh-CN"/>
                    </w:rPr>
                    <w:t>3</w:t>
                  </w:r>
                  <w:r>
                    <w:rPr>
                      <w:rFonts w:hint="eastAsia" w:cs="Times New Roman"/>
                      <w:b w:val="0"/>
                      <w:bCs/>
                      <w:color w:val="auto"/>
                      <w:spacing w:val="-4"/>
                      <w:sz w:val="18"/>
                      <w:szCs w:val="18"/>
                      <w:highlight w:val="none"/>
                      <w:vertAlign w:val="baseline"/>
                      <w:lang w:val="en-US" w:eastAsia="zh-CN"/>
                    </w:rPr>
                    <w:t>/a</w:t>
                  </w:r>
                  <w:r>
                    <w:rPr>
                      <w:rFonts w:hint="eastAsia" w:cs="Times New Roman"/>
                      <w:b w:val="0"/>
                      <w:bCs/>
                      <w:color w:val="auto"/>
                      <w:spacing w:val="-4"/>
                      <w:sz w:val="18"/>
                      <w:szCs w:val="18"/>
                      <w:highlight w:val="none"/>
                      <w:vertAlign w:val="baseline"/>
                      <w:lang w:eastAsia="zh-CN"/>
                    </w:rPr>
                    <w:t>）</w:t>
                  </w:r>
                </w:p>
              </w:tc>
              <w:tc>
                <w:tcPr>
                  <w:tcW w:w="606"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Times New Roman"/>
                      <w:b w:val="0"/>
                      <w:bCs/>
                      <w:color w:val="auto"/>
                      <w:spacing w:val="-4"/>
                      <w:kern w:val="2"/>
                      <w:sz w:val="18"/>
                      <w:szCs w:val="18"/>
                      <w:highlight w:val="none"/>
                      <w:vertAlign w:val="baseline"/>
                      <w:lang w:val="en-US" w:eastAsia="zh-CN" w:bidi="ar-SA"/>
                    </w:rPr>
                  </w:pPr>
                  <w:r>
                    <w:rPr>
                      <w:rFonts w:hint="eastAsia" w:cs="Times New Roman"/>
                      <w:b w:val="0"/>
                      <w:bCs/>
                      <w:color w:val="auto"/>
                      <w:spacing w:val="-4"/>
                      <w:sz w:val="18"/>
                      <w:szCs w:val="18"/>
                      <w:highlight w:val="none"/>
                      <w:vertAlign w:val="baseline"/>
                      <w:lang w:eastAsia="zh-CN"/>
                    </w:rPr>
                    <w:t>污染因子</w:t>
                  </w:r>
                </w:p>
              </w:tc>
              <w:tc>
                <w:tcPr>
                  <w:tcW w:w="491" w:type="pct"/>
                  <w:vMerge w:val="restar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eastAsia" w:cs="Times New Roman"/>
                      <w:b w:val="0"/>
                      <w:bCs/>
                      <w:color w:val="auto"/>
                      <w:spacing w:val="-4"/>
                      <w:sz w:val="18"/>
                      <w:szCs w:val="18"/>
                      <w:highlight w:val="none"/>
                      <w:vertAlign w:val="baseline"/>
                      <w:lang w:eastAsia="zh-CN"/>
                    </w:rPr>
                    <w:t>产生浓度（</w:t>
                  </w:r>
                  <w:r>
                    <w:rPr>
                      <w:rFonts w:hint="eastAsia" w:cs="Times New Roman"/>
                      <w:b w:val="0"/>
                      <w:bCs/>
                      <w:color w:val="auto"/>
                      <w:spacing w:val="-4"/>
                      <w:sz w:val="18"/>
                      <w:szCs w:val="18"/>
                      <w:highlight w:val="none"/>
                      <w:vertAlign w:val="baseline"/>
                      <w:lang w:val="en-US" w:eastAsia="zh-CN"/>
                    </w:rPr>
                    <w:t>mg/L</w:t>
                  </w:r>
                  <w:r>
                    <w:rPr>
                      <w:rFonts w:hint="eastAsia" w:cs="Times New Roman"/>
                      <w:b w:val="0"/>
                      <w:bCs/>
                      <w:color w:val="auto"/>
                      <w:spacing w:val="-4"/>
                      <w:sz w:val="18"/>
                      <w:szCs w:val="18"/>
                      <w:highlight w:val="none"/>
                      <w:vertAlign w:val="baseline"/>
                      <w:lang w:eastAsia="zh-CN"/>
                    </w:rPr>
                    <w:t>）</w:t>
                  </w:r>
                </w:p>
              </w:tc>
              <w:tc>
                <w:tcPr>
                  <w:tcW w:w="481" w:type="pct"/>
                  <w:vMerge w:val="restart"/>
                  <w:tcBorders>
                    <w:lef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产生量（t/a）</w:t>
                  </w:r>
                </w:p>
              </w:tc>
              <w:tc>
                <w:tcPr>
                  <w:tcW w:w="738" w:type="pct"/>
                  <w:gridSpan w:val="2"/>
                  <w:tcBorders>
                    <w:bottom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eastAsia" w:cs="Times New Roman"/>
                      <w:b w:val="0"/>
                      <w:bCs/>
                      <w:color w:val="auto"/>
                      <w:spacing w:val="-4"/>
                      <w:sz w:val="18"/>
                      <w:szCs w:val="18"/>
                      <w:highlight w:val="none"/>
                      <w:vertAlign w:val="baseline"/>
                      <w:lang w:eastAsia="zh-CN"/>
                    </w:rPr>
                    <w:t>处理措施</w:t>
                  </w:r>
                </w:p>
              </w:tc>
              <w:tc>
                <w:tcPr>
                  <w:tcW w:w="494" w:type="pct"/>
                  <w:vMerge w:val="restar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eastAsia" w:cs="Times New Roman"/>
                      <w:b w:val="0"/>
                      <w:bCs/>
                      <w:color w:val="auto"/>
                      <w:spacing w:val="-4"/>
                      <w:sz w:val="18"/>
                      <w:szCs w:val="18"/>
                      <w:highlight w:val="none"/>
                      <w:vertAlign w:val="baseline"/>
                      <w:lang w:eastAsia="zh-CN"/>
                    </w:rPr>
                    <w:t>排放浓度（</w:t>
                  </w:r>
                  <w:r>
                    <w:rPr>
                      <w:rFonts w:hint="eastAsia" w:cs="Times New Roman"/>
                      <w:b w:val="0"/>
                      <w:bCs/>
                      <w:color w:val="auto"/>
                      <w:spacing w:val="-4"/>
                      <w:sz w:val="18"/>
                      <w:szCs w:val="18"/>
                      <w:highlight w:val="none"/>
                      <w:vertAlign w:val="baseline"/>
                      <w:lang w:val="en-US" w:eastAsia="zh-CN"/>
                    </w:rPr>
                    <w:t>mg/L</w:t>
                  </w:r>
                  <w:r>
                    <w:rPr>
                      <w:rFonts w:hint="eastAsia" w:cs="Times New Roman"/>
                      <w:b w:val="0"/>
                      <w:bCs/>
                      <w:color w:val="auto"/>
                      <w:spacing w:val="-4"/>
                      <w:sz w:val="18"/>
                      <w:szCs w:val="18"/>
                      <w:highlight w:val="none"/>
                      <w:vertAlign w:val="baseline"/>
                      <w:lang w:eastAsia="zh-CN"/>
                    </w:rPr>
                    <w:t>）</w:t>
                  </w:r>
                </w:p>
              </w:tc>
              <w:tc>
                <w:tcPr>
                  <w:tcW w:w="462" w:type="pct"/>
                  <w:vMerge w:val="restart"/>
                  <w:tcBorders>
                    <w:lef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cs="Times New Roman"/>
                      <w:b w:val="0"/>
                      <w:bCs/>
                      <w:color w:val="auto"/>
                      <w:spacing w:val="-4"/>
                      <w:sz w:val="18"/>
                      <w:szCs w:val="18"/>
                      <w:highlight w:val="none"/>
                      <w:vertAlign w:val="baseline"/>
                      <w:lang w:eastAsia="zh-CN"/>
                    </w:rPr>
                  </w:pPr>
                  <w:r>
                    <w:rPr>
                      <w:rFonts w:hint="eastAsia" w:cs="Times New Roman"/>
                      <w:b w:val="0"/>
                      <w:bCs/>
                      <w:color w:val="auto"/>
                      <w:spacing w:val="-4"/>
                      <w:sz w:val="18"/>
                      <w:szCs w:val="18"/>
                      <w:highlight w:val="none"/>
                      <w:vertAlign w:val="baseline"/>
                      <w:lang w:val="en-US" w:eastAsia="zh-CN"/>
                    </w:rPr>
                    <w:t>排放量（t/a）</w:t>
                  </w:r>
                </w:p>
              </w:tc>
              <w:tc>
                <w:tcPr>
                  <w:tcW w:w="622" w:type="pct"/>
                  <w:vMerge w:val="restart"/>
                  <w:tcBorders>
                    <w:lef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排放去向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eastAsia="zh-CN"/>
                    </w:rPr>
                  </w:pPr>
                </w:p>
              </w:tc>
              <w:tc>
                <w:tcPr>
                  <w:tcW w:w="606"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cs="Times New Roman"/>
                      <w:b w:val="0"/>
                      <w:bCs/>
                      <w:color w:val="auto"/>
                      <w:spacing w:val="-4"/>
                      <w:sz w:val="18"/>
                      <w:szCs w:val="18"/>
                      <w:highlight w:val="none"/>
                      <w:vertAlign w:val="baseline"/>
                      <w:lang w:eastAsia="zh-CN"/>
                    </w:rPr>
                  </w:pPr>
                </w:p>
              </w:tc>
              <w:tc>
                <w:tcPr>
                  <w:tcW w:w="491" w:type="pct"/>
                  <w:vMerge w:val="continue"/>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eastAsia="zh-CN"/>
                    </w:rPr>
                  </w:pPr>
                </w:p>
              </w:tc>
              <w:tc>
                <w:tcPr>
                  <w:tcW w:w="481" w:type="pct"/>
                  <w:vMerge w:val="continue"/>
                  <w:tcBorders>
                    <w:lef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eastAsia="zh-CN"/>
                    </w:rPr>
                  </w:pPr>
                </w:p>
              </w:tc>
              <w:tc>
                <w:tcPr>
                  <w:tcW w:w="305" w:type="pct"/>
                  <w:tcBorders>
                    <w:top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Times New Roman" w:hAnsi="Times New Roman" w:eastAsia="宋体" w:cs="Times New Roman"/>
                      <w:b w:val="0"/>
                      <w:bCs/>
                      <w:color w:val="auto"/>
                      <w:spacing w:val="-4"/>
                      <w:kern w:val="2"/>
                      <w:sz w:val="18"/>
                      <w:szCs w:val="18"/>
                      <w:highlight w:val="none"/>
                      <w:vertAlign w:val="baseline"/>
                      <w:lang w:val="en-US" w:eastAsia="zh-CN" w:bidi="ar-SA"/>
                    </w:rPr>
                  </w:pPr>
                  <w:r>
                    <w:rPr>
                      <w:rFonts w:hint="eastAsia" w:cs="Times New Roman"/>
                      <w:b w:val="0"/>
                      <w:bCs/>
                      <w:color w:val="auto"/>
                      <w:spacing w:val="-4"/>
                      <w:sz w:val="18"/>
                      <w:szCs w:val="18"/>
                      <w:highlight w:val="none"/>
                      <w:vertAlign w:val="baseline"/>
                      <w:lang w:eastAsia="zh-CN"/>
                    </w:rPr>
                    <w:t>名称</w:t>
                  </w:r>
                </w:p>
              </w:tc>
              <w:tc>
                <w:tcPr>
                  <w:tcW w:w="433" w:type="pct"/>
                  <w:tcBorders>
                    <w:top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Times New Roman"/>
                      <w:b w:val="0"/>
                      <w:bCs/>
                      <w:color w:val="auto"/>
                      <w:spacing w:val="-4"/>
                      <w:kern w:val="2"/>
                      <w:sz w:val="18"/>
                      <w:szCs w:val="18"/>
                      <w:highlight w:val="none"/>
                      <w:vertAlign w:val="baseline"/>
                      <w:lang w:val="en-US" w:eastAsia="zh-CN" w:bidi="ar-SA"/>
                    </w:rPr>
                  </w:pPr>
                  <w:r>
                    <w:rPr>
                      <w:rFonts w:hint="eastAsia" w:cs="Times New Roman"/>
                      <w:b w:val="0"/>
                      <w:bCs/>
                      <w:color w:val="auto"/>
                      <w:spacing w:val="-4"/>
                      <w:sz w:val="18"/>
                      <w:szCs w:val="18"/>
                      <w:highlight w:val="none"/>
                      <w:vertAlign w:val="baseline"/>
                      <w:lang w:eastAsia="zh-CN"/>
                    </w:rPr>
                    <w:t>处理效率</w:t>
                  </w:r>
                  <w:r>
                    <w:rPr>
                      <w:rFonts w:hint="eastAsia" w:cs="Times New Roman"/>
                      <w:b w:val="0"/>
                      <w:bCs/>
                      <w:color w:val="auto"/>
                      <w:spacing w:val="-4"/>
                      <w:sz w:val="18"/>
                      <w:szCs w:val="18"/>
                      <w:highlight w:val="none"/>
                      <w:vertAlign w:val="baseline"/>
                      <w:lang w:val="en-US" w:eastAsia="zh-CN"/>
                    </w:rPr>
                    <w:t>%</w:t>
                  </w:r>
                </w:p>
              </w:tc>
              <w:tc>
                <w:tcPr>
                  <w:tcW w:w="494" w:type="pct"/>
                  <w:vMerge w:val="continue"/>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eastAsia="zh-CN"/>
                    </w:rPr>
                  </w:pPr>
                </w:p>
              </w:tc>
              <w:tc>
                <w:tcPr>
                  <w:tcW w:w="462" w:type="pct"/>
                  <w:vMerge w:val="continue"/>
                  <w:tcBorders>
                    <w:lef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eastAsia="zh-CN"/>
                    </w:rPr>
                  </w:pPr>
                </w:p>
              </w:tc>
              <w:tc>
                <w:tcPr>
                  <w:tcW w:w="622" w:type="pct"/>
                  <w:vMerge w:val="continue"/>
                  <w:tcBorders>
                    <w:lef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88"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cs="Times New Roman"/>
                      <w:b w:val="0"/>
                      <w:bCs/>
                      <w:color w:val="auto"/>
                      <w:spacing w:val="-4"/>
                      <w:sz w:val="18"/>
                      <w:szCs w:val="18"/>
                      <w:highlight w:val="none"/>
                      <w:vertAlign w:val="baseline"/>
                      <w:lang w:eastAsia="zh-CN"/>
                    </w:rPr>
                    <w:t>切割、磨边、粗磨、精磨工序冲洗</w:t>
                  </w:r>
                  <w:r>
                    <w:rPr>
                      <w:rFonts w:hint="eastAsia" w:cs="Times New Roman"/>
                      <w:b w:val="0"/>
                      <w:bCs/>
                      <w:color w:val="auto"/>
                      <w:spacing w:val="-4"/>
                      <w:sz w:val="18"/>
                      <w:szCs w:val="18"/>
                      <w:highlight w:val="none"/>
                      <w:vertAlign w:val="baseline"/>
                      <w:lang w:eastAsia="zh-CN"/>
                    </w:rPr>
                    <w:t>废水</w:t>
                  </w:r>
                </w:p>
              </w:tc>
              <w:tc>
                <w:tcPr>
                  <w:tcW w:w="513"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342</w:t>
                  </w: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eastAsia" w:cs="Times New Roman"/>
                      <w:b w:val="0"/>
                      <w:bCs/>
                      <w:color w:val="auto"/>
                      <w:spacing w:val="-4"/>
                      <w:sz w:val="18"/>
                      <w:szCs w:val="18"/>
                      <w:highlight w:val="none"/>
                      <w:vertAlign w:val="baseline"/>
                      <w:lang w:val="en-US" w:eastAsia="zh-CN"/>
                    </w:rPr>
                    <w:t>COD</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ascii="Times New Roman" w:hAnsi="Times New Roman" w:cs="Times New Roman"/>
                      <w:b w:val="0"/>
                      <w:bCs/>
                      <w:color w:val="auto"/>
                      <w:spacing w:val="-4"/>
                      <w:sz w:val="18"/>
                      <w:szCs w:val="18"/>
                      <w:highlight w:val="none"/>
                      <w:vertAlign w:val="baseline"/>
                      <w:lang w:val="en-US" w:eastAsia="zh-CN"/>
                    </w:rPr>
                    <w:t>150</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0.0513 </w:t>
                  </w:r>
                </w:p>
              </w:tc>
              <w:tc>
                <w:tcPr>
                  <w:tcW w:w="305"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沉淀池</w:t>
                  </w:r>
                </w:p>
              </w:tc>
              <w:tc>
                <w:tcPr>
                  <w:tcW w:w="433"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w:t>
                  </w:r>
                </w:p>
              </w:tc>
              <w:tc>
                <w:tcPr>
                  <w:tcW w:w="494" w:type="pct"/>
                  <w:tcBorders>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val="en-US" w:eastAsia="zh-CN"/>
                    </w:rPr>
                  </w:pPr>
                  <w:r>
                    <w:rPr>
                      <w:rFonts w:hint="eastAsia" w:ascii="Times New Roman" w:hAnsi="Times New Roman" w:cs="Times New Roman"/>
                      <w:i w:val="0"/>
                      <w:iCs w:val="0"/>
                      <w:color w:val="auto"/>
                      <w:kern w:val="0"/>
                      <w:sz w:val="18"/>
                      <w:szCs w:val="18"/>
                      <w:highlight w:val="none"/>
                      <w:u w:val="none"/>
                      <w:lang w:val="en-US" w:eastAsia="zh-CN" w:bidi="ar"/>
                    </w:rPr>
                    <w:t>150</w:t>
                  </w:r>
                </w:p>
              </w:tc>
              <w:tc>
                <w:tcPr>
                  <w:tcW w:w="462"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0.0513 </w:t>
                  </w:r>
                </w:p>
              </w:tc>
              <w:tc>
                <w:tcPr>
                  <w:tcW w:w="622" w:type="pct"/>
                  <w:vMerge w:val="restar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定期排入混凝沉淀池处理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eastAsia" w:cs="Times New Roman"/>
                      <w:b w:val="0"/>
                      <w:bCs/>
                      <w:color w:val="auto"/>
                      <w:spacing w:val="-4"/>
                      <w:sz w:val="18"/>
                      <w:szCs w:val="18"/>
                      <w:highlight w:val="none"/>
                      <w:vertAlign w:val="baseline"/>
                      <w:lang w:val="en-US" w:eastAsia="zh-CN"/>
                    </w:rPr>
                    <w:t>SS</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500</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0.1710 </w:t>
                  </w:r>
                </w:p>
              </w:tc>
              <w:tc>
                <w:tcPr>
                  <w:tcW w:w="305"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p>
              </w:tc>
              <w:tc>
                <w:tcPr>
                  <w:tcW w:w="433"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65</w:t>
                  </w:r>
                </w:p>
              </w:tc>
              <w:tc>
                <w:tcPr>
                  <w:tcW w:w="494" w:type="pct"/>
                  <w:tcBorders>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175</w:t>
                  </w:r>
                </w:p>
              </w:tc>
              <w:tc>
                <w:tcPr>
                  <w:tcW w:w="462"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0.0599</w:t>
                  </w:r>
                </w:p>
              </w:tc>
              <w:tc>
                <w:tcPr>
                  <w:tcW w:w="622" w:type="pct"/>
                  <w:vMerge w:val="continue"/>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eastAsia" w:cs="Times New Roman"/>
                      <w:b w:val="0"/>
                      <w:bCs/>
                      <w:color w:val="auto"/>
                      <w:spacing w:val="-4"/>
                      <w:sz w:val="18"/>
                      <w:szCs w:val="18"/>
                      <w:highlight w:val="none"/>
                      <w:vertAlign w:val="baseline"/>
                      <w:lang w:eastAsia="zh-CN"/>
                    </w:rPr>
                    <w:t>沉淀池定期排水</w:t>
                  </w:r>
                </w:p>
              </w:tc>
              <w:tc>
                <w:tcPr>
                  <w:tcW w:w="513"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342</w:t>
                  </w: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Times New Roman" w:hAnsi="Times New Roman" w:eastAsia="宋体" w:cs="Times New Roman"/>
                      <w:b w:val="0"/>
                      <w:bCs/>
                      <w:color w:val="auto"/>
                      <w:spacing w:val="-4"/>
                      <w:kern w:val="2"/>
                      <w:sz w:val="18"/>
                      <w:szCs w:val="18"/>
                      <w:highlight w:val="none"/>
                      <w:vertAlign w:val="baseline"/>
                      <w:lang w:val="en-US" w:eastAsia="zh-CN" w:bidi="ar-SA"/>
                    </w:rPr>
                  </w:pPr>
                  <w:r>
                    <w:rPr>
                      <w:rFonts w:hint="eastAsia" w:cs="Times New Roman"/>
                      <w:b w:val="0"/>
                      <w:bCs/>
                      <w:color w:val="auto"/>
                      <w:spacing w:val="-4"/>
                      <w:sz w:val="18"/>
                      <w:szCs w:val="18"/>
                      <w:highlight w:val="none"/>
                      <w:vertAlign w:val="baseline"/>
                      <w:lang w:val="en-US" w:eastAsia="zh-CN"/>
                    </w:rPr>
                    <w:t>COD</w:t>
                  </w:r>
                </w:p>
              </w:tc>
              <w:tc>
                <w:tcPr>
                  <w:tcW w:w="491" w:type="pct"/>
                  <w:tcBorders>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color w:val="auto"/>
                      <w:spacing w:val="-4"/>
                      <w:kern w:val="2"/>
                      <w:sz w:val="18"/>
                      <w:szCs w:val="18"/>
                      <w:highlight w:val="none"/>
                      <w:vertAlign w:val="baseline"/>
                      <w:lang w:val="en-US" w:eastAsia="zh-CN" w:bidi="ar-SA"/>
                    </w:rPr>
                  </w:pPr>
                  <w:r>
                    <w:rPr>
                      <w:rFonts w:hint="eastAsia" w:ascii="Times New Roman" w:hAnsi="Times New Roman" w:cs="Times New Roman"/>
                      <w:i w:val="0"/>
                      <w:iCs w:val="0"/>
                      <w:color w:val="auto"/>
                      <w:kern w:val="0"/>
                      <w:sz w:val="18"/>
                      <w:szCs w:val="18"/>
                      <w:highlight w:val="none"/>
                      <w:u w:val="none"/>
                      <w:lang w:val="en-US" w:eastAsia="zh-CN" w:bidi="ar"/>
                    </w:rPr>
                    <w:t>150</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color w:val="auto"/>
                      <w:spacing w:val="-4"/>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0.0513 </w:t>
                  </w:r>
                </w:p>
              </w:tc>
              <w:tc>
                <w:tcPr>
                  <w:tcW w:w="2318" w:type="pct"/>
                  <w:gridSpan w:val="5"/>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沉淀池定期排放废水和镀膜前清洗废水、镀膜后清洗废水一同经设置的混凝沉淀池处理后，经厂区总排口达标排放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Times New Roman" w:hAnsi="Times New Roman" w:eastAsia="宋体" w:cs="Times New Roman"/>
                      <w:b w:val="0"/>
                      <w:bCs/>
                      <w:color w:val="auto"/>
                      <w:spacing w:val="-4"/>
                      <w:kern w:val="2"/>
                      <w:sz w:val="18"/>
                      <w:szCs w:val="18"/>
                      <w:highlight w:val="none"/>
                      <w:vertAlign w:val="baseline"/>
                      <w:lang w:val="en-US" w:eastAsia="zh-CN" w:bidi="ar-SA"/>
                    </w:rPr>
                  </w:pPr>
                  <w:r>
                    <w:rPr>
                      <w:rFonts w:hint="eastAsia" w:cs="Times New Roman"/>
                      <w:b w:val="0"/>
                      <w:bCs/>
                      <w:color w:val="auto"/>
                      <w:spacing w:val="-4"/>
                      <w:sz w:val="18"/>
                      <w:szCs w:val="18"/>
                      <w:highlight w:val="none"/>
                      <w:vertAlign w:val="baseline"/>
                      <w:lang w:val="en-US" w:eastAsia="zh-CN"/>
                    </w:rPr>
                    <w:t>SS</w:t>
                  </w:r>
                </w:p>
              </w:tc>
              <w:tc>
                <w:tcPr>
                  <w:tcW w:w="491" w:type="pct"/>
                  <w:tcBorders>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color w:val="auto"/>
                      <w:spacing w:val="-4"/>
                      <w:kern w:val="2"/>
                      <w:sz w:val="18"/>
                      <w:szCs w:val="18"/>
                      <w:highlight w:val="none"/>
                      <w:vertAlign w:val="baseline"/>
                      <w:lang w:val="en-US" w:eastAsia="zh-CN" w:bidi="ar-SA"/>
                    </w:rPr>
                  </w:pPr>
                  <w:r>
                    <w:rPr>
                      <w:rFonts w:hint="eastAsia" w:cs="Times New Roman"/>
                      <w:b w:val="0"/>
                      <w:bCs/>
                      <w:color w:val="auto"/>
                      <w:spacing w:val="-4"/>
                      <w:sz w:val="18"/>
                      <w:szCs w:val="18"/>
                      <w:highlight w:val="none"/>
                      <w:vertAlign w:val="baseline"/>
                      <w:lang w:val="en-US" w:eastAsia="zh-CN"/>
                    </w:rPr>
                    <w:t>175</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color w:val="auto"/>
                      <w:spacing w:val="-4"/>
                      <w:kern w:val="2"/>
                      <w:sz w:val="18"/>
                      <w:szCs w:val="18"/>
                      <w:highlight w:val="none"/>
                      <w:vertAlign w:val="baseline"/>
                      <w:lang w:val="en-US" w:eastAsia="zh-CN" w:bidi="ar-SA"/>
                    </w:rPr>
                  </w:pPr>
                  <w:r>
                    <w:rPr>
                      <w:rFonts w:hint="eastAsia" w:cs="Times New Roman"/>
                      <w:b w:val="0"/>
                      <w:bCs/>
                      <w:color w:val="auto"/>
                      <w:spacing w:val="-4"/>
                      <w:sz w:val="18"/>
                      <w:szCs w:val="18"/>
                      <w:highlight w:val="none"/>
                      <w:vertAlign w:val="baseline"/>
                      <w:lang w:val="en-US" w:eastAsia="zh-CN"/>
                    </w:rPr>
                    <w:t>0.0599</w:t>
                  </w:r>
                </w:p>
              </w:tc>
              <w:tc>
                <w:tcPr>
                  <w:tcW w:w="2318" w:type="pct"/>
                  <w:gridSpan w:val="5"/>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eastAsia="zh-CN"/>
                    </w:rPr>
                    <w:t>镀膜前清洗废水</w:t>
                  </w:r>
                </w:p>
              </w:tc>
              <w:tc>
                <w:tcPr>
                  <w:tcW w:w="513"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283.29</w:t>
                  </w: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eastAsia" w:cs="Times New Roman"/>
                      <w:b w:val="0"/>
                      <w:bCs/>
                      <w:color w:val="auto"/>
                      <w:spacing w:val="-4"/>
                      <w:sz w:val="18"/>
                      <w:szCs w:val="18"/>
                      <w:highlight w:val="none"/>
                      <w:vertAlign w:val="baseline"/>
                      <w:lang w:val="en-US" w:eastAsia="zh-CN"/>
                    </w:rPr>
                    <w:t>COD</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ascii="Times New Roman" w:hAnsi="Times New Roman" w:cs="Times New Roman"/>
                      <w:b w:val="0"/>
                      <w:bCs/>
                      <w:color w:val="auto"/>
                      <w:spacing w:val="-4"/>
                      <w:sz w:val="18"/>
                      <w:szCs w:val="18"/>
                      <w:highlight w:val="none"/>
                      <w:vertAlign w:val="baseline"/>
                      <w:lang w:val="en-US" w:eastAsia="zh-CN"/>
                    </w:rPr>
                    <w:t>100</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0.0283 </w:t>
                  </w:r>
                </w:p>
              </w:tc>
              <w:tc>
                <w:tcPr>
                  <w:tcW w:w="2318" w:type="pct"/>
                  <w:gridSpan w:val="5"/>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eastAsia" w:cs="Times New Roman"/>
                      <w:b w:val="0"/>
                      <w:bCs/>
                      <w:color w:val="auto"/>
                      <w:spacing w:val="-4"/>
                      <w:sz w:val="18"/>
                      <w:szCs w:val="18"/>
                      <w:highlight w:val="none"/>
                      <w:vertAlign w:val="baseline"/>
                      <w:lang w:val="en-US" w:eastAsia="zh-CN"/>
                    </w:rPr>
                    <w:t>SS</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500</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0.1416 </w:t>
                  </w:r>
                </w:p>
              </w:tc>
              <w:tc>
                <w:tcPr>
                  <w:tcW w:w="2318" w:type="pct"/>
                  <w:gridSpan w:val="5"/>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cs="Times New Roman"/>
                      <w:b w:val="0"/>
                      <w:bCs/>
                      <w:color w:val="auto"/>
                      <w:spacing w:val="-4"/>
                      <w:sz w:val="18"/>
                      <w:szCs w:val="18"/>
                      <w:highlight w:val="none"/>
                      <w:vertAlign w:val="baseline"/>
                      <w:lang w:eastAsia="zh-CN"/>
                    </w:rPr>
                    <w:t>镀膜后超声波清洗废水</w:t>
                  </w:r>
                </w:p>
              </w:tc>
              <w:tc>
                <w:tcPr>
                  <w:tcW w:w="513"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456</w:t>
                  </w: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cs="Times New Roman"/>
                      <w:b w:val="0"/>
                      <w:bCs/>
                      <w:color w:val="auto"/>
                      <w:spacing w:val="-4"/>
                      <w:sz w:val="18"/>
                      <w:szCs w:val="18"/>
                      <w:highlight w:val="none"/>
                      <w:vertAlign w:val="baseline"/>
                      <w:lang w:val="en-US" w:eastAsia="zh-CN"/>
                    </w:rPr>
                    <w:t>COD</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ascii="Times New Roman" w:hAnsi="Times New Roman" w:cs="Times New Roman"/>
                      <w:b w:val="0"/>
                      <w:bCs/>
                      <w:color w:val="auto"/>
                      <w:spacing w:val="-4"/>
                      <w:sz w:val="18"/>
                      <w:szCs w:val="18"/>
                      <w:highlight w:val="none"/>
                      <w:vertAlign w:val="baseline"/>
                      <w:lang w:val="en-US" w:eastAsia="zh-CN"/>
                    </w:rPr>
                    <w:t>400</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0.1824 </w:t>
                  </w:r>
                </w:p>
              </w:tc>
              <w:tc>
                <w:tcPr>
                  <w:tcW w:w="2318" w:type="pct"/>
                  <w:gridSpan w:val="5"/>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cs="Times New Roman"/>
                      <w:b w:val="0"/>
                      <w:bCs/>
                      <w:color w:val="auto"/>
                      <w:spacing w:val="-4"/>
                      <w:sz w:val="18"/>
                      <w:szCs w:val="18"/>
                      <w:highlight w:val="none"/>
                      <w:vertAlign w:val="baseline"/>
                      <w:lang w:val="en-US" w:eastAsia="zh-CN"/>
                    </w:rPr>
                    <w:t>SS</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ascii="Times New Roman" w:hAnsi="Times New Roman" w:cs="Times New Roman"/>
                      <w:b w:val="0"/>
                      <w:bCs/>
                      <w:color w:val="auto"/>
                      <w:spacing w:val="-4"/>
                      <w:sz w:val="18"/>
                      <w:szCs w:val="18"/>
                      <w:highlight w:val="none"/>
                      <w:vertAlign w:val="baseline"/>
                      <w:lang w:val="en-US" w:eastAsia="zh-CN"/>
                    </w:rPr>
                    <w:t>500</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0.2280 </w:t>
                  </w:r>
                </w:p>
              </w:tc>
              <w:tc>
                <w:tcPr>
                  <w:tcW w:w="2318" w:type="pct"/>
                  <w:gridSpan w:val="5"/>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NH</w:t>
                  </w:r>
                  <w:r>
                    <w:rPr>
                      <w:rFonts w:hint="eastAsia" w:cs="Times New Roman"/>
                      <w:b w:val="0"/>
                      <w:bCs/>
                      <w:color w:val="auto"/>
                      <w:spacing w:val="-4"/>
                      <w:sz w:val="18"/>
                      <w:szCs w:val="18"/>
                      <w:highlight w:val="none"/>
                      <w:vertAlign w:val="subscript"/>
                      <w:lang w:val="en-US" w:eastAsia="zh-CN"/>
                    </w:rPr>
                    <w:t>3</w:t>
                  </w:r>
                  <w:r>
                    <w:rPr>
                      <w:rFonts w:hint="eastAsia" w:cs="Times New Roman"/>
                      <w:b w:val="0"/>
                      <w:bCs/>
                      <w:color w:val="auto"/>
                      <w:spacing w:val="-4"/>
                      <w:sz w:val="18"/>
                      <w:szCs w:val="18"/>
                      <w:highlight w:val="none"/>
                      <w:vertAlign w:val="baseline"/>
                      <w:lang w:val="en-US" w:eastAsia="zh-CN"/>
                    </w:rPr>
                    <w:t>-N</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30</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0.0137 </w:t>
                  </w:r>
                </w:p>
              </w:tc>
              <w:tc>
                <w:tcPr>
                  <w:tcW w:w="2318" w:type="pct"/>
                  <w:gridSpan w:val="5"/>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TP</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5</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0.0023 </w:t>
                  </w:r>
                </w:p>
              </w:tc>
              <w:tc>
                <w:tcPr>
                  <w:tcW w:w="2318" w:type="pct"/>
                  <w:gridSpan w:val="5"/>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cs="Times New Roman"/>
                      <w:b w:val="0"/>
                      <w:bCs/>
                      <w:color w:val="auto"/>
                      <w:spacing w:val="-4"/>
                      <w:sz w:val="18"/>
                      <w:szCs w:val="18"/>
                      <w:highlight w:val="cya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LAS</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5</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i w:val="0"/>
                      <w:iCs w:val="0"/>
                      <w:color w:val="auto"/>
                      <w:kern w:val="0"/>
                      <w:sz w:val="18"/>
                      <w:szCs w:val="18"/>
                      <w:highlight w:val="none"/>
                      <w:u w:val="none"/>
                      <w:lang w:val="en-US" w:eastAsia="zh-CN" w:bidi="ar"/>
                    </w:rPr>
                    <w:t>0.0024</w:t>
                  </w:r>
                </w:p>
              </w:tc>
              <w:tc>
                <w:tcPr>
                  <w:tcW w:w="2318" w:type="pct"/>
                  <w:gridSpan w:val="5"/>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cs="Times New Roman"/>
                      <w:b w:val="0"/>
                      <w:bCs/>
                      <w:color w:val="auto"/>
                      <w:spacing w:val="-4"/>
                      <w:sz w:val="18"/>
                      <w:szCs w:val="18"/>
                      <w:highlight w:val="cya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eastAsia" w:cs="Times New Roman"/>
                      <w:b w:val="0"/>
                      <w:bCs/>
                      <w:color w:val="auto"/>
                      <w:spacing w:val="-4"/>
                      <w:sz w:val="18"/>
                      <w:szCs w:val="18"/>
                      <w:highlight w:val="none"/>
                      <w:vertAlign w:val="baseline"/>
                      <w:lang w:eastAsia="zh-CN"/>
                    </w:rPr>
                    <w:t>混凝沉淀池</w:t>
                  </w:r>
                </w:p>
              </w:tc>
              <w:tc>
                <w:tcPr>
                  <w:tcW w:w="513"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1081.29</w:t>
                  </w: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Times New Roman"/>
                      <w:b w:val="0"/>
                      <w:bCs/>
                      <w:color w:val="auto"/>
                      <w:spacing w:val="-4"/>
                      <w:kern w:val="2"/>
                      <w:sz w:val="18"/>
                      <w:szCs w:val="18"/>
                      <w:highlight w:val="none"/>
                      <w:vertAlign w:val="baseline"/>
                      <w:lang w:val="en-US" w:eastAsia="zh-CN" w:bidi="ar-SA"/>
                    </w:rPr>
                  </w:pPr>
                  <w:r>
                    <w:rPr>
                      <w:rFonts w:hint="default" w:ascii="Times New Roman" w:hAnsi="Times New Roman" w:cs="Times New Roman"/>
                      <w:b w:val="0"/>
                      <w:bCs/>
                      <w:color w:val="auto"/>
                      <w:spacing w:val="-4"/>
                      <w:sz w:val="18"/>
                      <w:szCs w:val="18"/>
                      <w:highlight w:val="none"/>
                      <w:vertAlign w:val="baseline"/>
                      <w:lang w:val="en-US" w:eastAsia="zh-CN"/>
                    </w:rPr>
                    <w:t>COD</w:t>
                  </w:r>
                </w:p>
              </w:tc>
              <w:tc>
                <w:tcPr>
                  <w:tcW w:w="491" w:type="pct"/>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242.30</w:t>
                  </w:r>
                </w:p>
              </w:tc>
              <w:tc>
                <w:tcPr>
                  <w:tcW w:w="481" w:type="pct"/>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18"/>
                      <w:szCs w:val="18"/>
                      <w:highlight w:val="cyan"/>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0.262</w:t>
                  </w:r>
                </w:p>
              </w:tc>
              <w:tc>
                <w:tcPr>
                  <w:tcW w:w="305"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r>
                    <w:rPr>
                      <w:rFonts w:hint="eastAsia" w:cs="Times New Roman"/>
                      <w:b w:val="0"/>
                      <w:bCs/>
                      <w:color w:val="auto"/>
                      <w:spacing w:val="-4"/>
                      <w:sz w:val="18"/>
                      <w:szCs w:val="18"/>
                      <w:highlight w:val="none"/>
                      <w:vertAlign w:val="baseline"/>
                      <w:lang w:eastAsia="zh-CN"/>
                    </w:rPr>
                    <w:t>混凝沉淀池</w:t>
                  </w:r>
                </w:p>
              </w:tc>
              <w:tc>
                <w:tcPr>
                  <w:tcW w:w="433"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w:t>
                  </w:r>
                </w:p>
              </w:tc>
              <w:tc>
                <w:tcPr>
                  <w:tcW w:w="494" w:type="pct"/>
                  <w:tcBorders>
                    <w:right w:val="single" w:color="000000"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spacing w:val="-4"/>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242.30</w:t>
                  </w:r>
                </w:p>
              </w:tc>
              <w:tc>
                <w:tcPr>
                  <w:tcW w:w="462" w:type="pct"/>
                  <w:tcBorders>
                    <w:left w:val="single" w:color="000000"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0.262</w:t>
                  </w:r>
                </w:p>
              </w:tc>
              <w:tc>
                <w:tcPr>
                  <w:tcW w:w="622" w:type="pct"/>
                  <w:vMerge w:val="restar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cs="Times New Roman"/>
                      <w:b w:val="0"/>
                      <w:bCs/>
                      <w:color w:val="auto"/>
                      <w:spacing w:val="-4"/>
                      <w:sz w:val="18"/>
                      <w:szCs w:val="18"/>
                      <w:highlight w:val="cyan"/>
                      <w:vertAlign w:val="baseline"/>
                      <w:lang w:val="en-US" w:eastAsia="zh-CN"/>
                    </w:rPr>
                  </w:pPr>
                  <w:r>
                    <w:rPr>
                      <w:rFonts w:hint="eastAsia" w:cs="Times New Roman"/>
                      <w:i w:val="0"/>
                      <w:iCs w:val="0"/>
                      <w:color w:val="auto"/>
                      <w:kern w:val="0"/>
                      <w:sz w:val="18"/>
                      <w:szCs w:val="18"/>
                      <w:highlight w:val="none"/>
                      <w:u w:val="none"/>
                      <w:lang w:val="en-US" w:eastAsia="zh-CN" w:bidi="ar"/>
                    </w:rPr>
                    <w:t>厂区总排口达标排放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Times New Roman"/>
                      <w:b w:val="0"/>
                      <w:bCs/>
                      <w:color w:val="auto"/>
                      <w:spacing w:val="-4"/>
                      <w:kern w:val="2"/>
                      <w:sz w:val="18"/>
                      <w:szCs w:val="18"/>
                      <w:highlight w:val="none"/>
                      <w:vertAlign w:val="baseline"/>
                      <w:lang w:val="en-US" w:eastAsia="zh-CN" w:bidi="ar-SA"/>
                    </w:rPr>
                  </w:pPr>
                  <w:r>
                    <w:rPr>
                      <w:rFonts w:hint="default" w:ascii="Times New Roman" w:hAnsi="Times New Roman" w:cs="Times New Roman"/>
                      <w:b w:val="0"/>
                      <w:bCs/>
                      <w:color w:val="auto"/>
                      <w:spacing w:val="-4"/>
                      <w:sz w:val="18"/>
                      <w:szCs w:val="18"/>
                      <w:highlight w:val="none"/>
                      <w:vertAlign w:val="baseline"/>
                      <w:lang w:val="en-US" w:eastAsia="zh-CN"/>
                    </w:rPr>
                    <w:t>SS</w:t>
                  </w:r>
                </w:p>
              </w:tc>
              <w:tc>
                <w:tcPr>
                  <w:tcW w:w="491" w:type="pct"/>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397.21</w:t>
                  </w:r>
                </w:p>
              </w:tc>
              <w:tc>
                <w:tcPr>
                  <w:tcW w:w="481" w:type="pct"/>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18"/>
                      <w:szCs w:val="18"/>
                      <w:highlight w:val="cyan"/>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0.4295</w:t>
                  </w:r>
                </w:p>
              </w:tc>
              <w:tc>
                <w:tcPr>
                  <w:tcW w:w="305"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433"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80</w:t>
                  </w:r>
                </w:p>
              </w:tc>
              <w:tc>
                <w:tcPr>
                  <w:tcW w:w="494" w:type="pct"/>
                  <w:tcBorders>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79.44</w:t>
                  </w:r>
                </w:p>
              </w:tc>
              <w:tc>
                <w:tcPr>
                  <w:tcW w:w="462"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0.0859</w:t>
                  </w:r>
                </w:p>
              </w:tc>
              <w:tc>
                <w:tcPr>
                  <w:tcW w:w="622" w:type="pct"/>
                  <w:vMerge w:val="continue"/>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cs="Times New Roman"/>
                      <w:b w:val="0"/>
                      <w:bCs/>
                      <w:color w:val="auto"/>
                      <w:spacing w:val="-4"/>
                      <w:sz w:val="18"/>
                      <w:szCs w:val="18"/>
                      <w:highlight w:val="cya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Times New Roman"/>
                      <w:b w:val="0"/>
                      <w:bCs/>
                      <w:color w:val="auto"/>
                      <w:spacing w:val="-4"/>
                      <w:kern w:val="2"/>
                      <w:sz w:val="18"/>
                      <w:szCs w:val="18"/>
                      <w:highlight w:val="none"/>
                      <w:vertAlign w:val="baseline"/>
                      <w:lang w:val="en-US" w:eastAsia="zh-CN" w:bidi="ar-SA"/>
                    </w:rPr>
                  </w:pPr>
                  <w:r>
                    <w:rPr>
                      <w:rFonts w:hint="eastAsia" w:cs="Times New Roman"/>
                      <w:b w:val="0"/>
                      <w:bCs/>
                      <w:color w:val="auto"/>
                      <w:spacing w:val="-4"/>
                      <w:sz w:val="18"/>
                      <w:szCs w:val="18"/>
                      <w:highlight w:val="none"/>
                      <w:vertAlign w:val="baseline"/>
                      <w:lang w:val="en-US" w:eastAsia="zh-CN"/>
                    </w:rPr>
                    <w:t>NH</w:t>
                  </w:r>
                  <w:r>
                    <w:rPr>
                      <w:rFonts w:hint="eastAsia" w:cs="Times New Roman"/>
                      <w:b w:val="0"/>
                      <w:bCs/>
                      <w:color w:val="auto"/>
                      <w:spacing w:val="-4"/>
                      <w:sz w:val="18"/>
                      <w:szCs w:val="18"/>
                      <w:highlight w:val="none"/>
                      <w:vertAlign w:val="subscript"/>
                      <w:lang w:val="en-US" w:eastAsia="zh-CN"/>
                    </w:rPr>
                    <w:t>3</w:t>
                  </w:r>
                  <w:r>
                    <w:rPr>
                      <w:rFonts w:hint="eastAsia" w:cs="Times New Roman"/>
                      <w:b w:val="0"/>
                      <w:bCs/>
                      <w:color w:val="auto"/>
                      <w:spacing w:val="-4"/>
                      <w:sz w:val="18"/>
                      <w:szCs w:val="18"/>
                      <w:highlight w:val="none"/>
                      <w:vertAlign w:val="baseline"/>
                      <w:lang w:val="en-US" w:eastAsia="zh-CN"/>
                    </w:rPr>
                    <w:t>-N</w:t>
                  </w:r>
                </w:p>
              </w:tc>
              <w:tc>
                <w:tcPr>
                  <w:tcW w:w="491" w:type="pct"/>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12.67</w:t>
                  </w:r>
                </w:p>
              </w:tc>
              <w:tc>
                <w:tcPr>
                  <w:tcW w:w="481" w:type="pct"/>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18"/>
                      <w:szCs w:val="18"/>
                      <w:highlight w:val="cyan"/>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0.0137</w:t>
                  </w:r>
                </w:p>
              </w:tc>
              <w:tc>
                <w:tcPr>
                  <w:tcW w:w="305"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433"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w:t>
                  </w:r>
                </w:p>
              </w:tc>
              <w:tc>
                <w:tcPr>
                  <w:tcW w:w="494" w:type="pct"/>
                  <w:tcBorders>
                    <w:right w:val="single" w:color="000000"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spacing w:val="-4"/>
                      <w:kern w:val="2"/>
                      <w:sz w:val="18"/>
                      <w:szCs w:val="18"/>
                      <w:highlight w:val="none"/>
                      <w:vertAlign w:val="baseli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12.67</w:t>
                  </w:r>
                </w:p>
              </w:tc>
              <w:tc>
                <w:tcPr>
                  <w:tcW w:w="462" w:type="pct"/>
                  <w:tcBorders>
                    <w:left w:val="single" w:color="000000" w:sz="4" w:space="0"/>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0.0137</w:t>
                  </w:r>
                </w:p>
              </w:tc>
              <w:tc>
                <w:tcPr>
                  <w:tcW w:w="622" w:type="pct"/>
                  <w:vMerge w:val="continue"/>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cs="Times New Roman"/>
                      <w:b w:val="0"/>
                      <w:bCs/>
                      <w:color w:val="auto"/>
                      <w:spacing w:val="-4"/>
                      <w:sz w:val="18"/>
                      <w:szCs w:val="18"/>
                      <w:highlight w:val="cya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Times New Roman"/>
                      <w:b w:val="0"/>
                      <w:bCs/>
                      <w:color w:val="auto"/>
                      <w:spacing w:val="-4"/>
                      <w:kern w:val="2"/>
                      <w:sz w:val="18"/>
                      <w:szCs w:val="18"/>
                      <w:highlight w:val="none"/>
                      <w:vertAlign w:val="baseline"/>
                      <w:lang w:val="en-US" w:eastAsia="zh-CN" w:bidi="ar-SA"/>
                    </w:rPr>
                  </w:pPr>
                  <w:r>
                    <w:rPr>
                      <w:rFonts w:hint="default" w:ascii="Times New Roman" w:hAnsi="Times New Roman" w:cs="Times New Roman"/>
                      <w:b w:val="0"/>
                      <w:bCs/>
                      <w:color w:val="auto"/>
                      <w:spacing w:val="-4"/>
                      <w:sz w:val="18"/>
                      <w:szCs w:val="18"/>
                      <w:highlight w:val="none"/>
                      <w:vertAlign w:val="baseline"/>
                      <w:lang w:val="en-US" w:eastAsia="zh-CN"/>
                    </w:rPr>
                    <w:t>TP</w:t>
                  </w:r>
                </w:p>
              </w:tc>
              <w:tc>
                <w:tcPr>
                  <w:tcW w:w="491" w:type="pct"/>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2.13</w:t>
                  </w:r>
                </w:p>
              </w:tc>
              <w:tc>
                <w:tcPr>
                  <w:tcW w:w="481" w:type="pct"/>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18"/>
                      <w:szCs w:val="18"/>
                      <w:highlight w:val="cyan"/>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0.0023</w:t>
                  </w:r>
                </w:p>
              </w:tc>
              <w:tc>
                <w:tcPr>
                  <w:tcW w:w="305"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433"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10</w:t>
                  </w:r>
                </w:p>
              </w:tc>
              <w:tc>
                <w:tcPr>
                  <w:tcW w:w="494" w:type="pct"/>
                  <w:tcBorders>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1.92</w:t>
                  </w:r>
                </w:p>
              </w:tc>
              <w:tc>
                <w:tcPr>
                  <w:tcW w:w="462"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0.0021</w:t>
                  </w:r>
                </w:p>
              </w:tc>
              <w:tc>
                <w:tcPr>
                  <w:tcW w:w="622" w:type="pct"/>
                  <w:vMerge w:val="continue"/>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cs="Times New Roman"/>
                      <w:b w:val="0"/>
                      <w:bCs/>
                      <w:color w:val="auto"/>
                      <w:spacing w:val="-4"/>
                      <w:sz w:val="18"/>
                      <w:szCs w:val="18"/>
                      <w:highlight w:val="cya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Times New Roman"/>
                      <w:b w:val="0"/>
                      <w:bCs/>
                      <w:color w:val="auto"/>
                      <w:spacing w:val="-4"/>
                      <w:kern w:val="2"/>
                      <w:sz w:val="18"/>
                      <w:szCs w:val="18"/>
                      <w:highlight w:val="none"/>
                      <w:vertAlign w:val="baseline"/>
                      <w:lang w:val="en-US" w:eastAsia="zh-CN" w:bidi="ar-SA"/>
                    </w:rPr>
                  </w:pPr>
                  <w:r>
                    <w:rPr>
                      <w:rFonts w:hint="default" w:ascii="Times New Roman" w:hAnsi="Times New Roman" w:cs="Times New Roman"/>
                      <w:b w:val="0"/>
                      <w:bCs/>
                      <w:color w:val="auto"/>
                      <w:spacing w:val="-4"/>
                      <w:sz w:val="18"/>
                      <w:szCs w:val="18"/>
                      <w:highlight w:val="none"/>
                      <w:vertAlign w:val="baseline"/>
                      <w:lang w:val="en-US" w:eastAsia="zh-CN"/>
                    </w:rPr>
                    <w:t>LAS</w:t>
                  </w:r>
                </w:p>
              </w:tc>
              <w:tc>
                <w:tcPr>
                  <w:tcW w:w="491" w:type="pct"/>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2.22</w:t>
                  </w:r>
                </w:p>
              </w:tc>
              <w:tc>
                <w:tcPr>
                  <w:tcW w:w="481" w:type="pct"/>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18"/>
                      <w:szCs w:val="18"/>
                      <w:highlight w:val="cyan"/>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0.0024</w:t>
                  </w:r>
                </w:p>
              </w:tc>
              <w:tc>
                <w:tcPr>
                  <w:tcW w:w="305"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433"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30</w:t>
                  </w:r>
                </w:p>
              </w:tc>
              <w:tc>
                <w:tcPr>
                  <w:tcW w:w="494" w:type="pct"/>
                  <w:tcBorders>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1.55</w:t>
                  </w:r>
                </w:p>
              </w:tc>
              <w:tc>
                <w:tcPr>
                  <w:tcW w:w="462"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0.0017</w:t>
                  </w:r>
                </w:p>
              </w:tc>
              <w:tc>
                <w:tcPr>
                  <w:tcW w:w="622" w:type="pct"/>
                  <w:vMerge w:val="continue"/>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cs="Times New Roman"/>
                      <w:b w:val="0"/>
                      <w:bCs/>
                      <w:color w:val="auto"/>
                      <w:spacing w:val="-4"/>
                      <w:sz w:val="18"/>
                      <w:szCs w:val="18"/>
                      <w:highlight w:val="cya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cs="Times New Roman"/>
                      <w:b w:val="0"/>
                      <w:bCs/>
                      <w:color w:val="auto"/>
                      <w:spacing w:val="-4"/>
                      <w:sz w:val="18"/>
                      <w:szCs w:val="18"/>
                      <w:highlight w:val="none"/>
                      <w:vertAlign w:val="baseline"/>
                      <w:lang w:eastAsia="zh-CN"/>
                    </w:rPr>
                    <w:t>纯水制备</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cs="Times New Roman"/>
                      <w:b w:val="0"/>
                      <w:bCs/>
                      <w:color w:val="auto"/>
                      <w:spacing w:val="-4"/>
                      <w:sz w:val="18"/>
                      <w:szCs w:val="18"/>
                      <w:highlight w:val="none"/>
                      <w:vertAlign w:val="baseline"/>
                      <w:lang w:eastAsia="zh-CN"/>
                    </w:rPr>
                    <w:t>浓水</w:t>
                  </w:r>
                </w:p>
              </w:tc>
              <w:tc>
                <w:tcPr>
                  <w:tcW w:w="513"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344.0805</w:t>
                  </w: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cs="Times New Roman"/>
                      <w:b w:val="0"/>
                      <w:bCs/>
                      <w:color w:val="auto"/>
                      <w:spacing w:val="-4"/>
                      <w:sz w:val="18"/>
                      <w:szCs w:val="18"/>
                      <w:highlight w:val="none"/>
                      <w:vertAlign w:val="baseline"/>
                      <w:lang w:val="en-US" w:eastAsia="zh-CN"/>
                    </w:rPr>
                    <w:t>COD</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30</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0.0103 </w:t>
                  </w:r>
                </w:p>
              </w:tc>
              <w:tc>
                <w:tcPr>
                  <w:tcW w:w="305"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w:t>
                  </w:r>
                </w:p>
              </w:tc>
              <w:tc>
                <w:tcPr>
                  <w:tcW w:w="433"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w:t>
                  </w:r>
                </w:p>
              </w:tc>
              <w:tc>
                <w:tcPr>
                  <w:tcW w:w="494" w:type="pct"/>
                  <w:tcBorders>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462"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0.0103 </w:t>
                  </w:r>
                </w:p>
              </w:tc>
              <w:tc>
                <w:tcPr>
                  <w:tcW w:w="622" w:type="pct"/>
                  <w:vMerge w:val="restar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eastAsia" w:cs="Times New Roman"/>
                      <w:i w:val="0"/>
                      <w:iCs w:val="0"/>
                      <w:color w:val="auto"/>
                      <w:kern w:val="0"/>
                      <w:sz w:val="18"/>
                      <w:szCs w:val="18"/>
                      <w:highlight w:val="none"/>
                      <w:u w:val="none"/>
                      <w:lang w:val="en-US" w:eastAsia="zh-CN" w:bidi="ar"/>
                    </w:rPr>
                    <w:t>厂区总排口达标排放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cs="Times New Roman"/>
                      <w:b w:val="0"/>
                      <w:bCs/>
                      <w:color w:val="auto"/>
                      <w:spacing w:val="-4"/>
                      <w:sz w:val="18"/>
                      <w:szCs w:val="18"/>
                      <w:highlight w:val="none"/>
                      <w:vertAlign w:val="baseline"/>
                      <w:lang w:val="en-US" w:eastAsia="zh-CN"/>
                    </w:rPr>
                    <w:t>SS</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150</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0.0516 </w:t>
                  </w:r>
                </w:p>
              </w:tc>
              <w:tc>
                <w:tcPr>
                  <w:tcW w:w="305"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eastAsia="zh-CN"/>
                    </w:rPr>
                  </w:pPr>
                </w:p>
              </w:tc>
              <w:tc>
                <w:tcPr>
                  <w:tcW w:w="433"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w:t>
                  </w:r>
                </w:p>
              </w:tc>
              <w:tc>
                <w:tcPr>
                  <w:tcW w:w="494" w:type="pct"/>
                  <w:tcBorders>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150</w:t>
                  </w:r>
                </w:p>
              </w:tc>
              <w:tc>
                <w:tcPr>
                  <w:tcW w:w="462"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0.0516 </w:t>
                  </w:r>
                </w:p>
              </w:tc>
              <w:tc>
                <w:tcPr>
                  <w:tcW w:w="622" w:type="pct"/>
                  <w:vMerge w:val="continue"/>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eastAsia="zh-CN"/>
                    </w:rPr>
                  </w:pPr>
                  <w:r>
                    <w:rPr>
                      <w:rFonts w:hint="eastAsia" w:cs="Times New Roman"/>
                      <w:b w:val="0"/>
                      <w:bCs/>
                      <w:color w:val="auto"/>
                      <w:spacing w:val="-4"/>
                      <w:sz w:val="18"/>
                      <w:szCs w:val="18"/>
                      <w:highlight w:val="none"/>
                      <w:vertAlign w:val="baseline"/>
                      <w:lang w:eastAsia="zh-CN"/>
                    </w:rPr>
                    <w:t>生活污水</w:t>
                  </w:r>
                </w:p>
              </w:tc>
              <w:tc>
                <w:tcPr>
                  <w:tcW w:w="513"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r>
                    <w:rPr>
                      <w:rFonts w:hint="eastAsia" w:cs="Times New Roman"/>
                      <w:b w:val="0"/>
                      <w:bCs/>
                      <w:color w:val="auto"/>
                      <w:spacing w:val="-4"/>
                      <w:sz w:val="18"/>
                      <w:szCs w:val="18"/>
                      <w:highlight w:val="none"/>
                      <w:vertAlign w:val="baseline"/>
                      <w:lang w:val="en-US" w:eastAsia="zh-CN"/>
                    </w:rPr>
                    <w:t>478.8</w:t>
                  </w: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r>
                    <w:rPr>
                      <w:rFonts w:hint="eastAsia" w:cs="Times New Roman"/>
                      <w:b w:val="0"/>
                      <w:bCs/>
                      <w:color w:val="auto"/>
                      <w:spacing w:val="-4"/>
                      <w:sz w:val="18"/>
                      <w:szCs w:val="18"/>
                      <w:highlight w:val="none"/>
                      <w:vertAlign w:val="baseline"/>
                      <w:lang w:val="en-US" w:eastAsia="zh-CN"/>
                    </w:rPr>
                    <w:t>COD</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350</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0.1676 </w:t>
                  </w:r>
                </w:p>
              </w:tc>
              <w:tc>
                <w:tcPr>
                  <w:tcW w:w="305"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eastAsia="zh-CN"/>
                    </w:rPr>
                  </w:pPr>
                  <w:r>
                    <w:rPr>
                      <w:rFonts w:hint="default" w:ascii="Times New Roman" w:hAnsi="Times New Roman" w:cs="Times New Roman"/>
                      <w:b w:val="0"/>
                      <w:bCs/>
                      <w:color w:val="auto"/>
                      <w:spacing w:val="-4"/>
                      <w:sz w:val="18"/>
                      <w:szCs w:val="18"/>
                      <w:highlight w:val="none"/>
                      <w:vertAlign w:val="baseline"/>
                      <w:lang w:eastAsia="zh-CN"/>
                    </w:rPr>
                    <w:t>化粪池</w:t>
                  </w:r>
                </w:p>
              </w:tc>
              <w:tc>
                <w:tcPr>
                  <w:tcW w:w="433"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30</w:t>
                  </w:r>
                </w:p>
              </w:tc>
              <w:tc>
                <w:tcPr>
                  <w:tcW w:w="494" w:type="pct"/>
                  <w:tcBorders>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245</w:t>
                  </w:r>
                </w:p>
              </w:tc>
              <w:tc>
                <w:tcPr>
                  <w:tcW w:w="462"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0.1173 </w:t>
                  </w:r>
                </w:p>
              </w:tc>
              <w:tc>
                <w:tcPr>
                  <w:tcW w:w="622" w:type="pct"/>
                  <w:vMerge w:val="restar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eastAsia" w:cs="Times New Roman"/>
                      <w:i w:val="0"/>
                      <w:iCs w:val="0"/>
                      <w:color w:val="auto"/>
                      <w:kern w:val="0"/>
                      <w:sz w:val="18"/>
                      <w:szCs w:val="18"/>
                      <w:highlight w:val="none"/>
                      <w:u w:val="none"/>
                      <w:lang w:val="en-US" w:eastAsia="zh-CN" w:bidi="ar"/>
                    </w:rPr>
                    <w:t>厂区总排口达标排放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r>
                    <w:rPr>
                      <w:rFonts w:hint="eastAsia" w:cs="Times New Roman"/>
                      <w:b w:val="0"/>
                      <w:bCs/>
                      <w:color w:val="auto"/>
                      <w:spacing w:val="-4"/>
                      <w:sz w:val="18"/>
                      <w:szCs w:val="18"/>
                      <w:highlight w:val="none"/>
                      <w:vertAlign w:val="baseline"/>
                      <w:lang w:val="en-US" w:eastAsia="zh-CN"/>
                    </w:rPr>
                    <w:t>BOD</w:t>
                  </w:r>
                  <w:r>
                    <w:rPr>
                      <w:rFonts w:hint="eastAsia" w:cs="Times New Roman"/>
                      <w:b w:val="0"/>
                      <w:bCs/>
                      <w:color w:val="auto"/>
                      <w:spacing w:val="-4"/>
                      <w:sz w:val="18"/>
                      <w:szCs w:val="18"/>
                      <w:highlight w:val="none"/>
                      <w:vertAlign w:val="subscript"/>
                      <w:lang w:val="en-US" w:eastAsia="zh-CN"/>
                    </w:rPr>
                    <w:t>5</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r>
                    <w:rPr>
                      <w:rFonts w:hint="eastAsia" w:cs="Times New Roman"/>
                      <w:b w:val="0"/>
                      <w:bCs/>
                      <w:color w:val="auto"/>
                      <w:spacing w:val="-4"/>
                      <w:sz w:val="18"/>
                      <w:szCs w:val="18"/>
                      <w:highlight w:val="none"/>
                      <w:vertAlign w:val="baseline"/>
                      <w:lang w:val="en-US" w:eastAsia="zh-CN"/>
                    </w:rPr>
                    <w:t>100</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eastAsia" w:cs="Times New Roman"/>
                      <w:i w:val="0"/>
                      <w:iCs w:val="0"/>
                      <w:color w:val="auto"/>
                      <w:kern w:val="0"/>
                      <w:sz w:val="18"/>
                      <w:szCs w:val="18"/>
                      <w:highlight w:val="none"/>
                      <w:u w:val="none"/>
                      <w:lang w:val="en-US" w:eastAsia="zh-CN" w:bidi="ar"/>
                    </w:rPr>
                    <w:t>0.0504</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305"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433"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r>
                    <w:rPr>
                      <w:rFonts w:hint="eastAsia" w:cs="Times New Roman"/>
                      <w:b w:val="0"/>
                      <w:bCs/>
                      <w:color w:val="auto"/>
                      <w:spacing w:val="-4"/>
                      <w:sz w:val="18"/>
                      <w:szCs w:val="18"/>
                      <w:highlight w:val="none"/>
                      <w:vertAlign w:val="baseline"/>
                      <w:lang w:val="en-US" w:eastAsia="zh-CN"/>
                    </w:rPr>
                    <w:t>10</w:t>
                  </w:r>
                </w:p>
              </w:tc>
              <w:tc>
                <w:tcPr>
                  <w:tcW w:w="494" w:type="pct"/>
                  <w:tcBorders>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eastAsia" w:cs="Times New Roman"/>
                      <w:i w:val="0"/>
                      <w:iCs w:val="0"/>
                      <w:color w:val="auto"/>
                      <w:kern w:val="0"/>
                      <w:sz w:val="18"/>
                      <w:szCs w:val="18"/>
                      <w:highlight w:val="none"/>
                      <w:u w:val="none"/>
                      <w:lang w:val="en-US" w:eastAsia="zh-CN" w:bidi="ar"/>
                    </w:rPr>
                    <w:t>90</w:t>
                  </w:r>
                </w:p>
              </w:tc>
              <w:tc>
                <w:tcPr>
                  <w:tcW w:w="462"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eastAsia" w:cs="Times New Roman"/>
                      <w:i w:val="0"/>
                      <w:iCs w:val="0"/>
                      <w:color w:val="auto"/>
                      <w:kern w:val="0"/>
                      <w:sz w:val="18"/>
                      <w:szCs w:val="18"/>
                      <w:highlight w:val="none"/>
                      <w:u w:val="none"/>
                      <w:lang w:val="en-US" w:eastAsia="zh-CN" w:bidi="ar"/>
                    </w:rPr>
                    <w:t>0.0454</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622" w:type="pct"/>
                  <w:vMerge w:val="continue"/>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r>
                    <w:rPr>
                      <w:rFonts w:hint="eastAsia" w:cs="Times New Roman"/>
                      <w:b w:val="0"/>
                      <w:bCs/>
                      <w:color w:val="auto"/>
                      <w:spacing w:val="-4"/>
                      <w:sz w:val="18"/>
                      <w:szCs w:val="18"/>
                      <w:highlight w:val="none"/>
                      <w:vertAlign w:val="baseline"/>
                      <w:lang w:val="en-US" w:eastAsia="zh-CN"/>
                    </w:rPr>
                    <w:t>SS</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200</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0.0958 </w:t>
                  </w:r>
                </w:p>
              </w:tc>
              <w:tc>
                <w:tcPr>
                  <w:tcW w:w="305"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433"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60</w:t>
                  </w:r>
                </w:p>
              </w:tc>
              <w:tc>
                <w:tcPr>
                  <w:tcW w:w="494" w:type="pct"/>
                  <w:tcBorders>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462"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0.0383 </w:t>
                  </w:r>
                </w:p>
              </w:tc>
              <w:tc>
                <w:tcPr>
                  <w:tcW w:w="622" w:type="pct"/>
                  <w:vMerge w:val="continue"/>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r>
                    <w:rPr>
                      <w:rFonts w:hint="eastAsia" w:cs="Times New Roman"/>
                      <w:b w:val="0"/>
                      <w:bCs/>
                      <w:color w:val="auto"/>
                      <w:spacing w:val="-4"/>
                      <w:sz w:val="18"/>
                      <w:szCs w:val="18"/>
                      <w:highlight w:val="none"/>
                      <w:vertAlign w:val="baseline"/>
                      <w:lang w:val="en-US" w:eastAsia="zh-CN"/>
                    </w:rPr>
                    <w:t>NH</w:t>
                  </w:r>
                  <w:r>
                    <w:rPr>
                      <w:rFonts w:hint="eastAsia" w:cs="Times New Roman"/>
                      <w:b w:val="0"/>
                      <w:bCs/>
                      <w:color w:val="auto"/>
                      <w:spacing w:val="-4"/>
                      <w:sz w:val="18"/>
                      <w:szCs w:val="18"/>
                      <w:highlight w:val="none"/>
                      <w:vertAlign w:val="subscript"/>
                      <w:lang w:val="en-US" w:eastAsia="zh-CN"/>
                    </w:rPr>
                    <w:t>3</w:t>
                  </w:r>
                  <w:r>
                    <w:rPr>
                      <w:rFonts w:hint="eastAsia" w:cs="Times New Roman"/>
                      <w:b w:val="0"/>
                      <w:bCs/>
                      <w:color w:val="auto"/>
                      <w:spacing w:val="-4"/>
                      <w:sz w:val="18"/>
                      <w:szCs w:val="18"/>
                      <w:highlight w:val="none"/>
                      <w:vertAlign w:val="baseline"/>
                      <w:lang w:val="en-US" w:eastAsia="zh-CN"/>
                    </w:rPr>
                    <w:t>-N</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60</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0.0287 </w:t>
                  </w:r>
                </w:p>
              </w:tc>
              <w:tc>
                <w:tcPr>
                  <w:tcW w:w="305"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433"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w:t>
                  </w:r>
                </w:p>
              </w:tc>
              <w:tc>
                <w:tcPr>
                  <w:tcW w:w="494" w:type="pct"/>
                  <w:tcBorders>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462"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0.0287 </w:t>
                  </w:r>
                </w:p>
              </w:tc>
              <w:tc>
                <w:tcPr>
                  <w:tcW w:w="622" w:type="pct"/>
                  <w:vMerge w:val="continue"/>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r>
                    <w:rPr>
                      <w:rFonts w:hint="eastAsia" w:cs="Times New Roman"/>
                      <w:b w:val="0"/>
                      <w:bCs/>
                      <w:color w:val="auto"/>
                      <w:spacing w:val="-4"/>
                      <w:sz w:val="18"/>
                      <w:szCs w:val="18"/>
                      <w:highlight w:val="none"/>
                      <w:vertAlign w:val="baseline"/>
                      <w:lang w:val="en-US" w:eastAsia="zh-CN"/>
                    </w:rPr>
                    <w:t>TP</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3</w:t>
                  </w:r>
                </w:p>
              </w:tc>
              <w:tc>
                <w:tcPr>
                  <w:tcW w:w="481"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0.0014 </w:t>
                  </w:r>
                </w:p>
              </w:tc>
              <w:tc>
                <w:tcPr>
                  <w:tcW w:w="305"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433"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cs="Times New Roman"/>
                      <w:b w:val="0"/>
                      <w:bCs/>
                      <w:color w:val="auto"/>
                      <w:spacing w:val="-4"/>
                      <w:sz w:val="18"/>
                      <w:szCs w:val="18"/>
                      <w:highlight w:val="none"/>
                      <w:vertAlign w:val="baseline"/>
                      <w:lang w:val="en-US" w:eastAsia="zh-CN"/>
                    </w:rPr>
                    <w:t>/</w:t>
                  </w:r>
                </w:p>
              </w:tc>
              <w:tc>
                <w:tcPr>
                  <w:tcW w:w="494" w:type="pct"/>
                  <w:tcBorders>
                    <w:righ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3</w:t>
                  </w:r>
                </w:p>
              </w:tc>
              <w:tc>
                <w:tcPr>
                  <w:tcW w:w="462" w:type="pc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0.0014 </w:t>
                  </w:r>
                </w:p>
              </w:tc>
              <w:tc>
                <w:tcPr>
                  <w:tcW w:w="622" w:type="pct"/>
                  <w:vMerge w:val="continue"/>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eastAsia="zh-CN"/>
                    </w:rPr>
                  </w:pPr>
                  <w:r>
                    <w:rPr>
                      <w:rFonts w:hint="eastAsia" w:cs="Times New Roman"/>
                      <w:b w:val="0"/>
                      <w:bCs/>
                      <w:color w:val="auto"/>
                      <w:spacing w:val="-4"/>
                      <w:sz w:val="18"/>
                      <w:szCs w:val="18"/>
                      <w:highlight w:val="none"/>
                      <w:vertAlign w:val="baseline"/>
                      <w:lang w:eastAsia="zh-CN"/>
                    </w:rPr>
                    <w:t>厂区总排口</w:t>
                  </w:r>
                </w:p>
              </w:tc>
              <w:tc>
                <w:tcPr>
                  <w:tcW w:w="513"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1904.1705</w:t>
                  </w: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Times New Roman" w:hAnsi="Times New Roman" w:eastAsia="宋体" w:cs="Times New Roman"/>
                      <w:b w:val="0"/>
                      <w:bCs/>
                      <w:color w:val="auto"/>
                      <w:spacing w:val="-4"/>
                      <w:kern w:val="2"/>
                      <w:sz w:val="18"/>
                      <w:szCs w:val="18"/>
                      <w:highlight w:val="none"/>
                      <w:vertAlign w:val="baseline"/>
                      <w:lang w:val="en-US" w:eastAsia="zh-CN" w:bidi="ar-SA"/>
                    </w:rPr>
                  </w:pPr>
                  <w:r>
                    <w:rPr>
                      <w:rFonts w:hint="eastAsia" w:cs="Times New Roman"/>
                      <w:b w:val="0"/>
                      <w:bCs/>
                      <w:color w:val="auto"/>
                      <w:spacing w:val="-4"/>
                      <w:sz w:val="18"/>
                      <w:szCs w:val="18"/>
                      <w:highlight w:val="none"/>
                      <w:vertAlign w:val="baseline"/>
                      <w:lang w:val="en-US" w:eastAsia="zh-CN"/>
                    </w:rPr>
                    <w:t>COD</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w:t>
                  </w:r>
                </w:p>
              </w:tc>
              <w:tc>
                <w:tcPr>
                  <w:tcW w:w="481" w:type="pct"/>
                  <w:tcBorders>
                    <w:lef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w:t>
                  </w:r>
                </w:p>
              </w:tc>
              <w:tc>
                <w:tcPr>
                  <w:tcW w:w="305"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w:t>
                  </w:r>
                </w:p>
              </w:tc>
              <w:tc>
                <w:tcPr>
                  <w:tcW w:w="433" w:type="pct"/>
                  <w:vMerge w:val="restar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w:t>
                  </w:r>
                </w:p>
              </w:tc>
              <w:tc>
                <w:tcPr>
                  <w:tcW w:w="77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204.60</w:t>
                  </w:r>
                </w:p>
              </w:tc>
              <w:tc>
                <w:tcPr>
                  <w:tcW w:w="720"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0.3896</w:t>
                  </w:r>
                </w:p>
              </w:tc>
              <w:tc>
                <w:tcPr>
                  <w:tcW w:w="622" w:type="pct"/>
                  <w:vMerge w:val="restart"/>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接管网排入</w:t>
                  </w:r>
                  <w:r>
                    <w:rPr>
                      <w:rFonts w:hint="default" w:ascii="Times New Roman" w:hAnsi="Times New Roman" w:eastAsia="宋体" w:cs="Times New Roman"/>
                      <w:i w:val="0"/>
                      <w:iCs w:val="0"/>
                      <w:color w:val="auto"/>
                      <w:kern w:val="0"/>
                      <w:sz w:val="18"/>
                      <w:szCs w:val="18"/>
                      <w:highlight w:val="none"/>
                      <w:u w:val="none"/>
                      <w:lang w:val="en-US" w:eastAsia="zh-CN" w:bidi="ar"/>
                    </w:rPr>
                    <w:t>新乡县综合污水处理厂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Times New Roman" w:hAnsi="Times New Roman" w:eastAsia="宋体" w:cs="Times New Roman"/>
                      <w:b w:val="0"/>
                      <w:bCs/>
                      <w:color w:val="auto"/>
                      <w:spacing w:val="-4"/>
                      <w:kern w:val="2"/>
                      <w:sz w:val="18"/>
                      <w:szCs w:val="18"/>
                      <w:highlight w:val="none"/>
                      <w:vertAlign w:val="baseline"/>
                      <w:lang w:val="en-US" w:eastAsia="zh-CN" w:bidi="ar-SA"/>
                    </w:rPr>
                  </w:pPr>
                  <w:r>
                    <w:rPr>
                      <w:rFonts w:hint="eastAsia" w:cs="Times New Roman"/>
                      <w:b w:val="0"/>
                      <w:bCs/>
                      <w:color w:val="auto"/>
                      <w:spacing w:val="-4"/>
                      <w:sz w:val="18"/>
                      <w:szCs w:val="18"/>
                      <w:highlight w:val="none"/>
                      <w:vertAlign w:val="baseline"/>
                      <w:lang w:val="en-US" w:eastAsia="zh-CN"/>
                    </w:rPr>
                    <w:t>BOD</w:t>
                  </w:r>
                  <w:r>
                    <w:rPr>
                      <w:rFonts w:hint="eastAsia" w:cs="Times New Roman"/>
                      <w:b w:val="0"/>
                      <w:bCs/>
                      <w:color w:val="auto"/>
                      <w:spacing w:val="-4"/>
                      <w:sz w:val="18"/>
                      <w:szCs w:val="18"/>
                      <w:highlight w:val="none"/>
                      <w:vertAlign w:val="subscript"/>
                      <w:lang w:val="en-US" w:eastAsia="zh-CN"/>
                    </w:rPr>
                    <w:t>5</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w:t>
                  </w:r>
                </w:p>
              </w:tc>
              <w:tc>
                <w:tcPr>
                  <w:tcW w:w="481" w:type="pct"/>
                  <w:tcBorders>
                    <w:lef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w:t>
                  </w:r>
                </w:p>
              </w:tc>
              <w:tc>
                <w:tcPr>
                  <w:tcW w:w="305"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43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77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23.84</w:t>
                  </w:r>
                </w:p>
              </w:tc>
              <w:tc>
                <w:tcPr>
                  <w:tcW w:w="720"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0.0454</w:t>
                  </w:r>
                </w:p>
              </w:tc>
              <w:tc>
                <w:tcPr>
                  <w:tcW w:w="622" w:type="pct"/>
                  <w:vMerge w:val="continue"/>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cs="Times New Roman"/>
                      <w:i w:val="0"/>
                      <w:iCs w:val="0"/>
                      <w:color w:val="auto"/>
                      <w:kern w:val="0"/>
                      <w:sz w:val="18"/>
                      <w:szCs w:val="18"/>
                      <w:highlight w:val="none"/>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Times New Roman" w:hAnsi="Times New Roman" w:eastAsia="宋体" w:cs="Times New Roman"/>
                      <w:b w:val="0"/>
                      <w:bCs/>
                      <w:color w:val="auto"/>
                      <w:spacing w:val="-4"/>
                      <w:kern w:val="2"/>
                      <w:sz w:val="18"/>
                      <w:szCs w:val="18"/>
                      <w:highlight w:val="none"/>
                      <w:vertAlign w:val="baseline"/>
                      <w:lang w:val="en-US" w:eastAsia="zh-CN" w:bidi="ar-SA"/>
                    </w:rPr>
                  </w:pPr>
                  <w:r>
                    <w:rPr>
                      <w:rFonts w:hint="eastAsia" w:cs="Times New Roman"/>
                      <w:b w:val="0"/>
                      <w:bCs/>
                      <w:color w:val="auto"/>
                      <w:spacing w:val="-4"/>
                      <w:sz w:val="18"/>
                      <w:szCs w:val="18"/>
                      <w:highlight w:val="none"/>
                      <w:vertAlign w:val="baseline"/>
                      <w:lang w:val="en-US" w:eastAsia="zh-CN"/>
                    </w:rPr>
                    <w:t>SS</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w:t>
                  </w:r>
                </w:p>
              </w:tc>
              <w:tc>
                <w:tcPr>
                  <w:tcW w:w="481" w:type="pct"/>
                  <w:tcBorders>
                    <w:lef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w:t>
                  </w:r>
                </w:p>
              </w:tc>
              <w:tc>
                <w:tcPr>
                  <w:tcW w:w="305"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43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77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92.32</w:t>
                  </w:r>
                </w:p>
              </w:tc>
              <w:tc>
                <w:tcPr>
                  <w:tcW w:w="720"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0.1758</w:t>
                  </w:r>
                </w:p>
              </w:tc>
              <w:tc>
                <w:tcPr>
                  <w:tcW w:w="622" w:type="pct"/>
                  <w:vMerge w:val="continue"/>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Times New Roman" w:hAnsi="Times New Roman" w:eastAsia="宋体" w:cs="Times New Roman"/>
                      <w:b w:val="0"/>
                      <w:bCs/>
                      <w:color w:val="auto"/>
                      <w:spacing w:val="-4"/>
                      <w:kern w:val="2"/>
                      <w:sz w:val="18"/>
                      <w:szCs w:val="18"/>
                      <w:highlight w:val="none"/>
                      <w:vertAlign w:val="baseline"/>
                      <w:lang w:val="en-US" w:eastAsia="zh-CN" w:bidi="ar-SA"/>
                    </w:rPr>
                  </w:pPr>
                  <w:r>
                    <w:rPr>
                      <w:rFonts w:hint="eastAsia" w:cs="Times New Roman"/>
                      <w:b w:val="0"/>
                      <w:bCs/>
                      <w:color w:val="auto"/>
                      <w:spacing w:val="-4"/>
                      <w:sz w:val="18"/>
                      <w:szCs w:val="18"/>
                      <w:highlight w:val="none"/>
                      <w:vertAlign w:val="baseline"/>
                      <w:lang w:val="en-US" w:eastAsia="zh-CN"/>
                    </w:rPr>
                    <w:t>NH</w:t>
                  </w:r>
                  <w:r>
                    <w:rPr>
                      <w:rFonts w:hint="eastAsia" w:cs="Times New Roman"/>
                      <w:b w:val="0"/>
                      <w:bCs/>
                      <w:color w:val="auto"/>
                      <w:spacing w:val="-4"/>
                      <w:sz w:val="18"/>
                      <w:szCs w:val="18"/>
                      <w:highlight w:val="none"/>
                      <w:vertAlign w:val="subscript"/>
                      <w:lang w:val="en-US" w:eastAsia="zh-CN"/>
                    </w:rPr>
                    <w:t>3</w:t>
                  </w:r>
                  <w:r>
                    <w:rPr>
                      <w:rFonts w:hint="eastAsia" w:cs="Times New Roman"/>
                      <w:b w:val="0"/>
                      <w:bCs/>
                      <w:color w:val="auto"/>
                      <w:spacing w:val="-4"/>
                      <w:sz w:val="18"/>
                      <w:szCs w:val="18"/>
                      <w:highlight w:val="none"/>
                      <w:vertAlign w:val="baseline"/>
                      <w:lang w:val="en-US" w:eastAsia="zh-CN"/>
                    </w:rPr>
                    <w:t>-N</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w:t>
                  </w:r>
                </w:p>
              </w:tc>
              <w:tc>
                <w:tcPr>
                  <w:tcW w:w="481" w:type="pct"/>
                  <w:tcBorders>
                    <w:lef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w:t>
                  </w:r>
                </w:p>
              </w:tc>
              <w:tc>
                <w:tcPr>
                  <w:tcW w:w="305"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43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77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cyan"/>
                      <w:vertAlign w:val="baseline"/>
                      <w:lang w:eastAsia="zh-CN"/>
                    </w:rPr>
                  </w:pPr>
                  <w:r>
                    <w:rPr>
                      <w:rFonts w:hint="default" w:ascii="Times New Roman" w:hAnsi="Times New Roman" w:eastAsia="宋体" w:cs="Times New Roman"/>
                      <w:i w:val="0"/>
                      <w:iCs w:val="0"/>
                      <w:color w:val="auto"/>
                      <w:kern w:val="0"/>
                      <w:sz w:val="18"/>
                      <w:szCs w:val="18"/>
                      <w:u w:val="none"/>
                      <w:lang w:val="en-US" w:eastAsia="zh-CN" w:bidi="ar"/>
                    </w:rPr>
                    <w:t>22.27</w:t>
                  </w:r>
                </w:p>
              </w:tc>
              <w:tc>
                <w:tcPr>
                  <w:tcW w:w="720"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none"/>
                      <w:vertAlign w:val="baseli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0.0424</w:t>
                  </w:r>
                </w:p>
              </w:tc>
              <w:tc>
                <w:tcPr>
                  <w:tcW w:w="622" w:type="pct"/>
                  <w:vMerge w:val="continue"/>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Times New Roman" w:hAnsi="Times New Roman" w:eastAsia="宋体" w:cs="Times New Roman"/>
                      <w:b w:val="0"/>
                      <w:bCs/>
                      <w:color w:val="auto"/>
                      <w:spacing w:val="-4"/>
                      <w:kern w:val="2"/>
                      <w:sz w:val="18"/>
                      <w:szCs w:val="18"/>
                      <w:highlight w:val="none"/>
                      <w:vertAlign w:val="baseline"/>
                      <w:lang w:val="en-US" w:eastAsia="zh-CN" w:bidi="ar-SA"/>
                    </w:rPr>
                  </w:pPr>
                  <w:r>
                    <w:rPr>
                      <w:rFonts w:hint="eastAsia" w:cs="Times New Roman"/>
                      <w:b w:val="0"/>
                      <w:bCs/>
                      <w:color w:val="auto"/>
                      <w:spacing w:val="-4"/>
                      <w:sz w:val="18"/>
                      <w:szCs w:val="18"/>
                      <w:highlight w:val="none"/>
                      <w:vertAlign w:val="baseline"/>
                      <w:lang w:val="en-US" w:eastAsia="zh-CN"/>
                    </w:rPr>
                    <w:t>TP</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w:t>
                  </w:r>
                </w:p>
              </w:tc>
              <w:tc>
                <w:tcPr>
                  <w:tcW w:w="481" w:type="pct"/>
                  <w:tcBorders>
                    <w:lef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w:t>
                  </w:r>
                </w:p>
              </w:tc>
              <w:tc>
                <w:tcPr>
                  <w:tcW w:w="305"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43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77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1.84</w:t>
                  </w:r>
                </w:p>
              </w:tc>
              <w:tc>
                <w:tcPr>
                  <w:tcW w:w="720"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cyan"/>
                      <w:vertAlign w:val="baseline"/>
                      <w:lang w:eastAsia="zh-CN"/>
                    </w:rPr>
                  </w:pPr>
                  <w:r>
                    <w:rPr>
                      <w:rFonts w:hint="default" w:ascii="Times New Roman" w:hAnsi="Times New Roman" w:eastAsia="宋体" w:cs="Times New Roman"/>
                      <w:i w:val="0"/>
                      <w:iCs w:val="0"/>
                      <w:color w:val="auto"/>
                      <w:kern w:val="0"/>
                      <w:sz w:val="18"/>
                      <w:szCs w:val="18"/>
                      <w:u w:val="none"/>
                      <w:lang w:val="en-US" w:eastAsia="zh-CN" w:bidi="ar"/>
                    </w:rPr>
                    <w:t>0.0035</w:t>
                  </w:r>
                </w:p>
              </w:tc>
              <w:tc>
                <w:tcPr>
                  <w:tcW w:w="622" w:type="pct"/>
                  <w:vMerge w:val="continue"/>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auto"/>
                      <w:kern w:val="0"/>
                      <w:sz w:val="18"/>
                      <w:szCs w:val="18"/>
                      <w:highlight w:val="cyan"/>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eastAsia="zh-CN"/>
                    </w:rPr>
                  </w:pPr>
                </w:p>
              </w:tc>
              <w:tc>
                <w:tcPr>
                  <w:tcW w:w="51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eastAsia" w:cs="Times New Roman"/>
                      <w:b w:val="0"/>
                      <w:bCs/>
                      <w:color w:val="auto"/>
                      <w:spacing w:val="-4"/>
                      <w:sz w:val="18"/>
                      <w:szCs w:val="18"/>
                      <w:highlight w:val="none"/>
                      <w:vertAlign w:val="baseline"/>
                      <w:lang w:val="en-US" w:eastAsia="zh-CN"/>
                    </w:rPr>
                  </w:pPr>
                </w:p>
              </w:tc>
              <w:tc>
                <w:tcPr>
                  <w:tcW w:w="606" w:type="pct"/>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LAS</w:t>
                  </w:r>
                </w:p>
              </w:tc>
              <w:tc>
                <w:tcPr>
                  <w:tcW w:w="491" w:type="pct"/>
                  <w:tcBorders>
                    <w:righ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w:t>
                  </w:r>
                </w:p>
              </w:tc>
              <w:tc>
                <w:tcPr>
                  <w:tcW w:w="481" w:type="pct"/>
                  <w:tcBorders>
                    <w:left w:val="single" w:color="000000" w:sz="4" w:space="0"/>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none"/>
                      <w:vertAlign w:val="baseline"/>
                      <w:lang w:val="en-US" w:eastAsia="zh-CN"/>
                    </w:rPr>
                  </w:pPr>
                  <w:r>
                    <w:rPr>
                      <w:rFonts w:hint="eastAsia" w:cs="Times New Roman"/>
                      <w:b w:val="0"/>
                      <w:bCs/>
                      <w:color w:val="auto"/>
                      <w:spacing w:val="-4"/>
                      <w:sz w:val="18"/>
                      <w:szCs w:val="18"/>
                      <w:highlight w:val="none"/>
                      <w:vertAlign w:val="baseline"/>
                      <w:lang w:val="en-US" w:eastAsia="zh-CN"/>
                    </w:rPr>
                    <w:t>/</w:t>
                  </w:r>
                </w:p>
              </w:tc>
              <w:tc>
                <w:tcPr>
                  <w:tcW w:w="305"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433" w:type="pct"/>
                  <w:vMerge w:val="continue"/>
                  <w:tcBorders>
                    <w:tl2br w:val="nil"/>
                    <w:tr2bl w:val="nil"/>
                  </w:tcBorders>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right="0" w:rightChars="0"/>
                    <w:jc w:val="center"/>
                    <w:textAlignment w:val="auto"/>
                    <w:rPr>
                      <w:rFonts w:hint="default" w:ascii="Times New Roman" w:hAnsi="Times New Roman" w:cs="Times New Roman"/>
                      <w:b w:val="0"/>
                      <w:bCs/>
                      <w:color w:val="auto"/>
                      <w:spacing w:val="-4"/>
                      <w:sz w:val="18"/>
                      <w:szCs w:val="18"/>
                      <w:highlight w:val="cyan"/>
                      <w:vertAlign w:val="baseline"/>
                      <w:lang w:eastAsia="zh-CN"/>
                    </w:rPr>
                  </w:pPr>
                </w:p>
              </w:tc>
              <w:tc>
                <w:tcPr>
                  <w:tcW w:w="770" w:type="dxa"/>
                  <w:tcBorders>
                    <w:righ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0.89</w:t>
                  </w:r>
                </w:p>
              </w:tc>
              <w:tc>
                <w:tcPr>
                  <w:tcW w:w="720" w:type="dxa"/>
                  <w:tcBorders>
                    <w:left w:val="single" w:color="000000"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color w:val="auto"/>
                      <w:spacing w:val="-4"/>
                      <w:sz w:val="18"/>
                      <w:szCs w:val="18"/>
                      <w:highlight w:val="cyan"/>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0.0017</w:t>
                  </w:r>
                </w:p>
              </w:tc>
              <w:tc>
                <w:tcPr>
                  <w:tcW w:w="622" w:type="pct"/>
                  <w:vMerge w:val="continue"/>
                  <w:tcBorders>
                    <w:left w:val="single" w:color="000000"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cs="Times New Roman"/>
                      <w:b w:val="0"/>
                      <w:bCs/>
                      <w:color w:val="auto"/>
                      <w:spacing w:val="-4"/>
                      <w:sz w:val="18"/>
                      <w:szCs w:val="18"/>
                      <w:highlight w:val="cyan"/>
                      <w:vertAlign w:val="baseline"/>
                      <w:lang w:val="en-US" w:eastAsia="zh-CN"/>
                    </w:rPr>
                  </w:pPr>
                </w:p>
              </w:tc>
            </w:tr>
          </w:tbl>
          <w:p>
            <w:pPr>
              <w:pStyle w:val="3"/>
              <w:keepNext w:val="0"/>
              <w:keepLines w:val="0"/>
              <w:pageBreakBefore w:val="0"/>
              <w:widowControl w:val="0"/>
              <w:numPr>
                <w:ilvl w:val="0"/>
                <w:numId w:val="0"/>
              </w:numPr>
              <w:kinsoku/>
              <w:wordWrap/>
              <w:overflowPunct/>
              <w:topLinePunct w:val="0"/>
              <w:bidi w:val="0"/>
              <w:adjustRightInd/>
              <w:snapToGrid/>
              <w:spacing w:before="0" w:after="0" w:line="360" w:lineRule="auto"/>
              <w:ind w:left="0" w:leftChars="0" w:right="0" w:firstLine="404" w:firstLineChars="200"/>
              <w:jc w:val="both"/>
              <w:textAlignment w:val="auto"/>
              <w:rPr>
                <w:rFonts w:hint="default" w:ascii="Times New Roman" w:hAnsi="Times New Roman" w:eastAsia="宋体" w:cs="Times New Roman"/>
                <w:b w:val="0"/>
                <w:bCs w:val="0"/>
                <w:color w:val="auto"/>
                <w:spacing w:val="-4"/>
                <w:sz w:val="21"/>
                <w:szCs w:val="21"/>
                <w:highlight w:val="none"/>
                <w:lang w:eastAsia="zh-CN"/>
              </w:rPr>
            </w:pPr>
            <w:r>
              <w:rPr>
                <w:rFonts w:hint="default" w:ascii="Times New Roman" w:hAnsi="Times New Roman" w:cs="Times New Roman"/>
                <w:b w:val="0"/>
                <w:bCs/>
                <w:color w:val="auto"/>
                <w:spacing w:val="-4"/>
                <w:sz w:val="21"/>
                <w:szCs w:val="21"/>
                <w:highlight w:val="none"/>
                <w:lang w:eastAsia="zh-CN"/>
              </w:rPr>
              <w:t>本次技改后全厂外排废水能够满足</w:t>
            </w:r>
            <w:r>
              <w:rPr>
                <w:rFonts w:hint="default" w:ascii="Times New Roman" w:hAnsi="Times New Roman" w:cs="Times New Roman"/>
                <w:b w:val="0"/>
                <w:bCs/>
                <w:color w:val="auto"/>
                <w:sz w:val="21"/>
                <w:szCs w:val="21"/>
                <w:highlight w:val="none"/>
                <w:lang w:val="en-US" w:eastAsia="zh-CN"/>
              </w:rPr>
              <w:t>新乡县综合污水处理厂收水标准（COD400mg/L、BOD</w:t>
            </w:r>
            <w:r>
              <w:rPr>
                <w:rFonts w:hint="default" w:ascii="Times New Roman" w:hAnsi="Times New Roman" w:cs="Times New Roman"/>
                <w:b w:val="0"/>
                <w:bCs/>
                <w:color w:val="auto"/>
                <w:sz w:val="21"/>
                <w:szCs w:val="21"/>
                <w:highlight w:val="none"/>
                <w:vertAlign w:val="subscript"/>
                <w:lang w:val="en-US" w:eastAsia="zh-CN"/>
              </w:rPr>
              <w:t>5</w:t>
            </w:r>
            <w:r>
              <w:rPr>
                <w:rFonts w:hint="default" w:ascii="Times New Roman" w:hAnsi="Times New Roman" w:cs="Times New Roman"/>
                <w:b w:val="0"/>
                <w:bCs/>
                <w:color w:val="auto"/>
                <w:sz w:val="21"/>
                <w:szCs w:val="21"/>
                <w:highlight w:val="none"/>
                <w:lang w:val="en-US" w:eastAsia="zh-CN"/>
              </w:rPr>
              <w:t>100mg/L、SS180mg/L、NH</w:t>
            </w:r>
            <w:r>
              <w:rPr>
                <w:rFonts w:hint="default" w:ascii="Times New Roman" w:hAnsi="Times New Roman" w:cs="Times New Roman"/>
                <w:b w:val="0"/>
                <w:bCs/>
                <w:color w:val="auto"/>
                <w:sz w:val="21"/>
                <w:szCs w:val="21"/>
                <w:highlight w:val="none"/>
                <w:vertAlign w:val="subscript"/>
                <w:lang w:val="en-US" w:eastAsia="zh-CN"/>
              </w:rPr>
              <w:t>3</w:t>
            </w:r>
            <w:r>
              <w:rPr>
                <w:rFonts w:hint="default" w:ascii="Times New Roman" w:hAnsi="Times New Roman" w:cs="Times New Roman"/>
                <w:b w:val="0"/>
                <w:bCs/>
                <w:color w:val="auto"/>
                <w:sz w:val="21"/>
                <w:szCs w:val="21"/>
                <w:highlight w:val="none"/>
                <w:lang w:val="en-US" w:eastAsia="zh-CN"/>
              </w:rPr>
              <w:t>-N59mg/L、TP4mg/L）以及《污水综合排放标准》（GB8978-1996）表4三级标准要求（COD500mg/L、BOD</w:t>
            </w:r>
            <w:r>
              <w:rPr>
                <w:rFonts w:hint="default" w:ascii="Times New Roman" w:hAnsi="Times New Roman" w:cs="Times New Roman"/>
                <w:b w:val="0"/>
                <w:bCs/>
                <w:color w:val="auto"/>
                <w:sz w:val="21"/>
                <w:szCs w:val="21"/>
                <w:highlight w:val="none"/>
                <w:vertAlign w:val="subscript"/>
                <w:lang w:val="en-US" w:eastAsia="zh-CN"/>
              </w:rPr>
              <w:t>5</w:t>
            </w:r>
            <w:r>
              <w:rPr>
                <w:rFonts w:hint="default" w:ascii="Times New Roman" w:hAnsi="Times New Roman" w:cs="Times New Roman"/>
                <w:b w:val="0"/>
                <w:bCs/>
                <w:color w:val="auto"/>
                <w:sz w:val="21"/>
                <w:szCs w:val="21"/>
                <w:highlight w:val="none"/>
                <w:lang w:val="en-US" w:eastAsia="zh-CN"/>
              </w:rPr>
              <w:t>300mg/L、SS200mg/L、LAS20mg/L）。</w:t>
            </w:r>
            <w:r>
              <w:rPr>
                <w:rFonts w:hint="default" w:ascii="Times New Roman" w:hAnsi="Times New Roman" w:eastAsia="宋体" w:cs="Times New Roman"/>
                <w:b w:val="0"/>
                <w:bCs w:val="0"/>
                <w:color w:val="auto"/>
                <w:kern w:val="2"/>
                <w:sz w:val="21"/>
                <w:szCs w:val="21"/>
                <w:highlight w:val="none"/>
                <w:lang w:val="en-US" w:eastAsia="zh-CN" w:bidi="ar-SA"/>
              </w:rPr>
              <w:t>项目废水</w:t>
            </w:r>
            <w:r>
              <w:rPr>
                <w:rFonts w:hint="default" w:ascii="Times New Roman" w:hAnsi="Times New Roman" w:cs="Times New Roman"/>
                <w:b w:val="0"/>
                <w:bCs w:val="0"/>
                <w:color w:val="auto"/>
                <w:kern w:val="2"/>
                <w:sz w:val="21"/>
                <w:szCs w:val="21"/>
                <w:highlight w:val="none"/>
                <w:lang w:val="en-US" w:eastAsia="zh-CN" w:bidi="ar-SA"/>
              </w:rPr>
              <w:t>通过区域污水管网排入新乡县综合污水处理厂处理</w:t>
            </w:r>
            <w:r>
              <w:rPr>
                <w:rFonts w:hint="default" w:ascii="Times New Roman" w:hAnsi="Times New Roman" w:eastAsia="宋体" w:cs="Times New Roman"/>
                <w:b w:val="0"/>
                <w:bCs w:val="0"/>
                <w:color w:val="auto"/>
                <w:kern w:val="2"/>
                <w:sz w:val="21"/>
                <w:szCs w:val="21"/>
                <w:highlight w:val="none"/>
                <w:lang w:val="en-US" w:eastAsia="zh-CN" w:bidi="ar-SA"/>
              </w:rPr>
              <w:t>，项目废水排放量为</w:t>
            </w:r>
            <w:r>
              <w:rPr>
                <w:rFonts w:hint="eastAsia" w:cs="Times New Roman"/>
                <w:b w:val="0"/>
                <w:bCs w:val="0"/>
                <w:color w:val="auto"/>
                <w:kern w:val="2"/>
                <w:sz w:val="21"/>
                <w:szCs w:val="21"/>
                <w:highlight w:val="none"/>
                <w:lang w:val="en-US" w:eastAsia="zh-CN" w:bidi="ar-SA"/>
              </w:rPr>
              <w:t>1904.1705</w:t>
            </w:r>
            <w:r>
              <w:rPr>
                <w:rFonts w:hint="default" w:ascii="Times New Roman" w:hAnsi="Times New Roman" w:eastAsia="宋体" w:cs="Times New Roman"/>
                <w:b w:val="0"/>
                <w:bCs w:val="0"/>
                <w:color w:val="auto"/>
                <w:kern w:val="2"/>
                <w:sz w:val="21"/>
                <w:szCs w:val="21"/>
                <w:highlight w:val="none"/>
                <w:lang w:val="en-US" w:eastAsia="zh-CN" w:bidi="ar-SA"/>
              </w:rPr>
              <w:t>m</w:t>
            </w:r>
            <w:r>
              <w:rPr>
                <w:rFonts w:hint="default" w:ascii="Times New Roman" w:hAnsi="Times New Roman" w:eastAsia="宋体" w:cs="Times New Roman"/>
                <w:b w:val="0"/>
                <w:bCs w:val="0"/>
                <w:color w:val="auto"/>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kern w:val="2"/>
                <w:sz w:val="21"/>
                <w:szCs w:val="21"/>
                <w:highlight w:val="none"/>
                <w:lang w:val="en-US" w:eastAsia="zh-CN" w:bidi="ar-SA"/>
              </w:rPr>
              <w:t>/a，污水处理厂出口满足</w:t>
            </w:r>
            <w:r>
              <w:rPr>
                <w:rFonts w:hint="default" w:ascii="Times New Roman" w:hAnsi="Times New Roman" w:eastAsia="宋体" w:cs="Times New Roman"/>
                <w:b w:val="0"/>
                <w:bCs w:val="0"/>
                <w:color w:val="auto"/>
                <w:sz w:val="21"/>
                <w:szCs w:val="21"/>
                <w:highlight w:val="none"/>
              </w:rPr>
              <w:t>COD 40mg/L、BOD</w:t>
            </w:r>
            <w:r>
              <w:rPr>
                <w:rFonts w:hint="default" w:ascii="Times New Roman" w:hAnsi="Times New Roman" w:eastAsia="宋体" w:cs="Times New Roman"/>
                <w:b w:val="0"/>
                <w:bCs w:val="0"/>
                <w:color w:val="auto"/>
                <w:sz w:val="21"/>
                <w:szCs w:val="21"/>
                <w:highlight w:val="none"/>
                <w:vertAlign w:val="subscript"/>
              </w:rPr>
              <w:t>5</w:t>
            </w:r>
            <w:r>
              <w:rPr>
                <w:rFonts w:hint="default" w:ascii="Times New Roman" w:hAnsi="Times New Roman" w:eastAsia="宋体" w:cs="Times New Roman"/>
                <w:b w:val="0"/>
                <w:bCs w:val="0"/>
                <w:color w:val="auto"/>
                <w:sz w:val="21"/>
                <w:szCs w:val="21"/>
                <w:highlight w:val="none"/>
              </w:rPr>
              <w:t>10mg/L、SS 10mg/L、NH</w:t>
            </w:r>
            <w:r>
              <w:rPr>
                <w:rFonts w:hint="default" w:ascii="Times New Roman" w:hAnsi="Times New Roman" w:eastAsia="宋体" w:cs="Times New Roman"/>
                <w:b w:val="0"/>
                <w:bCs w:val="0"/>
                <w:color w:val="auto"/>
                <w:sz w:val="21"/>
                <w:szCs w:val="21"/>
                <w:highlight w:val="none"/>
                <w:vertAlign w:val="subscript"/>
              </w:rPr>
              <w:t>3</w:t>
            </w:r>
            <w:r>
              <w:rPr>
                <w:rFonts w:hint="default" w:ascii="Times New Roman" w:hAnsi="Times New Roman" w:eastAsia="宋体" w:cs="Times New Roman"/>
                <w:b w:val="0"/>
                <w:bCs w:val="0"/>
                <w:color w:val="auto"/>
                <w:sz w:val="21"/>
                <w:szCs w:val="21"/>
                <w:highlight w:val="none"/>
              </w:rPr>
              <w:t>-N 2mg/L、TP 0.4mg/L、LAS0.3mg/L</w:t>
            </w:r>
            <w:r>
              <w:rPr>
                <w:rFonts w:hint="default" w:ascii="Times New Roman" w:hAnsi="Times New Roman" w:eastAsia="宋体" w:cs="Times New Roman"/>
                <w:b w:val="0"/>
                <w:bCs w:val="0"/>
                <w:color w:val="auto"/>
                <w:kern w:val="2"/>
                <w:sz w:val="21"/>
                <w:szCs w:val="21"/>
                <w:highlight w:val="none"/>
                <w:lang w:val="en-US" w:eastAsia="zh-CN" w:bidi="ar-SA"/>
              </w:rPr>
              <w:t>，</w:t>
            </w:r>
            <w:r>
              <w:rPr>
                <w:rFonts w:hint="eastAsia" w:cs="Times New Roman"/>
                <w:b w:val="0"/>
                <w:bCs w:val="0"/>
                <w:color w:val="auto"/>
                <w:kern w:val="2"/>
                <w:sz w:val="21"/>
                <w:szCs w:val="21"/>
                <w:highlight w:val="none"/>
                <w:lang w:val="en-US" w:eastAsia="zh-CN" w:bidi="ar-SA"/>
              </w:rPr>
              <w:t>经污水厂处理厂处理后排放量</w:t>
            </w:r>
            <w:r>
              <w:rPr>
                <w:rFonts w:hint="default" w:ascii="Times New Roman" w:hAnsi="Times New Roman" w:eastAsia="宋体" w:cs="Times New Roman"/>
                <w:b w:val="0"/>
                <w:bCs w:val="0"/>
                <w:color w:val="auto"/>
                <w:kern w:val="2"/>
                <w:sz w:val="21"/>
                <w:szCs w:val="21"/>
                <w:highlight w:val="none"/>
                <w:lang w:val="en-US" w:eastAsia="zh-CN" w:bidi="ar-SA"/>
              </w:rPr>
              <w:t>为</w:t>
            </w:r>
            <w:r>
              <w:rPr>
                <w:rFonts w:hint="default" w:ascii="Times New Roman" w:hAnsi="Times New Roman" w:eastAsia="宋体" w:cs="Times New Roman"/>
                <w:b w:val="0"/>
                <w:bCs w:val="0"/>
                <w:color w:val="auto"/>
                <w:sz w:val="21"/>
                <w:szCs w:val="21"/>
                <w:highlight w:val="none"/>
              </w:rPr>
              <w:t xml:space="preserve">COD </w:t>
            </w:r>
            <w:r>
              <w:rPr>
                <w:rFonts w:hint="eastAsia" w:ascii="Times New Roman" w:hAnsi="Times New Roman" w:eastAsia="宋体" w:cs="Times New Roman"/>
                <w:b w:val="0"/>
                <w:bCs w:val="0"/>
                <w:color w:val="auto"/>
                <w:sz w:val="21"/>
                <w:szCs w:val="21"/>
                <w:highlight w:val="none"/>
                <w:lang w:val="en-US" w:eastAsia="zh-CN"/>
              </w:rPr>
              <w:t>0.0762t/a</w:t>
            </w:r>
            <w:r>
              <w:rPr>
                <w:rFonts w:hint="default" w:ascii="Times New Roman" w:hAnsi="Times New Roman" w:eastAsia="宋体" w:cs="Times New Roman"/>
                <w:b w:val="0"/>
                <w:bCs w:val="0"/>
                <w:color w:val="auto"/>
                <w:sz w:val="21"/>
                <w:szCs w:val="21"/>
                <w:highlight w:val="none"/>
              </w:rPr>
              <w:t>、BOD</w:t>
            </w:r>
            <w:r>
              <w:rPr>
                <w:rFonts w:hint="default" w:ascii="Times New Roman" w:hAnsi="Times New Roman" w:eastAsia="宋体" w:cs="Times New Roman"/>
                <w:b w:val="0"/>
                <w:bCs w:val="0"/>
                <w:color w:val="auto"/>
                <w:sz w:val="21"/>
                <w:szCs w:val="21"/>
                <w:highlight w:val="none"/>
                <w:vertAlign w:val="subscript"/>
              </w:rPr>
              <w:t>5</w:t>
            </w:r>
            <w:r>
              <w:rPr>
                <w:rFonts w:hint="default" w:ascii="Times New Roman" w:hAnsi="Times New Roman" w:eastAsia="宋体" w:cs="Times New Roman"/>
                <w:b w:val="0"/>
                <w:bCs w:val="0"/>
                <w:color w:val="auto"/>
                <w:sz w:val="21"/>
                <w:szCs w:val="21"/>
                <w:highlight w:val="none"/>
              </w:rPr>
              <w:t>0</w:t>
            </w:r>
            <w:r>
              <w:rPr>
                <w:rFonts w:hint="eastAsia" w:ascii="Times New Roman" w:hAnsi="Times New Roman" w:eastAsia="宋体" w:cs="Times New Roman"/>
                <w:b w:val="0"/>
                <w:bCs w:val="0"/>
                <w:color w:val="auto"/>
                <w:sz w:val="21"/>
                <w:szCs w:val="21"/>
                <w:highlight w:val="none"/>
                <w:lang w:val="en-US" w:eastAsia="zh-CN"/>
              </w:rPr>
              <w:t>.019t/a</w:t>
            </w:r>
            <w:r>
              <w:rPr>
                <w:rFonts w:hint="default" w:ascii="Times New Roman" w:hAnsi="Times New Roman" w:eastAsia="宋体" w:cs="Times New Roman"/>
                <w:b w:val="0"/>
                <w:bCs w:val="0"/>
                <w:color w:val="auto"/>
                <w:sz w:val="21"/>
                <w:szCs w:val="21"/>
                <w:highlight w:val="none"/>
              </w:rPr>
              <w:t>、SS 0</w:t>
            </w:r>
            <w:r>
              <w:rPr>
                <w:rFonts w:hint="eastAsia" w:ascii="Times New Roman" w:hAnsi="Times New Roman" w:eastAsia="宋体" w:cs="Times New Roman"/>
                <w:b w:val="0"/>
                <w:bCs w:val="0"/>
                <w:color w:val="auto"/>
                <w:sz w:val="21"/>
                <w:szCs w:val="21"/>
                <w:highlight w:val="none"/>
                <w:lang w:val="en-US" w:eastAsia="zh-CN"/>
              </w:rPr>
              <w:t>.019t/a</w:t>
            </w:r>
            <w:r>
              <w:rPr>
                <w:rFonts w:hint="default" w:ascii="Times New Roman" w:hAnsi="Times New Roman" w:eastAsia="宋体" w:cs="Times New Roman"/>
                <w:b w:val="0"/>
                <w:bCs w:val="0"/>
                <w:color w:val="auto"/>
                <w:sz w:val="21"/>
                <w:szCs w:val="21"/>
                <w:highlight w:val="none"/>
              </w:rPr>
              <w:t>、NH</w:t>
            </w:r>
            <w:r>
              <w:rPr>
                <w:rFonts w:hint="default" w:ascii="Times New Roman" w:hAnsi="Times New Roman" w:eastAsia="宋体" w:cs="Times New Roman"/>
                <w:b w:val="0"/>
                <w:bCs w:val="0"/>
                <w:color w:val="auto"/>
                <w:sz w:val="21"/>
                <w:szCs w:val="21"/>
                <w:highlight w:val="none"/>
                <w:vertAlign w:val="subscript"/>
              </w:rPr>
              <w:t>3</w:t>
            </w:r>
            <w:r>
              <w:rPr>
                <w:rFonts w:hint="default" w:ascii="Times New Roman" w:hAnsi="Times New Roman" w:eastAsia="宋体" w:cs="Times New Roman"/>
                <w:b w:val="0"/>
                <w:bCs w:val="0"/>
                <w:color w:val="auto"/>
                <w:sz w:val="21"/>
                <w:szCs w:val="21"/>
                <w:highlight w:val="none"/>
              </w:rPr>
              <w:t xml:space="preserve">-N </w:t>
            </w:r>
            <w:r>
              <w:rPr>
                <w:rFonts w:hint="eastAsia" w:ascii="Times New Roman" w:hAnsi="Times New Roman" w:eastAsia="宋体" w:cs="Times New Roman"/>
                <w:b w:val="0"/>
                <w:bCs w:val="0"/>
                <w:color w:val="auto"/>
                <w:sz w:val="21"/>
                <w:szCs w:val="21"/>
                <w:highlight w:val="none"/>
                <w:lang w:val="en-US" w:eastAsia="zh-CN"/>
              </w:rPr>
              <w:t>0.0038t/a</w:t>
            </w:r>
            <w:r>
              <w:rPr>
                <w:rFonts w:hint="default" w:ascii="Times New Roman" w:hAnsi="Times New Roman" w:eastAsia="宋体" w:cs="Times New Roman"/>
                <w:b w:val="0"/>
                <w:bCs w:val="0"/>
                <w:color w:val="auto"/>
                <w:sz w:val="21"/>
                <w:szCs w:val="21"/>
                <w:highlight w:val="none"/>
              </w:rPr>
              <w:t xml:space="preserve">、TP </w:t>
            </w:r>
            <w:r>
              <w:rPr>
                <w:rFonts w:hint="eastAsia" w:ascii="Times New Roman" w:hAnsi="Times New Roman" w:eastAsia="宋体" w:cs="Times New Roman"/>
                <w:b w:val="0"/>
                <w:bCs w:val="0"/>
                <w:color w:val="auto"/>
                <w:sz w:val="21"/>
                <w:szCs w:val="21"/>
                <w:highlight w:val="none"/>
                <w:lang w:val="en-US" w:eastAsia="zh-CN"/>
              </w:rPr>
              <w:t>0.0008t/a</w:t>
            </w:r>
            <w:r>
              <w:rPr>
                <w:rFonts w:hint="default" w:ascii="Times New Roman" w:hAnsi="Times New Roman" w:eastAsia="宋体" w:cs="Times New Roman"/>
                <w:b w:val="0"/>
                <w:bCs w:val="0"/>
                <w:color w:val="auto"/>
                <w:sz w:val="21"/>
                <w:szCs w:val="21"/>
                <w:highlight w:val="none"/>
              </w:rPr>
              <w:t>、LAS0.</w:t>
            </w:r>
            <w:r>
              <w:rPr>
                <w:rFonts w:hint="eastAsia" w:ascii="Times New Roman" w:hAnsi="Times New Roman" w:eastAsia="宋体" w:cs="Times New Roman"/>
                <w:b w:val="0"/>
                <w:bCs w:val="0"/>
                <w:color w:val="auto"/>
                <w:sz w:val="21"/>
                <w:szCs w:val="21"/>
                <w:highlight w:val="none"/>
                <w:lang w:val="en-US" w:eastAsia="zh-CN"/>
              </w:rPr>
              <w:t>0006t/a</w:t>
            </w:r>
            <w:r>
              <w:rPr>
                <w:rFonts w:hint="eastAsia" w:ascii="Times New Roman" w:hAnsi="Times New Roman" w:eastAsia="宋体" w:cs="Times New Roman"/>
                <w:b w:val="0"/>
                <w:bCs w:val="0"/>
                <w:color w:val="auto"/>
                <w:sz w:val="21"/>
                <w:szCs w:val="21"/>
                <w:highlight w:val="none"/>
                <w:lang w:eastAsia="zh-CN"/>
              </w:rPr>
              <w:t>。</w:t>
            </w:r>
          </w:p>
          <w:p>
            <w:pPr>
              <w:pStyle w:val="3"/>
              <w:keepNext w:val="0"/>
              <w:keepLines w:val="0"/>
              <w:pageBreakBefore w:val="0"/>
              <w:widowControl w:val="0"/>
              <w:numPr>
                <w:ilvl w:val="0"/>
                <w:numId w:val="0"/>
              </w:numPr>
              <w:kinsoku/>
              <w:wordWrap/>
              <w:overflowPunct/>
              <w:topLinePunct w:val="0"/>
              <w:bidi w:val="0"/>
              <w:adjustRightInd/>
              <w:snapToGrid/>
              <w:spacing w:before="0" w:after="0" w:line="360" w:lineRule="auto"/>
              <w:ind w:left="0" w:leftChars="0" w:right="0" w:rightChars="0" w:firstLine="406" w:firstLineChars="200"/>
              <w:textAlignment w:val="auto"/>
              <w:rPr>
                <w:rFonts w:hint="default" w:ascii="Times New Roman" w:hAnsi="Times New Roman" w:cs="Times New Roman"/>
                <w:b/>
                <w:bCs w:val="0"/>
                <w:color w:val="auto"/>
                <w:spacing w:val="-4"/>
                <w:sz w:val="21"/>
                <w:szCs w:val="21"/>
                <w:highlight w:val="none"/>
                <w:lang w:eastAsia="zh-CN"/>
              </w:rPr>
            </w:pPr>
            <w:r>
              <w:rPr>
                <w:rFonts w:hint="default" w:ascii="Times New Roman" w:hAnsi="Times New Roman" w:cs="Times New Roman"/>
                <w:b/>
                <w:bCs w:val="0"/>
                <w:color w:val="auto"/>
                <w:spacing w:val="-4"/>
                <w:sz w:val="21"/>
                <w:szCs w:val="21"/>
                <w:highlight w:val="none"/>
                <w:lang w:eastAsia="zh-CN"/>
              </w:rPr>
              <w:t>（</w:t>
            </w:r>
            <w:r>
              <w:rPr>
                <w:rFonts w:hint="default" w:ascii="Times New Roman" w:hAnsi="Times New Roman" w:cs="Times New Roman"/>
                <w:b/>
                <w:bCs w:val="0"/>
                <w:color w:val="auto"/>
                <w:spacing w:val="-4"/>
                <w:sz w:val="21"/>
                <w:szCs w:val="21"/>
                <w:highlight w:val="none"/>
                <w:lang w:val="en-US" w:eastAsia="zh-CN"/>
              </w:rPr>
              <w:t>4</w:t>
            </w:r>
            <w:r>
              <w:rPr>
                <w:rFonts w:hint="default" w:ascii="Times New Roman" w:hAnsi="Times New Roman" w:cs="Times New Roman"/>
                <w:b/>
                <w:bCs w:val="0"/>
                <w:color w:val="auto"/>
                <w:spacing w:val="-4"/>
                <w:sz w:val="21"/>
                <w:szCs w:val="21"/>
                <w:highlight w:val="none"/>
                <w:lang w:eastAsia="zh-CN"/>
              </w:rPr>
              <w:t>）废水处理措施依托可行性分析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2" w:firstLineChars="200"/>
              <w:jc w:val="both"/>
              <w:textAlignment w:val="auto"/>
              <w:rPr>
                <w:rFonts w:hint="eastAsia" w:cs="Times New Roman"/>
                <w:b/>
                <w:bCs/>
                <w:color w:val="auto"/>
                <w:highlight w:val="none"/>
                <w:lang w:eastAsia="zh-CN"/>
              </w:rPr>
            </w:pPr>
            <w:r>
              <w:rPr>
                <w:rFonts w:hint="default" w:ascii="Times New Roman" w:hAnsi="Times New Roman" w:cs="Times New Roman"/>
                <w:b/>
                <w:bCs/>
                <w:color w:val="auto"/>
                <w:highlight w:val="none"/>
                <w:lang w:eastAsia="zh-CN"/>
              </w:rPr>
              <w:fldChar w:fldCharType="begin"/>
            </w:r>
            <w:r>
              <w:rPr>
                <w:rFonts w:hint="default" w:ascii="Times New Roman" w:hAnsi="Times New Roman" w:cs="Times New Roman"/>
                <w:b/>
                <w:bCs/>
                <w:color w:val="auto"/>
                <w:highlight w:val="none"/>
                <w:lang w:eastAsia="zh-CN"/>
              </w:rPr>
              <w:instrText xml:space="preserve"> = 1 \* GB3 \* MERGEFORMAT </w:instrText>
            </w:r>
            <w:r>
              <w:rPr>
                <w:rFonts w:hint="default" w:ascii="Times New Roman" w:hAnsi="Times New Roman" w:cs="Times New Roman"/>
                <w:b/>
                <w:bCs/>
                <w:color w:val="auto"/>
                <w:highlight w:val="none"/>
                <w:lang w:eastAsia="zh-CN"/>
              </w:rPr>
              <w:fldChar w:fldCharType="separate"/>
            </w:r>
            <w:r>
              <w:rPr>
                <w:b/>
                <w:bCs/>
                <w:color w:val="auto"/>
              </w:rPr>
              <w:t>①</w:t>
            </w:r>
            <w:r>
              <w:rPr>
                <w:rFonts w:hint="default" w:ascii="Times New Roman" w:hAnsi="Times New Roman" w:cs="Times New Roman"/>
                <w:b/>
                <w:bCs/>
                <w:color w:val="auto"/>
                <w:highlight w:val="none"/>
                <w:lang w:eastAsia="zh-CN"/>
              </w:rPr>
              <w:fldChar w:fldCharType="end"/>
            </w:r>
            <w:r>
              <w:rPr>
                <w:rFonts w:hint="eastAsia" w:cs="Times New Roman"/>
                <w:b/>
                <w:bCs/>
                <w:color w:val="auto"/>
                <w:highlight w:val="none"/>
                <w:lang w:eastAsia="zh-CN"/>
              </w:rPr>
              <w:t>生活污水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default" w:cs="Times New Roman"/>
                <w:b w:val="0"/>
                <w:bCs w:val="0"/>
                <w:color w:val="auto"/>
                <w:kern w:val="2"/>
                <w:sz w:val="21"/>
                <w:szCs w:val="21"/>
                <w:highlight w:val="none"/>
                <w:lang w:val="en-US" w:eastAsia="zh-CN" w:bidi="ar-SA"/>
              </w:rPr>
            </w:pPr>
            <w:r>
              <w:rPr>
                <w:rFonts w:hint="default" w:ascii="Times New Roman" w:hAnsi="Times New Roman" w:cs="Times New Roman"/>
                <w:color w:val="auto"/>
                <w:highlight w:val="none"/>
                <w:lang w:eastAsia="zh-CN"/>
              </w:rPr>
              <w:t>本次技改后</w:t>
            </w:r>
            <w:r>
              <w:rPr>
                <w:rFonts w:hint="eastAsia" w:cs="Times New Roman"/>
                <w:color w:val="auto"/>
                <w:highlight w:val="none"/>
                <w:lang w:eastAsia="zh-CN"/>
              </w:rPr>
              <w:t>无新增生活污水，因此技改后全厂生活污水仍通过现有</w:t>
            </w:r>
            <w:r>
              <w:rPr>
                <w:rFonts w:hint="default" w:ascii="Times New Roman" w:hAnsi="Times New Roman" w:eastAsia="宋体" w:cs="Times New Roman"/>
                <w:b w:val="0"/>
                <w:bCs w:val="0"/>
                <w:color w:val="auto"/>
                <w:kern w:val="2"/>
                <w:sz w:val="21"/>
                <w:szCs w:val="21"/>
                <w:highlight w:val="none"/>
                <w:lang w:val="en-US" w:eastAsia="zh-CN" w:bidi="ar-SA"/>
              </w:rPr>
              <w:t>化粪池处理</w:t>
            </w:r>
            <w:r>
              <w:rPr>
                <w:rFonts w:hint="eastAsia" w:cs="Times New Roman"/>
                <w:b w:val="0"/>
                <w:bCs w:val="0"/>
                <w:color w:val="auto"/>
                <w:kern w:val="2"/>
                <w:sz w:val="21"/>
                <w:szCs w:val="21"/>
                <w:highlight w:val="none"/>
                <w:lang w:val="en-US" w:eastAsia="zh-CN" w:bidi="ar-SA"/>
              </w:rPr>
              <w:t>，技改后全厂生活污水量为</w:t>
            </w:r>
            <w:r>
              <w:rPr>
                <w:rFonts w:hint="default" w:ascii="Times New Roman" w:hAnsi="Times New Roman" w:eastAsia="宋体" w:cs="Times New Roman"/>
                <w:b w:val="0"/>
                <w:bCs w:val="0"/>
                <w:color w:val="auto"/>
                <w:kern w:val="2"/>
                <w:sz w:val="21"/>
                <w:szCs w:val="21"/>
                <w:highlight w:val="none"/>
                <w:lang w:val="en-US" w:eastAsia="zh-CN" w:bidi="ar-SA"/>
              </w:rPr>
              <w:t>1.68m</w:t>
            </w:r>
            <w:r>
              <w:rPr>
                <w:rFonts w:hint="default" w:ascii="Times New Roman" w:hAnsi="Times New Roman" w:eastAsia="宋体" w:cs="Times New Roman"/>
                <w:b w:val="0"/>
                <w:bCs w:val="0"/>
                <w:color w:val="auto"/>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kern w:val="2"/>
                <w:sz w:val="21"/>
                <w:szCs w:val="21"/>
                <w:highlight w:val="none"/>
                <w:lang w:val="en-US" w:eastAsia="zh-CN" w:bidi="ar-SA"/>
              </w:rPr>
              <w:t>/d（504m</w:t>
            </w:r>
            <w:r>
              <w:rPr>
                <w:rFonts w:hint="default" w:ascii="Times New Roman" w:hAnsi="Times New Roman" w:eastAsia="宋体" w:cs="Times New Roman"/>
                <w:b w:val="0"/>
                <w:bCs w:val="0"/>
                <w:color w:val="auto"/>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kern w:val="2"/>
                <w:sz w:val="21"/>
                <w:szCs w:val="21"/>
                <w:highlight w:val="none"/>
                <w:lang w:val="en-US" w:eastAsia="zh-CN" w:bidi="ar-SA"/>
              </w:rPr>
              <w:t>/a）</w:t>
            </w:r>
            <w:r>
              <w:rPr>
                <w:rFonts w:hint="eastAsia" w:cs="Times New Roman"/>
                <w:b w:val="0"/>
                <w:bCs w:val="0"/>
                <w:color w:val="auto"/>
                <w:kern w:val="2"/>
                <w:sz w:val="21"/>
                <w:szCs w:val="21"/>
                <w:highlight w:val="none"/>
                <w:lang w:val="en-US" w:eastAsia="zh-CN" w:bidi="ar-SA"/>
              </w:rPr>
              <w:t>，现有工程设置1座15m</w:t>
            </w:r>
            <w:r>
              <w:rPr>
                <w:rFonts w:hint="eastAsia" w:cs="Times New Roman"/>
                <w:b w:val="0"/>
                <w:bCs w:val="0"/>
                <w:color w:val="auto"/>
                <w:kern w:val="2"/>
                <w:sz w:val="21"/>
                <w:szCs w:val="21"/>
                <w:highlight w:val="none"/>
                <w:vertAlign w:val="superscript"/>
                <w:lang w:val="en-US" w:eastAsia="zh-CN" w:bidi="ar-SA"/>
              </w:rPr>
              <w:t>3</w:t>
            </w:r>
            <w:r>
              <w:rPr>
                <w:rFonts w:hint="eastAsia" w:cs="Times New Roman"/>
                <w:b w:val="0"/>
                <w:bCs w:val="0"/>
                <w:color w:val="auto"/>
                <w:kern w:val="2"/>
                <w:sz w:val="21"/>
                <w:szCs w:val="21"/>
                <w:highlight w:val="none"/>
                <w:lang w:val="en-US" w:eastAsia="zh-CN" w:bidi="ar-SA"/>
              </w:rPr>
              <w:t>化粪池，能够满足项目生活污水处理需求。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2" w:firstLineChars="200"/>
              <w:jc w:val="both"/>
              <w:textAlignment w:val="auto"/>
              <w:rPr>
                <w:rFonts w:hint="eastAsia"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fldChar w:fldCharType="begin"/>
            </w:r>
            <w:r>
              <w:rPr>
                <w:rFonts w:hint="eastAsia" w:cs="Times New Roman"/>
                <w:b/>
                <w:bCs/>
                <w:color w:val="auto"/>
                <w:kern w:val="2"/>
                <w:sz w:val="21"/>
                <w:szCs w:val="21"/>
                <w:highlight w:val="none"/>
                <w:lang w:val="en-US" w:eastAsia="zh-CN" w:bidi="ar-SA"/>
              </w:rPr>
              <w:instrText xml:space="preserve"> = 2 \* GB3 \* MERGEFORMAT </w:instrText>
            </w:r>
            <w:r>
              <w:rPr>
                <w:rFonts w:hint="eastAsia" w:cs="Times New Roman"/>
                <w:b/>
                <w:bCs/>
                <w:color w:val="auto"/>
                <w:kern w:val="2"/>
                <w:sz w:val="21"/>
                <w:szCs w:val="21"/>
                <w:highlight w:val="none"/>
                <w:lang w:val="en-US" w:eastAsia="zh-CN" w:bidi="ar-SA"/>
              </w:rPr>
              <w:fldChar w:fldCharType="separate"/>
            </w:r>
            <w:r>
              <w:rPr>
                <w:b/>
                <w:bCs/>
                <w:color w:val="auto"/>
                <w:highlight w:val="none"/>
              </w:rPr>
              <w:t>②</w:t>
            </w:r>
            <w:r>
              <w:rPr>
                <w:rFonts w:hint="eastAsia" w:cs="Times New Roman"/>
                <w:b/>
                <w:bCs/>
                <w:color w:val="auto"/>
                <w:kern w:val="2"/>
                <w:sz w:val="21"/>
                <w:szCs w:val="21"/>
                <w:highlight w:val="none"/>
                <w:lang w:val="en-US" w:eastAsia="zh-CN" w:bidi="ar-SA"/>
              </w:rPr>
              <w:fldChar w:fldCharType="end"/>
            </w:r>
            <w:r>
              <w:rPr>
                <w:rFonts w:hint="eastAsia" w:cs="Times New Roman"/>
                <w:b/>
                <w:bCs/>
                <w:color w:val="auto"/>
                <w:kern w:val="2"/>
                <w:sz w:val="21"/>
                <w:szCs w:val="21"/>
                <w:highlight w:val="none"/>
                <w:lang w:val="en-US" w:eastAsia="zh-CN" w:bidi="ar-SA"/>
              </w:rPr>
              <w:t>生产废水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2" w:firstLineChars="200"/>
              <w:jc w:val="both"/>
              <w:textAlignment w:val="auto"/>
              <w:rPr>
                <w:rFonts w:hint="eastAsia" w:cs="Times New Roman"/>
                <w:bCs/>
                <w:color w:val="auto"/>
                <w:kern w:val="0"/>
                <w:szCs w:val="21"/>
                <w:highlight w:val="none"/>
                <w:lang w:eastAsia="zh-CN"/>
              </w:rPr>
            </w:pPr>
            <w:r>
              <w:rPr>
                <w:rFonts w:hint="eastAsia" w:cs="Times New Roman"/>
                <w:b/>
                <w:bCs/>
                <w:color w:val="auto"/>
                <w:kern w:val="2"/>
                <w:sz w:val="21"/>
                <w:szCs w:val="21"/>
                <w:highlight w:val="none"/>
                <w:lang w:val="en-US" w:eastAsia="zh-CN" w:bidi="ar-SA"/>
              </w:rPr>
              <w:t>冷加工工序废水回用可行性：</w:t>
            </w:r>
            <w:r>
              <w:rPr>
                <w:rFonts w:hint="eastAsia" w:cs="Times New Roman"/>
                <w:b w:val="0"/>
                <w:bCs w:val="0"/>
                <w:color w:val="auto"/>
                <w:kern w:val="2"/>
                <w:sz w:val="21"/>
                <w:szCs w:val="21"/>
                <w:highlight w:val="none"/>
                <w:lang w:val="en-US" w:eastAsia="zh-CN" w:bidi="ar-SA"/>
              </w:rPr>
              <w:t>本次技改后生产废水</w:t>
            </w:r>
            <w:r>
              <w:rPr>
                <w:rFonts w:hint="eastAsia" w:cs="Times New Roman"/>
                <w:b w:val="0"/>
                <w:bCs/>
                <w:color w:val="auto"/>
                <w:spacing w:val="-4"/>
                <w:sz w:val="21"/>
                <w:szCs w:val="21"/>
                <w:highlight w:val="none"/>
                <w:lang w:eastAsia="zh-CN"/>
              </w:rPr>
              <w:t>包括切割、磨边、粗磨、精磨等冷加工工序冲洗废水，镀膜前后清洗废水和纯水制备浓水，其中切割、磨边、粗磨、精磨等冷加工工序冲洗水主要目的是降低加工面因摩擦产生的高温使玻璃产品发生破裂，同时抑制冷加工磨削过程产生的细小玻璃尘屑，防止其对车间工人安全造成影响，冲洗用水中无需添加其他辅助溶剂，因此产生的冲洗废水主要污染物为各冷加工过程中产生的玻璃碎屑，废水中主要污染物为</w:t>
            </w:r>
            <w:r>
              <w:rPr>
                <w:rFonts w:hint="eastAsia" w:cs="Times New Roman"/>
                <w:b w:val="0"/>
                <w:bCs/>
                <w:color w:val="auto"/>
                <w:spacing w:val="-4"/>
                <w:sz w:val="21"/>
                <w:szCs w:val="21"/>
                <w:highlight w:val="none"/>
                <w:lang w:val="en-US" w:eastAsia="zh-CN"/>
              </w:rPr>
              <w:t>SS</w:t>
            </w:r>
            <w:r>
              <w:rPr>
                <w:rFonts w:hint="eastAsia" w:cs="Times New Roman"/>
                <w:b w:val="0"/>
                <w:bCs/>
                <w:color w:val="auto"/>
                <w:spacing w:val="-4"/>
                <w:sz w:val="21"/>
                <w:szCs w:val="21"/>
                <w:highlight w:val="none"/>
                <w:lang w:eastAsia="zh-CN"/>
              </w:rPr>
              <w:t>，冲洗过程对用水水质要求不高，通过设置沉淀池处理后循环使用，可极大程度节约水资源。根据水平衡可知，切割、磨边、粗磨、精磨工序冲洗废水量共计</w:t>
            </w:r>
            <w:r>
              <w:rPr>
                <w:rFonts w:hint="eastAsia" w:cs="Times New Roman"/>
                <w:b w:val="0"/>
                <w:bCs/>
                <w:color w:val="auto"/>
                <w:spacing w:val="-4"/>
                <w:sz w:val="21"/>
                <w:szCs w:val="21"/>
                <w:highlight w:val="none"/>
                <w:lang w:val="en-US" w:eastAsia="zh-CN"/>
              </w:rPr>
              <w:t>5.4909m</w:t>
            </w:r>
            <w:r>
              <w:rPr>
                <w:rFonts w:hint="eastAsia" w:cs="Times New Roman"/>
                <w:b w:val="0"/>
                <w:bCs/>
                <w:color w:val="auto"/>
                <w:spacing w:val="-4"/>
                <w:sz w:val="21"/>
                <w:szCs w:val="21"/>
                <w:highlight w:val="none"/>
                <w:vertAlign w:val="superscript"/>
                <w:lang w:val="en-US" w:eastAsia="zh-CN"/>
              </w:rPr>
              <w:t>3</w:t>
            </w:r>
            <w:r>
              <w:rPr>
                <w:rFonts w:hint="eastAsia" w:cs="Times New Roman"/>
                <w:b w:val="0"/>
                <w:bCs/>
                <w:color w:val="auto"/>
                <w:spacing w:val="-4"/>
                <w:sz w:val="21"/>
                <w:szCs w:val="21"/>
                <w:highlight w:val="none"/>
                <w:lang w:val="en-US" w:eastAsia="zh-CN"/>
              </w:rPr>
              <w:t>/d</w:t>
            </w:r>
            <w:r>
              <w:rPr>
                <w:rFonts w:hint="eastAsia" w:cs="Times New Roman"/>
                <w:b w:val="0"/>
                <w:bCs/>
                <w:color w:val="auto"/>
                <w:spacing w:val="-4"/>
                <w:sz w:val="21"/>
                <w:szCs w:val="21"/>
                <w:highlight w:val="none"/>
                <w:lang w:eastAsia="zh-CN"/>
              </w:rPr>
              <w:t>，目前厂区内现有</w:t>
            </w:r>
            <w:r>
              <w:rPr>
                <w:rFonts w:hint="eastAsia" w:cs="Times New Roman"/>
                <w:b w:val="0"/>
                <w:bCs/>
                <w:color w:val="auto"/>
                <w:spacing w:val="-4"/>
                <w:sz w:val="21"/>
                <w:szCs w:val="21"/>
                <w:highlight w:val="none"/>
                <w:lang w:val="en-US" w:eastAsia="zh-CN"/>
              </w:rPr>
              <w:t>1座</w:t>
            </w:r>
            <w:r>
              <w:rPr>
                <w:rFonts w:hint="eastAsia" w:cs="Times New Roman"/>
                <w:bCs/>
                <w:color w:val="auto"/>
                <w:kern w:val="0"/>
                <w:szCs w:val="21"/>
                <w:highlight w:val="none"/>
                <w:lang w:val="en-US" w:eastAsia="zh-CN"/>
              </w:rPr>
              <w:t>72m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沉淀池，因此冷加工过程冲洗废水均可利用现有沉淀池进行处理后循环使用，沉淀池每月定期清洗出废水排入混凝沉淀池（5m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val="en-US" w:eastAsia="zh-CN"/>
              </w:rPr>
              <w:t>）处理后，通过区域污水管网排入新乡县综合污水处理厂进一步处理</w:t>
            </w:r>
            <w:r>
              <w:rPr>
                <w:rFonts w:hint="eastAsia" w:cs="Times New Roman"/>
                <w:bCs/>
                <w:color w:val="auto"/>
                <w:kern w:val="0"/>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color w:val="auto"/>
                <w:sz w:val="21"/>
                <w:szCs w:val="21"/>
                <w:highlight w:val="none"/>
                <w:lang w:val="en-US" w:eastAsia="zh-CN"/>
              </w:rPr>
            </w:pPr>
            <w:r>
              <w:rPr>
                <w:rFonts w:hint="eastAsia" w:cs="Times New Roman"/>
                <w:b/>
                <w:bCs w:val="0"/>
                <w:color w:val="auto"/>
                <w:kern w:val="0"/>
                <w:szCs w:val="21"/>
                <w:highlight w:val="none"/>
                <w:lang w:eastAsia="zh-CN"/>
              </w:rPr>
              <w:t>镀膜前后清洗废水处理措施可行性：</w:t>
            </w:r>
            <w:r>
              <w:rPr>
                <w:rFonts w:hint="eastAsia" w:cs="Times New Roman"/>
                <w:bCs/>
                <w:color w:val="auto"/>
                <w:kern w:val="0"/>
                <w:szCs w:val="21"/>
                <w:highlight w:val="none"/>
                <w:lang w:eastAsia="zh-CN"/>
              </w:rPr>
              <w:t>本次技改后项目镀膜前后清洗废水</w:t>
            </w:r>
            <w:r>
              <w:rPr>
                <w:rFonts w:hint="eastAsia" w:cs="Times New Roman"/>
                <w:b w:val="0"/>
                <w:bCs/>
                <w:color w:val="auto"/>
                <w:spacing w:val="-4"/>
                <w:sz w:val="21"/>
                <w:szCs w:val="21"/>
                <w:highlight w:val="none"/>
                <w:lang w:eastAsia="zh-CN"/>
              </w:rPr>
              <w:t>主要污染为含清洗液废水</w:t>
            </w:r>
            <w:r>
              <w:rPr>
                <w:rFonts w:hint="eastAsia" w:cs="Times New Roman"/>
                <w:bCs/>
                <w:color w:val="auto"/>
                <w:kern w:val="0"/>
                <w:szCs w:val="21"/>
                <w:highlight w:val="none"/>
                <w:lang w:eastAsia="zh-CN"/>
              </w:rPr>
              <w:t>，废水中主要污染物为</w:t>
            </w:r>
            <w:r>
              <w:rPr>
                <w:rFonts w:hint="eastAsia" w:cs="Times New Roman"/>
                <w:bCs/>
                <w:color w:val="auto"/>
                <w:kern w:val="0"/>
                <w:szCs w:val="21"/>
                <w:highlight w:val="none"/>
                <w:lang w:val="en-US" w:eastAsia="zh-CN"/>
              </w:rPr>
              <w:t>COD、SS、LAS、TP</w:t>
            </w:r>
            <w:r>
              <w:rPr>
                <w:rFonts w:hint="eastAsia" w:cs="Times New Roman"/>
                <w:bCs/>
                <w:color w:val="auto"/>
                <w:kern w:val="0"/>
                <w:szCs w:val="21"/>
                <w:highlight w:val="none"/>
                <w:lang w:eastAsia="zh-CN"/>
              </w:rPr>
              <w:t>，根据水平衡可知，镀膜前后清洗废水量为</w:t>
            </w:r>
            <w:r>
              <w:rPr>
                <w:rFonts w:hint="eastAsia" w:cs="Times New Roman"/>
                <w:color w:val="auto"/>
                <w:sz w:val="21"/>
                <w:szCs w:val="21"/>
                <w:highlight w:val="none"/>
                <w:lang w:val="en-US" w:eastAsia="zh-CN"/>
              </w:rPr>
              <w:t>2.594</w:t>
            </w:r>
            <w:r>
              <w:rPr>
                <w:rFonts w:hint="eastAsia" w:cs="Times New Roman"/>
                <w:b w:val="0"/>
                <w:bCs/>
                <w:color w:val="auto"/>
                <w:spacing w:val="-4"/>
                <w:sz w:val="21"/>
                <w:szCs w:val="21"/>
                <w:highlight w:val="none"/>
                <w:lang w:val="en-US" w:eastAsia="zh-CN"/>
              </w:rPr>
              <w:t>m</w:t>
            </w:r>
            <w:r>
              <w:rPr>
                <w:rFonts w:hint="eastAsia" w:cs="Times New Roman"/>
                <w:b w:val="0"/>
                <w:bCs/>
                <w:color w:val="auto"/>
                <w:spacing w:val="-4"/>
                <w:sz w:val="21"/>
                <w:szCs w:val="21"/>
                <w:highlight w:val="none"/>
                <w:vertAlign w:val="superscript"/>
                <w:lang w:val="en-US" w:eastAsia="zh-CN"/>
              </w:rPr>
              <w:t>3</w:t>
            </w:r>
            <w:r>
              <w:rPr>
                <w:rFonts w:hint="eastAsia" w:cs="Times New Roman"/>
                <w:b w:val="0"/>
                <w:bCs/>
                <w:color w:val="auto"/>
                <w:spacing w:val="-4"/>
                <w:sz w:val="21"/>
                <w:szCs w:val="21"/>
                <w:highlight w:val="none"/>
                <w:lang w:val="en-US" w:eastAsia="zh-CN"/>
              </w:rPr>
              <w:t>/d</w:t>
            </w:r>
            <w:r>
              <w:rPr>
                <w:rFonts w:hint="eastAsia" w:cs="Times New Roman"/>
                <w:b w:val="0"/>
                <w:bCs/>
                <w:color w:val="auto"/>
                <w:spacing w:val="-4"/>
                <w:sz w:val="21"/>
                <w:szCs w:val="21"/>
                <w:highlight w:val="none"/>
                <w:lang w:eastAsia="zh-CN"/>
              </w:rPr>
              <w:t>，</w:t>
            </w:r>
            <w:r>
              <w:rPr>
                <w:rFonts w:hint="eastAsia" w:cs="Times New Roman"/>
                <w:bCs/>
                <w:color w:val="auto"/>
                <w:kern w:val="0"/>
                <w:szCs w:val="21"/>
                <w:highlight w:val="none"/>
                <w:lang w:eastAsia="zh-CN"/>
              </w:rPr>
              <w:t>该部分废水仍利用现有</w:t>
            </w:r>
            <w:r>
              <w:rPr>
                <w:rFonts w:hint="eastAsia" w:cs="Times New Roman"/>
                <w:bCs/>
                <w:color w:val="auto"/>
                <w:kern w:val="0"/>
                <w:szCs w:val="21"/>
                <w:highlight w:val="none"/>
                <w:lang w:val="en-US" w:eastAsia="zh-CN"/>
              </w:rPr>
              <w:t>1座5m</w:t>
            </w:r>
            <w:r>
              <w:rPr>
                <w:rFonts w:hint="eastAsia" w:cs="Times New Roman"/>
                <w:bCs/>
                <w:color w:val="auto"/>
                <w:kern w:val="0"/>
                <w:szCs w:val="21"/>
                <w:highlight w:val="none"/>
                <w:vertAlign w:val="superscript"/>
                <w:lang w:val="en-US" w:eastAsia="zh-CN"/>
              </w:rPr>
              <w:t>3</w:t>
            </w:r>
            <w:r>
              <w:rPr>
                <w:rFonts w:hint="eastAsia" w:cs="Times New Roman"/>
                <w:bCs/>
                <w:color w:val="auto"/>
                <w:kern w:val="0"/>
                <w:szCs w:val="21"/>
                <w:highlight w:val="none"/>
                <w:lang w:eastAsia="zh-CN"/>
              </w:rPr>
              <w:t>混凝沉淀池处理后</w:t>
            </w:r>
            <w:r>
              <w:rPr>
                <w:rFonts w:hint="default" w:ascii="Times New Roman" w:hAnsi="Times New Roman" w:cs="Times New Roman"/>
                <w:color w:val="auto"/>
                <w:sz w:val="21"/>
                <w:szCs w:val="21"/>
                <w:highlight w:val="none"/>
                <w:lang w:val="en-US" w:eastAsia="zh-CN"/>
              </w:rPr>
              <w:t>，</w:t>
            </w:r>
            <w:r>
              <w:rPr>
                <w:rFonts w:hint="eastAsia" w:cs="Times New Roman"/>
                <w:bCs/>
                <w:color w:val="auto"/>
                <w:kern w:val="0"/>
                <w:szCs w:val="21"/>
                <w:highlight w:val="none"/>
                <w:lang w:val="en-US" w:eastAsia="zh-CN"/>
              </w:rPr>
              <w:t>通过区域污水管网排入新乡县综合污水处理厂进一步处理</w:t>
            </w:r>
            <w:r>
              <w:rPr>
                <w:rFonts w:hint="default" w:ascii="Times New Roman" w:hAnsi="Times New Roman" w:cs="Times New Roman"/>
                <w:color w:val="auto"/>
                <w:sz w:val="21"/>
                <w:szCs w:val="21"/>
                <w:highlight w:val="none"/>
                <w:lang w:val="en-US" w:eastAsia="zh-CN"/>
              </w:rPr>
              <w:t>。</w:t>
            </w:r>
          </w:p>
          <w:p>
            <w:pPr>
              <w:pStyle w:val="3"/>
              <w:keepNext w:val="0"/>
              <w:keepLines w:val="0"/>
              <w:pageBreakBefore w:val="0"/>
              <w:widowControl w:val="0"/>
              <w:numPr>
                <w:ilvl w:val="0"/>
                <w:numId w:val="0"/>
              </w:numPr>
              <w:kinsoku/>
              <w:wordWrap/>
              <w:overflowPunct/>
              <w:topLinePunct w:val="0"/>
              <w:bidi w:val="0"/>
              <w:adjustRightInd/>
              <w:snapToGrid/>
              <w:spacing w:before="0" w:after="0" w:line="360" w:lineRule="auto"/>
              <w:ind w:left="0" w:leftChars="0" w:right="0" w:firstLine="406" w:firstLineChars="200"/>
              <w:jc w:val="both"/>
              <w:textAlignment w:val="auto"/>
              <w:rPr>
                <w:rFonts w:hint="default" w:ascii="Times New Roman" w:hAnsi="Times New Roman" w:cs="Times New Roman"/>
                <w:b/>
                <w:bCs w:val="0"/>
                <w:snapToGrid/>
                <w:color w:val="auto"/>
                <w:kern w:val="2"/>
                <w:sz w:val="21"/>
                <w:szCs w:val="21"/>
                <w:highlight w:val="none"/>
              </w:rPr>
            </w:pPr>
            <w:r>
              <w:rPr>
                <w:rFonts w:hint="default" w:ascii="Times New Roman" w:hAnsi="Times New Roman" w:cs="Times New Roman"/>
                <w:b/>
                <w:bCs w:val="0"/>
                <w:color w:val="auto"/>
                <w:spacing w:val="-4"/>
                <w:sz w:val="21"/>
                <w:szCs w:val="21"/>
                <w:highlight w:val="none"/>
              </w:rPr>
              <w:t>（</w:t>
            </w:r>
            <w:r>
              <w:rPr>
                <w:rFonts w:hint="default" w:ascii="Times New Roman" w:hAnsi="Times New Roman" w:cs="Times New Roman"/>
                <w:b/>
                <w:bCs w:val="0"/>
                <w:color w:val="auto"/>
                <w:spacing w:val="-4"/>
                <w:sz w:val="21"/>
                <w:szCs w:val="21"/>
                <w:highlight w:val="none"/>
                <w:lang w:val="en-US" w:eastAsia="zh-CN"/>
              </w:rPr>
              <w:t>5</w:t>
            </w:r>
            <w:r>
              <w:rPr>
                <w:rFonts w:hint="default" w:ascii="Times New Roman" w:hAnsi="Times New Roman" w:cs="Times New Roman"/>
                <w:b/>
                <w:bCs w:val="0"/>
                <w:color w:val="auto"/>
                <w:spacing w:val="-4"/>
                <w:sz w:val="21"/>
                <w:szCs w:val="21"/>
                <w:highlight w:val="none"/>
              </w:rPr>
              <w:t>）废水进入污水处理厂的可行性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0" w:firstLineChars="200"/>
              <w:jc w:val="both"/>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技改后全厂外排废水包括</w:t>
            </w:r>
            <w:r>
              <w:rPr>
                <w:rFonts w:hint="default" w:ascii="Times New Roman" w:hAnsi="Times New Roman" w:cs="Times New Roman"/>
                <w:color w:val="auto"/>
                <w:sz w:val="21"/>
                <w:szCs w:val="21"/>
                <w:highlight w:val="none"/>
              </w:rPr>
              <w:t>生活</w:t>
            </w:r>
            <w:r>
              <w:rPr>
                <w:rFonts w:hint="default" w:ascii="Times New Roman" w:hAnsi="Times New Roman" w:cs="Times New Roman"/>
                <w:color w:val="auto"/>
                <w:sz w:val="21"/>
                <w:szCs w:val="21"/>
                <w:highlight w:val="none"/>
                <w:lang w:val="en-US" w:eastAsia="zh-CN"/>
              </w:rPr>
              <w:t>污水和生产废水（下料、磨边、粗磨、精磨等冷加工冲洗废水和镀膜前后清洗废水），其中生活污水</w:t>
            </w:r>
            <w:r>
              <w:rPr>
                <w:rFonts w:hint="default" w:ascii="Times New Roman" w:hAnsi="Times New Roman" w:cs="Times New Roman"/>
                <w:color w:val="auto"/>
                <w:sz w:val="21"/>
                <w:szCs w:val="21"/>
                <w:highlight w:val="none"/>
              </w:rPr>
              <w:t>经</w:t>
            </w:r>
            <w:r>
              <w:rPr>
                <w:rFonts w:hint="default" w:ascii="Times New Roman" w:hAnsi="Times New Roman" w:cs="Times New Roman"/>
                <w:color w:val="auto"/>
                <w:sz w:val="21"/>
                <w:szCs w:val="21"/>
                <w:highlight w:val="none"/>
                <w:lang w:eastAsia="zh-CN"/>
              </w:rPr>
              <w:t>依托现有“隔油</w:t>
            </w:r>
            <w:r>
              <w:rPr>
                <w:rFonts w:hint="default" w:ascii="Times New Roman" w:hAnsi="Times New Roman" w:cs="Times New Roman"/>
                <w:color w:val="auto"/>
                <w:sz w:val="21"/>
                <w:szCs w:val="21"/>
                <w:highlight w:val="none"/>
                <w:lang w:val="en-US" w:eastAsia="zh-CN"/>
              </w:rPr>
              <w:t>+沉淀池处理</w:t>
            </w:r>
            <w:r>
              <w:rPr>
                <w:rFonts w:hint="default" w:ascii="Times New Roman" w:hAnsi="Times New Roman" w:cs="Times New Roman"/>
                <w:color w:val="auto"/>
                <w:sz w:val="21"/>
                <w:szCs w:val="21"/>
                <w:highlight w:val="none"/>
                <w:lang w:eastAsia="zh-CN"/>
              </w:rPr>
              <w:t>”处理，生产废水依托现有</w:t>
            </w:r>
            <w:r>
              <w:rPr>
                <w:rFonts w:hint="default" w:ascii="Times New Roman" w:hAnsi="Times New Roman" w:cs="Times New Roman"/>
                <w:color w:val="auto"/>
                <w:highlight w:val="none"/>
                <w:lang w:eastAsia="zh-CN"/>
              </w:rPr>
              <w:t>“沉淀池</w:t>
            </w:r>
            <w:r>
              <w:rPr>
                <w:rFonts w:hint="default" w:ascii="Times New Roman" w:hAnsi="Times New Roman" w:cs="Times New Roman"/>
                <w:color w:val="auto"/>
                <w:highlight w:val="none"/>
                <w:lang w:val="en-US" w:eastAsia="zh-CN"/>
              </w:rPr>
              <w:t>+混凝沉淀池</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1"/>
                <w:szCs w:val="21"/>
                <w:highlight w:val="none"/>
                <w:lang w:eastAsia="zh-CN"/>
              </w:rPr>
              <w:t>处理，处理后废水同软水制备产生的浓水一同经厂区总排口排入区域污水管网，后排入新乡县综合污水处理厂</w:t>
            </w:r>
            <w:r>
              <w:rPr>
                <w:rFonts w:hint="default" w:ascii="Times New Roman" w:hAnsi="Times New Roman" w:cs="Times New Roman"/>
                <w:bCs/>
                <w:color w:val="auto"/>
                <w:spacing w:val="-4"/>
                <w:sz w:val="21"/>
                <w:szCs w:val="21"/>
                <w:highlight w:val="none"/>
              </w:rPr>
              <w:t>进一步处理，</w:t>
            </w:r>
            <w:r>
              <w:rPr>
                <w:rFonts w:hint="default" w:ascii="Times New Roman" w:hAnsi="Times New Roman" w:cs="Times New Roman"/>
                <w:color w:val="auto"/>
                <w:sz w:val="21"/>
                <w:szCs w:val="21"/>
                <w:highlight w:val="none"/>
                <w:lang w:eastAsia="zh-CN"/>
              </w:rPr>
              <w:t>综合</w:t>
            </w:r>
            <w:r>
              <w:rPr>
                <w:rFonts w:hint="default" w:ascii="Times New Roman" w:hAnsi="Times New Roman" w:eastAsia="宋体" w:cs="Times New Roman"/>
                <w:bCs/>
                <w:color w:val="auto"/>
                <w:kern w:val="0"/>
                <w:sz w:val="21"/>
                <w:szCs w:val="21"/>
                <w:highlight w:val="none"/>
                <w:lang w:eastAsia="zh-CN"/>
              </w:rPr>
              <w:t>废水</w:t>
            </w:r>
            <w:r>
              <w:rPr>
                <w:rFonts w:hint="default" w:ascii="Times New Roman" w:hAnsi="Times New Roman" w:eastAsia="宋体" w:cs="Times New Roman"/>
                <w:bCs/>
                <w:color w:val="auto"/>
                <w:kern w:val="0"/>
                <w:sz w:val="21"/>
                <w:szCs w:val="21"/>
                <w:highlight w:val="none"/>
              </w:rPr>
              <w:t>量为</w:t>
            </w:r>
            <w:r>
              <w:rPr>
                <w:rFonts w:hint="eastAsia" w:cs="Times New Roman"/>
                <w:color w:val="auto"/>
                <w:sz w:val="21"/>
                <w:szCs w:val="21"/>
                <w:highlight w:val="none"/>
                <w:lang w:val="en-US" w:eastAsia="zh-CN"/>
              </w:rPr>
              <w:t>6.6813</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d（</w:t>
            </w:r>
            <w:r>
              <w:rPr>
                <w:rFonts w:hint="eastAsia" w:cs="Times New Roman"/>
                <w:bCs/>
                <w:color w:val="auto"/>
                <w:kern w:val="0"/>
                <w:sz w:val="21"/>
                <w:szCs w:val="21"/>
                <w:highlight w:val="none"/>
                <w:lang w:val="en-US" w:eastAsia="zh-CN"/>
              </w:rPr>
              <w:t>1904.1705</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a）</w:t>
            </w:r>
            <w:r>
              <w:rPr>
                <w:rFonts w:hint="default" w:ascii="Times New Roman" w:hAnsi="Times New Roman" w:cs="Times New Roman"/>
                <w:bCs/>
                <w:color w:val="auto"/>
                <w:sz w:val="21"/>
                <w:szCs w:val="21"/>
                <w:highlight w:val="none"/>
                <w:lang w:eastAsia="zh-CN"/>
              </w:rPr>
              <w:t>，外排</w:t>
            </w:r>
            <w:r>
              <w:rPr>
                <w:rFonts w:hint="default" w:ascii="Times New Roman" w:hAnsi="Times New Roman" w:cs="Times New Roman"/>
                <w:color w:val="auto"/>
                <w:sz w:val="21"/>
                <w:szCs w:val="21"/>
                <w:highlight w:val="none"/>
                <w:lang w:eastAsia="zh-CN"/>
              </w:rPr>
              <w:t>综合废水</w:t>
            </w:r>
            <w:r>
              <w:rPr>
                <w:rFonts w:hint="default" w:ascii="Times New Roman" w:hAnsi="Times New Roman" w:cs="Times New Roman"/>
                <w:color w:val="auto"/>
                <w:sz w:val="21"/>
                <w:szCs w:val="21"/>
                <w:highlight w:val="none"/>
              </w:rPr>
              <w:t>水质为COD</w:t>
            </w:r>
            <w:r>
              <w:rPr>
                <w:rFonts w:hint="default" w:ascii="Times New Roman" w:hAnsi="Times New Roman" w:cs="Times New Roman"/>
                <w:color w:val="auto"/>
                <w:sz w:val="21"/>
                <w:szCs w:val="21"/>
                <w:highlight w:val="none"/>
                <w:lang w:val="en-US" w:eastAsia="zh-CN"/>
              </w:rPr>
              <w:t>19</w:t>
            </w:r>
            <w:r>
              <w:rPr>
                <w:rFonts w:hint="eastAsia" w:cs="Times New Roman"/>
                <w:color w:val="auto"/>
                <w:sz w:val="21"/>
                <w:szCs w:val="21"/>
                <w:highlight w:val="none"/>
                <w:lang w:val="en-US" w:eastAsia="zh-CN"/>
              </w:rPr>
              <w:t>5.05</w:t>
            </w:r>
            <w:r>
              <w:rPr>
                <w:rFonts w:hint="default" w:ascii="Times New Roman" w:hAnsi="Times New Roman" w:cs="Times New Roman"/>
                <w:color w:val="auto"/>
                <w:sz w:val="21"/>
                <w:szCs w:val="21"/>
                <w:highlight w:val="none"/>
              </w:rPr>
              <w:t>mg/L、</w:t>
            </w:r>
            <w:r>
              <w:rPr>
                <w:rFonts w:hint="default" w:ascii="Times New Roman" w:hAnsi="Times New Roman" w:cs="Times New Roman"/>
                <w:color w:val="auto"/>
                <w:sz w:val="21"/>
                <w:szCs w:val="21"/>
                <w:highlight w:val="none"/>
                <w:lang w:val="en-US" w:eastAsia="zh-CN"/>
              </w:rPr>
              <w:t>BOD</w:t>
            </w:r>
            <w:r>
              <w:rPr>
                <w:rFonts w:hint="default" w:ascii="Times New Roman" w:hAnsi="Times New Roman" w:cs="Times New Roman"/>
                <w:color w:val="auto"/>
                <w:sz w:val="21"/>
                <w:szCs w:val="21"/>
                <w:highlight w:val="none"/>
                <w:vertAlign w:val="subscript"/>
                <w:lang w:val="en-US" w:eastAsia="zh-CN"/>
              </w:rPr>
              <w:t>5</w:t>
            </w:r>
            <w:r>
              <w:rPr>
                <w:rFonts w:hint="eastAsia" w:cs="Times New Roman"/>
                <w:color w:val="auto"/>
                <w:sz w:val="21"/>
                <w:szCs w:val="21"/>
                <w:highlight w:val="none"/>
                <w:lang w:val="en-US" w:eastAsia="zh-CN"/>
              </w:rPr>
              <w:t>50.29</w:t>
            </w:r>
            <w:r>
              <w:rPr>
                <w:rFonts w:hint="default" w:ascii="Times New Roman" w:hAnsi="Times New Roman" w:cs="Times New Roman"/>
                <w:color w:val="auto"/>
                <w:sz w:val="21"/>
                <w:szCs w:val="21"/>
                <w:highlight w:val="none"/>
                <w:lang w:val="en-US" w:eastAsia="zh-CN"/>
              </w:rPr>
              <w:t>mg/L</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r>
              <w:rPr>
                <w:rFonts w:hint="eastAsia" w:cs="Times New Roman"/>
                <w:color w:val="auto"/>
                <w:sz w:val="21"/>
                <w:szCs w:val="21"/>
                <w:highlight w:val="none"/>
                <w:lang w:val="en-US" w:eastAsia="zh-CN"/>
              </w:rPr>
              <w:t>22.27</w:t>
            </w:r>
            <w:r>
              <w:rPr>
                <w:rFonts w:hint="default" w:ascii="Times New Roman" w:hAnsi="Times New Roman" w:cs="Times New Roman"/>
                <w:color w:val="auto"/>
                <w:sz w:val="21"/>
                <w:szCs w:val="21"/>
                <w:highlight w:val="none"/>
              </w:rPr>
              <w:t>mg/L</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SS</w:t>
            </w:r>
            <w:r>
              <w:rPr>
                <w:rFonts w:hint="eastAsia" w:cs="Times New Roman"/>
                <w:color w:val="auto"/>
                <w:sz w:val="21"/>
                <w:szCs w:val="21"/>
                <w:highlight w:val="none"/>
                <w:lang w:val="en-US" w:eastAsia="zh-CN"/>
              </w:rPr>
              <w:t>123.42</w:t>
            </w:r>
            <w:r>
              <w:rPr>
                <w:rFonts w:hint="default" w:ascii="Times New Roman" w:hAnsi="Times New Roman" w:cs="Times New Roman"/>
                <w:color w:val="auto"/>
                <w:sz w:val="21"/>
                <w:szCs w:val="21"/>
                <w:highlight w:val="none"/>
              </w:rPr>
              <w:t>mg/L、</w:t>
            </w:r>
            <w:r>
              <w:rPr>
                <w:rFonts w:hint="default" w:ascii="Times New Roman" w:hAnsi="Times New Roman" w:cs="Times New Roman"/>
                <w:color w:val="auto"/>
                <w:sz w:val="21"/>
                <w:szCs w:val="21"/>
                <w:highlight w:val="none"/>
                <w:lang w:val="en-US" w:eastAsia="zh-CN"/>
              </w:rPr>
              <w:t>TP</w:t>
            </w:r>
            <w:r>
              <w:rPr>
                <w:rFonts w:hint="eastAsia" w:cs="Times New Roman"/>
                <w:color w:val="auto"/>
                <w:sz w:val="21"/>
                <w:szCs w:val="21"/>
                <w:highlight w:val="none"/>
                <w:lang w:val="en-US" w:eastAsia="zh-CN"/>
              </w:rPr>
              <w:t>1.59</w:t>
            </w:r>
            <w:r>
              <w:rPr>
                <w:rFonts w:hint="default" w:ascii="Times New Roman" w:hAnsi="Times New Roman" w:cs="Times New Roman"/>
                <w:color w:val="auto"/>
                <w:sz w:val="21"/>
                <w:szCs w:val="21"/>
                <w:highlight w:val="none"/>
              </w:rPr>
              <w:t>mg/L</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LAS</w:t>
            </w:r>
            <w:r>
              <w:rPr>
                <w:rFonts w:hint="eastAsia" w:cs="Times New Roman"/>
                <w:color w:val="auto"/>
                <w:sz w:val="21"/>
                <w:szCs w:val="21"/>
                <w:highlight w:val="none"/>
                <w:lang w:val="en-US" w:eastAsia="zh-CN"/>
              </w:rPr>
              <w:t>0.24</w:t>
            </w:r>
            <w:r>
              <w:rPr>
                <w:rFonts w:hint="default" w:ascii="Times New Roman" w:hAnsi="Times New Roman" w:cs="Times New Roman"/>
                <w:color w:val="auto"/>
                <w:sz w:val="21"/>
                <w:szCs w:val="21"/>
                <w:highlight w:val="none"/>
              </w:rPr>
              <w:t>mg/L</w:t>
            </w:r>
            <w:r>
              <w:rPr>
                <w:rFonts w:hint="default" w:ascii="Times New Roman" w:hAnsi="Times New Roman"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2" w:firstLineChars="200"/>
              <w:jc w:val="both"/>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fldChar w:fldCharType="begin"/>
            </w:r>
            <w:r>
              <w:rPr>
                <w:rFonts w:hint="default" w:ascii="Times New Roman" w:hAnsi="Times New Roman" w:cs="Times New Roman"/>
                <w:b/>
                <w:bCs/>
                <w:color w:val="auto"/>
                <w:sz w:val="21"/>
                <w:szCs w:val="21"/>
                <w:highlight w:val="none"/>
                <w:lang w:eastAsia="zh-CN"/>
              </w:rPr>
              <w:instrText xml:space="preserve"> = 1 \* GB3 \* MERGEFORMAT </w:instrText>
            </w:r>
            <w:r>
              <w:rPr>
                <w:rFonts w:hint="default" w:ascii="Times New Roman" w:hAnsi="Times New Roman" w:cs="Times New Roman"/>
                <w:b/>
                <w:bCs/>
                <w:color w:val="auto"/>
                <w:sz w:val="21"/>
                <w:szCs w:val="21"/>
                <w:highlight w:val="none"/>
                <w:lang w:eastAsia="zh-CN"/>
              </w:rPr>
              <w:fldChar w:fldCharType="separate"/>
            </w:r>
            <w:r>
              <w:rPr>
                <w:rFonts w:hint="default" w:ascii="Times New Roman" w:hAnsi="Times New Roman" w:cs="Times New Roman"/>
                <w:b/>
                <w:bCs/>
                <w:color w:val="auto"/>
                <w:highlight w:val="none"/>
              </w:rPr>
              <w:t>①</w:t>
            </w:r>
            <w:r>
              <w:rPr>
                <w:rFonts w:hint="default" w:ascii="Times New Roman" w:hAnsi="Times New Roman" w:cs="Times New Roman"/>
                <w:b/>
                <w:bCs/>
                <w:color w:val="auto"/>
                <w:sz w:val="21"/>
                <w:szCs w:val="21"/>
                <w:highlight w:val="none"/>
                <w:lang w:eastAsia="zh-CN"/>
              </w:rPr>
              <w:fldChar w:fldCharType="end"/>
            </w:r>
            <w:r>
              <w:rPr>
                <w:rFonts w:hint="default" w:ascii="Times New Roman" w:hAnsi="Times New Roman" w:cs="Times New Roman"/>
                <w:b/>
                <w:bCs/>
                <w:color w:val="auto"/>
                <w:kern w:val="2"/>
                <w:sz w:val="21"/>
                <w:szCs w:val="21"/>
                <w:highlight w:val="none"/>
                <w:lang w:eastAsia="zh-CN"/>
              </w:rPr>
              <w:t>新乡县综合污水处理厂概况</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新乡县综合污水处理厂位于</w:t>
            </w:r>
            <w:r>
              <w:rPr>
                <w:rFonts w:hint="default" w:ascii="Times New Roman" w:hAnsi="Times New Roman" w:cs="Times New Roman"/>
                <w:color w:val="auto"/>
                <w:szCs w:val="24"/>
                <w:highlight w:val="none"/>
              </w:rPr>
              <w:t>集聚区北区（胜利路以东、青龙路以北、文化路以西、东孟姜女河以南的区域）</w:t>
            </w:r>
            <w:r>
              <w:rPr>
                <w:rFonts w:hint="default" w:ascii="Times New Roman" w:hAnsi="Times New Roman" w:cs="Times New Roman"/>
                <w:color w:val="auto"/>
                <w:highlight w:val="none"/>
              </w:rPr>
              <w:t>，设计处理规模为15万m³/d，总服务面积48.42km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。目前主体工程已完工，目前正在进行收水调试。收水范围为</w:t>
            </w:r>
            <w:r>
              <w:rPr>
                <w:rFonts w:hint="default" w:ascii="Times New Roman" w:hAnsi="Times New Roman" w:cs="Times New Roman"/>
                <w:bCs/>
                <w:color w:val="auto"/>
                <w:szCs w:val="28"/>
                <w:highlight w:val="none"/>
              </w:rPr>
              <w:t>新乡县中心城区（40km</w:t>
            </w:r>
            <w:r>
              <w:rPr>
                <w:rFonts w:hint="default" w:ascii="Times New Roman" w:hAnsi="Times New Roman" w:cs="Times New Roman"/>
                <w:bCs/>
                <w:color w:val="auto"/>
                <w:szCs w:val="28"/>
                <w:highlight w:val="none"/>
                <w:vertAlign w:val="superscript"/>
              </w:rPr>
              <w:t>2</w:t>
            </w:r>
            <w:r>
              <w:rPr>
                <w:rFonts w:hint="default" w:ascii="Times New Roman" w:hAnsi="Times New Roman" w:cs="Times New Roman"/>
                <w:bCs/>
                <w:color w:val="auto"/>
                <w:szCs w:val="28"/>
                <w:highlight w:val="none"/>
              </w:rPr>
              <w:t>，包含部分新乡经济技术产业集聚区）、新乡经济技术产业集聚区（3.16km</w:t>
            </w:r>
            <w:r>
              <w:rPr>
                <w:rFonts w:hint="default" w:ascii="Times New Roman" w:hAnsi="Times New Roman" w:cs="Times New Roman"/>
                <w:bCs/>
                <w:color w:val="auto"/>
                <w:szCs w:val="28"/>
                <w:highlight w:val="none"/>
                <w:vertAlign w:val="superscript"/>
              </w:rPr>
              <w:t>2</w:t>
            </w:r>
            <w:r>
              <w:rPr>
                <w:rFonts w:hint="default" w:ascii="Times New Roman" w:hAnsi="Times New Roman" w:cs="Times New Roman"/>
                <w:bCs/>
                <w:color w:val="auto"/>
                <w:szCs w:val="28"/>
                <w:highlight w:val="none"/>
              </w:rPr>
              <w:t>，纸制品印刷包装产业园和装备制造产业园）、朗公庙镇中心镇区（5.26km</w:t>
            </w:r>
            <w:r>
              <w:rPr>
                <w:rFonts w:hint="default" w:ascii="Times New Roman" w:hAnsi="Times New Roman" w:cs="Times New Roman"/>
                <w:bCs/>
                <w:color w:val="auto"/>
                <w:szCs w:val="28"/>
                <w:highlight w:val="none"/>
                <w:vertAlign w:val="superscript"/>
              </w:rPr>
              <w:t>2</w:t>
            </w:r>
            <w:r>
              <w:rPr>
                <w:rFonts w:hint="default" w:ascii="Times New Roman" w:hAnsi="Times New Roman" w:cs="Times New Roman"/>
                <w:bCs/>
                <w:color w:val="auto"/>
                <w:szCs w:val="28"/>
                <w:highlight w:val="none"/>
              </w:rPr>
              <w:t>）</w:t>
            </w:r>
            <w:r>
              <w:rPr>
                <w:rFonts w:hint="default" w:ascii="Times New Roman" w:hAnsi="Times New Roman" w:cs="Times New Roman"/>
                <w:color w:val="auto"/>
                <w:highlight w:val="none"/>
              </w:rPr>
              <w:t>。采用的工艺为</w:t>
            </w:r>
            <w:r>
              <w:rPr>
                <w:rFonts w:hint="default" w:ascii="Times New Roman" w:hAnsi="Times New Roman" w:cs="Times New Roman"/>
                <w:color w:val="auto"/>
                <w:szCs w:val="21"/>
                <w:highlight w:val="none"/>
              </w:rPr>
              <w:t>“格栅+水解酸化+AAOAO +沉淀+V型过滤+臭氧接触+活性炭过滤”</w:t>
            </w:r>
            <w:r>
              <w:rPr>
                <w:rFonts w:hint="default" w:ascii="Times New Roman" w:hAnsi="Times New Roman" w:cs="Times New Roman"/>
                <w:color w:val="auto"/>
                <w:highlight w:val="none"/>
              </w:rPr>
              <w:t>。设计进水水质为COD400mg/L、BOD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100mg/L、SS180mg/L、NH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-N59mg/L、TP4mg/L、TN70mg/L，出水水质达到</w:t>
            </w:r>
            <w:r>
              <w:rPr>
                <w:rFonts w:hint="default" w:ascii="Times New Roman" w:hAnsi="Times New Roman" w:cs="Times New Roman"/>
                <w:color w:val="auto"/>
                <w:szCs w:val="21"/>
                <w:highlight w:val="none"/>
              </w:rPr>
              <w:t>《地表水环境质量标准》（GB3838-2002）</w:t>
            </w: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4 \* ROMAN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V</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类标准，即</w:t>
            </w:r>
            <w:r>
              <w:rPr>
                <w:rFonts w:hint="default" w:ascii="Times New Roman" w:hAnsi="Times New Roman" w:cs="Times New Roman"/>
                <w:color w:val="auto"/>
                <w:highlight w:val="none"/>
              </w:rPr>
              <w:t>COD 40mg/L、</w:t>
            </w:r>
            <w:r>
              <w:rPr>
                <w:rFonts w:hint="default" w:ascii="Times New Roman" w:hAnsi="Times New Roman" w:cs="Times New Roman"/>
                <w:color w:val="auto"/>
                <w:highlight w:val="none"/>
                <w:lang w:val="en-US" w:eastAsia="zh-CN"/>
              </w:rPr>
              <w:t>BOD</w:t>
            </w:r>
            <w:r>
              <w:rPr>
                <w:rFonts w:hint="default" w:ascii="Times New Roman" w:hAnsi="Times New Roman" w:cs="Times New Roman"/>
                <w:color w:val="auto"/>
                <w:highlight w:val="none"/>
                <w:vertAlign w:val="subscript"/>
                <w:lang w:val="en-US" w:eastAsia="zh-CN"/>
              </w:rPr>
              <w:t>5</w:t>
            </w:r>
            <w:r>
              <w:rPr>
                <w:rFonts w:hint="default" w:ascii="Times New Roman" w:hAnsi="Times New Roman" w:cs="Times New Roman"/>
                <w:color w:val="auto"/>
                <w:highlight w:val="none"/>
                <w:lang w:val="en-US" w:eastAsia="zh-CN"/>
              </w:rPr>
              <w:t>10mg/L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SS 10mg/L、NH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 2mg/L、TP 0.4mg/L</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LAS0.3</w:t>
            </w:r>
            <w:r>
              <w:rPr>
                <w:rFonts w:hint="default" w:ascii="Times New Roman" w:hAnsi="Times New Roman" w:cs="Times New Roman"/>
                <w:color w:val="auto"/>
                <w:highlight w:val="none"/>
              </w:rPr>
              <w:t>mg/L，废水排入东孟姜女河，最终汇入卫河。</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2" w:firstLineChars="200"/>
              <w:jc w:val="both"/>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fldChar w:fldCharType="begin"/>
            </w:r>
            <w:r>
              <w:rPr>
                <w:rFonts w:hint="default" w:ascii="Times New Roman" w:hAnsi="Times New Roman" w:cs="Times New Roman"/>
                <w:b/>
                <w:bCs/>
                <w:color w:val="auto"/>
                <w:sz w:val="21"/>
                <w:szCs w:val="21"/>
                <w:highlight w:val="none"/>
                <w:lang w:eastAsia="zh-CN"/>
              </w:rPr>
              <w:instrText xml:space="preserve"> = 2 \* GB3 \* MERGEFORMAT </w:instrText>
            </w:r>
            <w:r>
              <w:rPr>
                <w:rFonts w:hint="default" w:ascii="Times New Roman" w:hAnsi="Times New Roman" w:cs="Times New Roman"/>
                <w:b/>
                <w:bCs/>
                <w:color w:val="auto"/>
                <w:sz w:val="21"/>
                <w:szCs w:val="21"/>
                <w:highlight w:val="none"/>
                <w:lang w:eastAsia="zh-CN"/>
              </w:rPr>
              <w:fldChar w:fldCharType="separate"/>
            </w:r>
            <w:r>
              <w:rPr>
                <w:rFonts w:hint="default" w:ascii="Times New Roman" w:hAnsi="Times New Roman" w:cs="Times New Roman"/>
                <w:b/>
                <w:bCs/>
                <w:color w:val="auto"/>
                <w:sz w:val="21"/>
                <w:szCs w:val="21"/>
                <w:highlight w:val="none"/>
                <w:lang w:eastAsia="zh-CN"/>
              </w:rPr>
              <w:t>②</w:t>
            </w:r>
            <w:r>
              <w:rPr>
                <w:rFonts w:hint="default" w:ascii="Times New Roman" w:hAnsi="Times New Roman" w:cs="Times New Roman"/>
                <w:b/>
                <w:bCs/>
                <w:color w:val="auto"/>
                <w:sz w:val="21"/>
                <w:szCs w:val="21"/>
                <w:highlight w:val="none"/>
                <w:lang w:eastAsia="zh-CN"/>
              </w:rPr>
              <w:fldChar w:fldCharType="end"/>
            </w:r>
            <w:r>
              <w:rPr>
                <w:rFonts w:hint="default" w:ascii="Times New Roman" w:hAnsi="Times New Roman" w:cs="Times New Roman"/>
                <w:b/>
                <w:bCs/>
                <w:color w:val="auto"/>
                <w:sz w:val="21"/>
                <w:szCs w:val="21"/>
                <w:highlight w:val="none"/>
                <w:lang w:eastAsia="zh-CN"/>
              </w:rPr>
              <w:t>收水水质</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bCs/>
                <w:color w:val="auto"/>
                <w:kern w:val="0"/>
                <w:sz w:val="21"/>
                <w:szCs w:val="21"/>
                <w:highlight w:val="none"/>
                <w:lang w:eastAsia="zh-CN"/>
              </w:rPr>
              <w:t>本次技改后全厂外排</w:t>
            </w:r>
            <w:r>
              <w:rPr>
                <w:rFonts w:hint="default" w:ascii="Times New Roman" w:hAnsi="Times New Roman" w:eastAsia="宋体" w:cs="Times New Roman"/>
                <w:bCs/>
                <w:color w:val="auto"/>
                <w:kern w:val="0"/>
                <w:sz w:val="21"/>
                <w:szCs w:val="21"/>
                <w:highlight w:val="none"/>
                <w:lang w:eastAsia="zh-CN"/>
              </w:rPr>
              <w:t>废水</w:t>
            </w:r>
            <w:r>
              <w:rPr>
                <w:rFonts w:hint="default" w:ascii="Times New Roman" w:hAnsi="Times New Roman" w:eastAsia="宋体" w:cs="Times New Roman"/>
                <w:bCs/>
                <w:color w:val="auto"/>
                <w:kern w:val="0"/>
                <w:sz w:val="21"/>
                <w:szCs w:val="21"/>
                <w:highlight w:val="none"/>
              </w:rPr>
              <w:t>量为</w:t>
            </w:r>
            <w:r>
              <w:rPr>
                <w:rFonts w:hint="eastAsia" w:cs="Times New Roman"/>
                <w:color w:val="auto"/>
                <w:sz w:val="21"/>
                <w:szCs w:val="21"/>
                <w:highlight w:val="none"/>
                <w:lang w:val="en-US" w:eastAsia="zh-CN"/>
              </w:rPr>
              <w:t>6.6813</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d（</w:t>
            </w:r>
            <w:r>
              <w:rPr>
                <w:rFonts w:hint="eastAsia" w:cs="Times New Roman"/>
                <w:bCs/>
                <w:color w:val="auto"/>
                <w:kern w:val="0"/>
                <w:sz w:val="21"/>
                <w:szCs w:val="21"/>
                <w:highlight w:val="none"/>
                <w:lang w:val="en-US" w:eastAsia="zh-CN"/>
              </w:rPr>
              <w:t>1904.1705</w:t>
            </w:r>
            <w:r>
              <w:rPr>
                <w:rFonts w:hint="default" w:ascii="Times New Roman" w:hAnsi="Times New Roman" w:cs="Times New Roman"/>
                <w:bCs/>
                <w:color w:val="auto"/>
                <w:kern w:val="0"/>
                <w:sz w:val="21"/>
                <w:szCs w:val="21"/>
                <w:highlight w:val="none"/>
              </w:rPr>
              <w:t>m</w:t>
            </w:r>
            <w:r>
              <w:rPr>
                <w:rFonts w:hint="default" w:ascii="Times New Roman" w:hAnsi="Times New Roman" w:cs="Times New Roman"/>
                <w:bCs/>
                <w:color w:val="auto"/>
                <w:kern w:val="0"/>
                <w:sz w:val="21"/>
                <w:szCs w:val="21"/>
                <w:highlight w:val="none"/>
                <w:vertAlign w:val="superscript"/>
              </w:rPr>
              <w:t>3</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a）</w:t>
            </w:r>
            <w:r>
              <w:rPr>
                <w:rFonts w:hint="default" w:ascii="Times New Roman" w:hAnsi="Times New Roman" w:cs="Times New Roman"/>
                <w:bCs/>
                <w:color w:val="auto"/>
                <w:sz w:val="21"/>
                <w:szCs w:val="21"/>
                <w:highlight w:val="none"/>
                <w:lang w:eastAsia="zh-CN"/>
              </w:rPr>
              <w:t>，外排</w:t>
            </w:r>
            <w:r>
              <w:rPr>
                <w:rFonts w:hint="default" w:ascii="Times New Roman" w:hAnsi="Times New Roman" w:cs="Times New Roman"/>
                <w:color w:val="auto"/>
                <w:sz w:val="21"/>
                <w:szCs w:val="21"/>
                <w:highlight w:val="none"/>
                <w:lang w:eastAsia="zh-CN"/>
              </w:rPr>
              <w:t>综合废水</w:t>
            </w:r>
            <w:r>
              <w:rPr>
                <w:rFonts w:hint="default" w:ascii="Times New Roman" w:hAnsi="Times New Roman" w:cs="Times New Roman"/>
                <w:color w:val="auto"/>
                <w:sz w:val="21"/>
                <w:szCs w:val="21"/>
                <w:highlight w:val="none"/>
              </w:rPr>
              <w:t>水质为COD</w:t>
            </w:r>
            <w:r>
              <w:rPr>
                <w:rFonts w:hint="default" w:ascii="Times New Roman" w:hAnsi="Times New Roman" w:cs="Times New Roman"/>
                <w:color w:val="auto"/>
                <w:sz w:val="21"/>
                <w:szCs w:val="21"/>
                <w:highlight w:val="none"/>
                <w:lang w:val="en-US" w:eastAsia="zh-CN"/>
              </w:rPr>
              <w:t>19</w:t>
            </w:r>
            <w:r>
              <w:rPr>
                <w:rFonts w:hint="eastAsia" w:cs="Times New Roman"/>
                <w:color w:val="auto"/>
                <w:sz w:val="21"/>
                <w:szCs w:val="21"/>
                <w:highlight w:val="none"/>
                <w:lang w:val="en-US" w:eastAsia="zh-CN"/>
              </w:rPr>
              <w:t>5.05</w:t>
            </w:r>
            <w:r>
              <w:rPr>
                <w:rFonts w:hint="default" w:ascii="Times New Roman" w:hAnsi="Times New Roman" w:cs="Times New Roman"/>
                <w:color w:val="auto"/>
                <w:sz w:val="21"/>
                <w:szCs w:val="21"/>
                <w:highlight w:val="none"/>
              </w:rPr>
              <w:t>mg/L、</w:t>
            </w:r>
            <w:r>
              <w:rPr>
                <w:rFonts w:hint="default" w:ascii="Times New Roman" w:hAnsi="Times New Roman" w:cs="Times New Roman"/>
                <w:color w:val="auto"/>
                <w:sz w:val="21"/>
                <w:szCs w:val="21"/>
                <w:highlight w:val="none"/>
                <w:lang w:val="en-US" w:eastAsia="zh-CN"/>
              </w:rPr>
              <w:t>BOD</w:t>
            </w:r>
            <w:r>
              <w:rPr>
                <w:rFonts w:hint="default" w:ascii="Times New Roman" w:hAnsi="Times New Roman" w:cs="Times New Roman"/>
                <w:color w:val="auto"/>
                <w:sz w:val="21"/>
                <w:szCs w:val="21"/>
                <w:highlight w:val="none"/>
                <w:vertAlign w:val="subscript"/>
                <w:lang w:val="en-US" w:eastAsia="zh-CN"/>
              </w:rPr>
              <w:t>5</w:t>
            </w:r>
            <w:r>
              <w:rPr>
                <w:rFonts w:hint="eastAsia" w:cs="Times New Roman"/>
                <w:color w:val="auto"/>
                <w:sz w:val="21"/>
                <w:szCs w:val="21"/>
                <w:highlight w:val="none"/>
                <w:lang w:val="en-US" w:eastAsia="zh-CN"/>
              </w:rPr>
              <w:t>50.29</w:t>
            </w:r>
            <w:r>
              <w:rPr>
                <w:rFonts w:hint="default" w:ascii="Times New Roman" w:hAnsi="Times New Roman" w:cs="Times New Roman"/>
                <w:color w:val="auto"/>
                <w:sz w:val="21"/>
                <w:szCs w:val="21"/>
                <w:highlight w:val="none"/>
                <w:lang w:val="en-US" w:eastAsia="zh-CN"/>
              </w:rPr>
              <w:t>mg/L</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r>
              <w:rPr>
                <w:rFonts w:hint="eastAsia" w:cs="Times New Roman"/>
                <w:color w:val="auto"/>
                <w:sz w:val="21"/>
                <w:szCs w:val="21"/>
                <w:highlight w:val="none"/>
                <w:lang w:val="en-US" w:eastAsia="zh-CN"/>
              </w:rPr>
              <w:t>22.27</w:t>
            </w:r>
            <w:r>
              <w:rPr>
                <w:rFonts w:hint="default" w:ascii="Times New Roman" w:hAnsi="Times New Roman" w:cs="Times New Roman"/>
                <w:color w:val="auto"/>
                <w:sz w:val="21"/>
                <w:szCs w:val="21"/>
                <w:highlight w:val="none"/>
              </w:rPr>
              <w:t>mg/L</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SS</w:t>
            </w:r>
            <w:r>
              <w:rPr>
                <w:rFonts w:hint="eastAsia" w:cs="Times New Roman"/>
                <w:color w:val="auto"/>
                <w:sz w:val="21"/>
                <w:szCs w:val="21"/>
                <w:highlight w:val="none"/>
                <w:lang w:val="en-US" w:eastAsia="zh-CN"/>
              </w:rPr>
              <w:t>123.42</w:t>
            </w:r>
            <w:r>
              <w:rPr>
                <w:rFonts w:hint="default" w:ascii="Times New Roman" w:hAnsi="Times New Roman" w:cs="Times New Roman"/>
                <w:color w:val="auto"/>
                <w:sz w:val="21"/>
                <w:szCs w:val="21"/>
                <w:highlight w:val="none"/>
              </w:rPr>
              <w:t>mg/L、</w:t>
            </w:r>
            <w:r>
              <w:rPr>
                <w:rFonts w:hint="default" w:ascii="Times New Roman" w:hAnsi="Times New Roman" w:cs="Times New Roman"/>
                <w:color w:val="auto"/>
                <w:sz w:val="21"/>
                <w:szCs w:val="21"/>
                <w:highlight w:val="none"/>
                <w:lang w:val="en-US" w:eastAsia="zh-CN"/>
              </w:rPr>
              <w:t>TP</w:t>
            </w:r>
            <w:r>
              <w:rPr>
                <w:rFonts w:hint="eastAsia" w:cs="Times New Roman"/>
                <w:color w:val="auto"/>
                <w:sz w:val="21"/>
                <w:szCs w:val="21"/>
                <w:highlight w:val="none"/>
                <w:lang w:val="en-US" w:eastAsia="zh-CN"/>
              </w:rPr>
              <w:t>1.59</w:t>
            </w:r>
            <w:r>
              <w:rPr>
                <w:rFonts w:hint="default" w:ascii="Times New Roman" w:hAnsi="Times New Roman" w:cs="Times New Roman"/>
                <w:color w:val="auto"/>
                <w:sz w:val="21"/>
                <w:szCs w:val="21"/>
                <w:highlight w:val="none"/>
              </w:rPr>
              <w:t>mg/L</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LAS</w:t>
            </w:r>
            <w:r>
              <w:rPr>
                <w:rFonts w:hint="eastAsia" w:cs="Times New Roman"/>
                <w:color w:val="auto"/>
                <w:sz w:val="21"/>
                <w:szCs w:val="21"/>
                <w:highlight w:val="none"/>
                <w:lang w:val="en-US" w:eastAsia="zh-CN"/>
              </w:rPr>
              <w:t>0.24</w:t>
            </w:r>
            <w:r>
              <w:rPr>
                <w:rFonts w:hint="default" w:ascii="Times New Roman" w:hAnsi="Times New Roman" w:cs="Times New Roman"/>
                <w:color w:val="auto"/>
                <w:sz w:val="21"/>
                <w:szCs w:val="21"/>
                <w:highlight w:val="none"/>
              </w:rPr>
              <w:t>mg/L</w:t>
            </w:r>
            <w:r>
              <w:rPr>
                <w:rFonts w:hint="default" w:ascii="Times New Roman" w:hAnsi="Times New Roman" w:eastAsia="宋体" w:cs="Times New Roman"/>
                <w:bCs/>
                <w:color w:val="auto"/>
                <w:kern w:val="0"/>
                <w:sz w:val="21"/>
                <w:szCs w:val="21"/>
                <w:highlight w:val="none"/>
              </w:rPr>
              <w:t>，能够满足</w:t>
            </w:r>
            <w:r>
              <w:rPr>
                <w:rFonts w:hint="default" w:ascii="Times New Roman" w:hAnsi="Times New Roman" w:cs="Times New Roman"/>
                <w:bCs/>
                <w:color w:val="auto"/>
                <w:kern w:val="2"/>
                <w:sz w:val="21"/>
                <w:szCs w:val="21"/>
                <w:highlight w:val="none"/>
                <w:lang w:eastAsia="zh-CN"/>
              </w:rPr>
              <w:t>新乡县综合污水处理厂</w:t>
            </w:r>
            <w:r>
              <w:rPr>
                <w:rFonts w:hint="default" w:ascii="Times New Roman" w:hAnsi="Times New Roman" w:eastAsia="宋体" w:cs="Times New Roman"/>
                <w:bCs/>
                <w:color w:val="auto"/>
                <w:kern w:val="0"/>
                <w:sz w:val="21"/>
                <w:szCs w:val="21"/>
                <w:highlight w:val="none"/>
              </w:rPr>
              <w:t>设计进水水质要求（</w:t>
            </w:r>
            <w:r>
              <w:rPr>
                <w:rFonts w:hint="default" w:ascii="Times New Roman" w:hAnsi="Times New Roman" w:cs="Times New Roman"/>
                <w:color w:val="auto"/>
                <w:highlight w:val="none"/>
              </w:rPr>
              <w:t>COD400mg/L、BOD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100mg/L、SS180mg/L、NH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-N59mg/L、TP4mg/L、TN70mg/L</w:t>
            </w:r>
            <w:r>
              <w:rPr>
                <w:rFonts w:hint="default" w:ascii="Times New Roman" w:hAnsi="Times New Roman" w:eastAsia="宋体" w:cs="Times New Roman"/>
                <w:bCs/>
                <w:color w:val="auto"/>
                <w:kern w:val="0"/>
                <w:sz w:val="21"/>
                <w:szCs w:val="21"/>
                <w:highlight w:val="none"/>
              </w:rPr>
              <w:t>）。</w:t>
            </w:r>
            <w:r>
              <w:rPr>
                <w:rFonts w:hint="default" w:ascii="Times New Roman" w:hAnsi="Times New Roman" w:eastAsia="宋体" w:cs="Times New Roman"/>
                <w:bCs/>
                <w:color w:val="auto"/>
                <w:kern w:val="0"/>
                <w:sz w:val="21"/>
                <w:szCs w:val="21"/>
                <w:highlight w:val="none"/>
                <w:lang w:eastAsia="zh-CN"/>
              </w:rPr>
              <w:t>且</w:t>
            </w:r>
            <w:r>
              <w:rPr>
                <w:rFonts w:hint="default" w:ascii="Times New Roman" w:hAnsi="Times New Roman" w:eastAsia="宋体" w:cs="Times New Roman"/>
                <w:bCs/>
                <w:color w:val="auto"/>
                <w:kern w:val="0"/>
                <w:sz w:val="21"/>
                <w:szCs w:val="21"/>
                <w:highlight w:val="none"/>
              </w:rPr>
              <w:t>项目</w:t>
            </w:r>
            <w:r>
              <w:rPr>
                <w:rFonts w:hint="default" w:ascii="Times New Roman" w:hAnsi="Times New Roman" w:eastAsia="宋体" w:cs="Times New Roman"/>
                <w:bCs/>
                <w:color w:val="auto"/>
                <w:kern w:val="0"/>
                <w:sz w:val="21"/>
                <w:szCs w:val="21"/>
                <w:highlight w:val="none"/>
                <w:lang w:eastAsia="zh-CN"/>
              </w:rPr>
              <w:t>废水</w:t>
            </w:r>
            <w:r>
              <w:rPr>
                <w:rFonts w:hint="default" w:ascii="Times New Roman" w:hAnsi="Times New Roman" w:eastAsia="宋体" w:cs="Times New Roman"/>
                <w:bCs/>
                <w:color w:val="auto"/>
                <w:kern w:val="0"/>
                <w:sz w:val="21"/>
                <w:szCs w:val="21"/>
                <w:highlight w:val="none"/>
              </w:rPr>
              <w:t>水质简单，</w:t>
            </w:r>
            <w:r>
              <w:rPr>
                <w:rFonts w:hint="default" w:ascii="Times New Roman" w:hAnsi="Times New Roman" w:eastAsia="宋体" w:cs="Times New Roman"/>
                <w:bCs/>
                <w:color w:val="auto"/>
                <w:kern w:val="2"/>
                <w:sz w:val="21"/>
                <w:szCs w:val="21"/>
                <w:highlight w:val="none"/>
              </w:rPr>
              <w:t>废水没有生物毒性，</w:t>
            </w:r>
            <w:r>
              <w:rPr>
                <w:rFonts w:hint="default" w:ascii="Times New Roman" w:hAnsi="Times New Roman" w:eastAsia="宋体" w:cs="Times New Roman"/>
                <w:bCs/>
                <w:color w:val="auto"/>
                <w:kern w:val="0"/>
                <w:sz w:val="21"/>
                <w:szCs w:val="21"/>
                <w:highlight w:val="none"/>
              </w:rPr>
              <w:t>与污水处理厂其他废水混合后不会对污水处理厂的生化工艺造成不利影响。</w:t>
            </w:r>
            <w:r>
              <w:rPr>
                <w:rFonts w:hint="default" w:ascii="Times New Roman" w:hAnsi="Times New Roman" w:eastAsia="宋体" w:cs="Times New Roman"/>
                <w:bCs/>
                <w:color w:val="auto"/>
                <w:kern w:val="0"/>
                <w:sz w:val="21"/>
                <w:szCs w:val="21"/>
                <w:highlight w:val="none"/>
                <w:lang w:eastAsia="zh-CN"/>
              </w:rPr>
              <w:t>本</w:t>
            </w:r>
            <w:r>
              <w:rPr>
                <w:rFonts w:hint="default" w:ascii="Times New Roman" w:hAnsi="Times New Roman" w:eastAsia="宋体" w:cs="Times New Roman"/>
                <w:bCs/>
                <w:color w:val="auto"/>
                <w:kern w:val="0"/>
                <w:sz w:val="21"/>
                <w:szCs w:val="21"/>
                <w:highlight w:val="none"/>
              </w:rPr>
              <w:t>项目全厂废水排放量占</w:t>
            </w:r>
            <w:r>
              <w:rPr>
                <w:rFonts w:hint="default" w:ascii="Times New Roman" w:hAnsi="Times New Roman" w:cs="Times New Roman"/>
                <w:bCs/>
                <w:color w:val="auto"/>
                <w:kern w:val="2"/>
                <w:sz w:val="21"/>
                <w:szCs w:val="21"/>
                <w:highlight w:val="none"/>
                <w:lang w:eastAsia="zh-CN"/>
              </w:rPr>
              <w:t>新乡县综合污水处理厂</w:t>
            </w:r>
            <w:r>
              <w:rPr>
                <w:rFonts w:hint="default" w:ascii="Times New Roman" w:hAnsi="Times New Roman" w:eastAsia="宋体" w:cs="Times New Roman"/>
                <w:bCs/>
                <w:color w:val="auto"/>
                <w:kern w:val="0"/>
                <w:sz w:val="21"/>
                <w:szCs w:val="21"/>
                <w:highlight w:val="none"/>
              </w:rPr>
              <w:t>设计处理规模量</w:t>
            </w:r>
            <w:r>
              <w:rPr>
                <w:rFonts w:hint="default" w:ascii="Times New Roman" w:hAnsi="Times New Roman" w:cs="Times New Roman"/>
                <w:bCs/>
                <w:color w:val="auto"/>
                <w:kern w:val="0"/>
                <w:sz w:val="21"/>
                <w:szCs w:val="21"/>
                <w:highlight w:val="none"/>
                <w:lang w:val="en-US" w:eastAsia="zh-CN"/>
              </w:rPr>
              <w:t>150000</w:t>
            </w:r>
            <w:r>
              <w:rPr>
                <w:rFonts w:hint="default" w:ascii="Times New Roman" w:hAnsi="Times New Roman" w:eastAsia="宋体" w:cs="Times New Roman"/>
                <w:bCs/>
                <w:color w:val="auto"/>
                <w:kern w:val="0"/>
                <w:sz w:val="21"/>
                <w:szCs w:val="21"/>
                <w:highlight w:val="none"/>
              </w:rPr>
              <w:t>m</w:t>
            </w:r>
            <w:r>
              <w:rPr>
                <w:rFonts w:hint="default" w:ascii="Times New Roman" w:hAnsi="Times New Roman" w:eastAsia="宋体" w:cs="Times New Roman"/>
                <w:bCs/>
                <w:color w:val="auto"/>
                <w:kern w:val="0"/>
                <w:sz w:val="21"/>
                <w:szCs w:val="21"/>
                <w:highlight w:val="none"/>
                <w:vertAlign w:val="superscript"/>
              </w:rPr>
              <w:t>3</w:t>
            </w:r>
            <w:r>
              <w:rPr>
                <w:rFonts w:hint="default" w:ascii="Times New Roman" w:hAnsi="Times New Roman" w:eastAsia="宋体" w:cs="Times New Roman"/>
                <w:bCs/>
                <w:color w:val="auto"/>
                <w:kern w:val="0"/>
                <w:sz w:val="21"/>
                <w:szCs w:val="21"/>
                <w:highlight w:val="none"/>
              </w:rPr>
              <w:t>/d的</w:t>
            </w:r>
            <w:r>
              <w:rPr>
                <w:rFonts w:hint="default" w:ascii="Times New Roman" w:hAnsi="Times New Roman" w:cs="Times New Roman"/>
                <w:bCs/>
                <w:color w:val="auto"/>
                <w:kern w:val="0"/>
                <w:sz w:val="21"/>
                <w:szCs w:val="21"/>
                <w:highlight w:val="none"/>
                <w:lang w:val="en-US" w:eastAsia="zh-CN"/>
              </w:rPr>
              <w:t>0.00</w:t>
            </w:r>
            <w:r>
              <w:rPr>
                <w:rFonts w:hint="eastAsia" w:cs="Times New Roman"/>
                <w:bCs/>
                <w:color w:val="auto"/>
                <w:kern w:val="0"/>
                <w:sz w:val="21"/>
                <w:szCs w:val="21"/>
                <w:highlight w:val="none"/>
                <w:lang w:val="en-US" w:eastAsia="zh-CN"/>
              </w:rPr>
              <w:t>98</w:t>
            </w:r>
            <w:r>
              <w:rPr>
                <w:rFonts w:hint="default" w:ascii="Times New Roman" w:hAnsi="Times New Roman" w:eastAsia="宋体" w:cs="Times New Roman"/>
                <w:bCs/>
                <w:color w:val="auto"/>
                <w:kern w:val="0"/>
                <w:sz w:val="21"/>
                <w:szCs w:val="21"/>
                <w:highlight w:val="none"/>
              </w:rPr>
              <w:t>%，</w:t>
            </w:r>
            <w:r>
              <w:rPr>
                <w:rFonts w:hint="default" w:ascii="Times New Roman" w:hAnsi="Times New Roman" w:cs="Times New Roman"/>
                <w:bCs/>
                <w:color w:val="auto"/>
                <w:kern w:val="2"/>
                <w:sz w:val="21"/>
                <w:szCs w:val="21"/>
                <w:highlight w:val="none"/>
                <w:lang w:eastAsia="zh-CN"/>
              </w:rPr>
              <w:t>新乡县综合污水处理厂</w:t>
            </w:r>
            <w:r>
              <w:rPr>
                <w:rFonts w:hint="default" w:ascii="Times New Roman" w:hAnsi="Times New Roman" w:cs="Times New Roman"/>
                <w:color w:val="auto"/>
                <w:highlight w:val="none"/>
              </w:rPr>
              <w:t>目前正在进行收水调试</w:t>
            </w:r>
            <w:r>
              <w:rPr>
                <w:rFonts w:hint="default" w:ascii="Times New Roman" w:hAnsi="Times New Roman" w:eastAsia="宋体" w:cs="Times New Roman"/>
                <w:bCs/>
                <w:color w:val="auto"/>
                <w:kern w:val="0"/>
                <w:sz w:val="21"/>
                <w:szCs w:val="21"/>
                <w:highlight w:val="none"/>
                <w:lang w:bidi="zh-CN"/>
              </w:rPr>
              <w:t>，</w:t>
            </w:r>
            <w:r>
              <w:rPr>
                <w:rFonts w:hint="default" w:ascii="Times New Roman" w:hAnsi="Times New Roman" w:eastAsia="宋体" w:cs="Times New Roman"/>
                <w:bCs/>
                <w:color w:val="auto"/>
                <w:kern w:val="0"/>
                <w:sz w:val="21"/>
                <w:szCs w:val="21"/>
                <w:highlight w:val="none"/>
              </w:rPr>
              <w:t>因此</w:t>
            </w:r>
            <w:r>
              <w:rPr>
                <w:rFonts w:hint="default" w:ascii="Times New Roman" w:hAnsi="Times New Roman" w:eastAsia="宋体" w:cs="Times New Roman"/>
                <w:bCs/>
                <w:color w:val="auto"/>
                <w:kern w:val="0"/>
                <w:sz w:val="21"/>
                <w:szCs w:val="21"/>
                <w:highlight w:val="none"/>
                <w:lang w:eastAsia="zh-CN"/>
              </w:rPr>
              <w:t>本项目废水</w:t>
            </w:r>
            <w:r>
              <w:rPr>
                <w:rFonts w:hint="default" w:ascii="Times New Roman" w:hAnsi="Times New Roman" w:eastAsia="宋体" w:cs="Times New Roman"/>
                <w:bCs/>
                <w:color w:val="auto"/>
                <w:kern w:val="0"/>
                <w:sz w:val="21"/>
                <w:szCs w:val="21"/>
                <w:highlight w:val="none"/>
              </w:rPr>
              <w:t>对</w:t>
            </w:r>
            <w:r>
              <w:rPr>
                <w:rFonts w:hint="default" w:ascii="Times New Roman" w:hAnsi="Times New Roman" w:eastAsia="宋体" w:cs="Times New Roman"/>
                <w:bCs/>
                <w:color w:val="auto"/>
                <w:kern w:val="0"/>
                <w:sz w:val="21"/>
                <w:szCs w:val="21"/>
                <w:highlight w:val="none"/>
                <w:lang w:eastAsia="zh-CN"/>
              </w:rPr>
              <w:t>该</w:t>
            </w:r>
            <w:r>
              <w:rPr>
                <w:rFonts w:hint="default" w:ascii="Times New Roman" w:hAnsi="Times New Roman" w:eastAsia="宋体" w:cs="Times New Roman"/>
                <w:bCs/>
                <w:color w:val="auto"/>
                <w:kern w:val="0"/>
                <w:sz w:val="21"/>
                <w:szCs w:val="21"/>
                <w:highlight w:val="none"/>
              </w:rPr>
              <w:t>污水处理厂冲击较小。</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2" w:firstLineChars="200"/>
              <w:jc w:val="both"/>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fldChar w:fldCharType="begin"/>
            </w:r>
            <w:r>
              <w:rPr>
                <w:rFonts w:hint="default" w:ascii="Times New Roman" w:hAnsi="Times New Roman" w:cs="Times New Roman"/>
                <w:b/>
                <w:bCs/>
                <w:color w:val="auto"/>
                <w:kern w:val="0"/>
                <w:szCs w:val="21"/>
                <w:highlight w:val="none"/>
              </w:rPr>
              <w:instrText xml:space="preserve"> = 3 \* GB3 \* MERGEFORMAT </w:instrText>
            </w:r>
            <w:r>
              <w:rPr>
                <w:rFonts w:hint="default" w:ascii="Times New Roman" w:hAnsi="Times New Roman" w:cs="Times New Roman"/>
                <w:b/>
                <w:bCs/>
                <w:color w:val="auto"/>
                <w:kern w:val="0"/>
                <w:szCs w:val="21"/>
                <w:highlight w:val="none"/>
              </w:rPr>
              <w:fldChar w:fldCharType="separate"/>
            </w:r>
            <w:r>
              <w:rPr>
                <w:rFonts w:hint="default" w:ascii="Times New Roman" w:hAnsi="Times New Roman" w:cs="Times New Roman"/>
                <w:b/>
                <w:bCs/>
                <w:color w:val="auto"/>
                <w:highlight w:val="none"/>
              </w:rPr>
              <w:t>③</w:t>
            </w:r>
            <w:r>
              <w:rPr>
                <w:rFonts w:hint="default" w:ascii="Times New Roman" w:hAnsi="Times New Roman" w:cs="Times New Roman"/>
                <w:b/>
                <w:bCs/>
                <w:color w:val="auto"/>
                <w:kern w:val="0"/>
                <w:szCs w:val="21"/>
                <w:highlight w:val="none"/>
              </w:rPr>
              <w:fldChar w:fldCharType="end"/>
            </w:r>
            <w:r>
              <w:rPr>
                <w:rFonts w:hint="default" w:ascii="Times New Roman" w:hAnsi="Times New Roman" w:cs="Times New Roman"/>
                <w:b/>
                <w:bCs/>
                <w:color w:val="auto"/>
                <w:kern w:val="0"/>
                <w:szCs w:val="21"/>
                <w:highlight w:val="none"/>
              </w:rPr>
              <w:t>收水范围及管网衔接</w:t>
            </w:r>
          </w:p>
          <w:p>
            <w:pPr>
              <w:pStyle w:val="28"/>
              <w:keepNext w:val="0"/>
              <w:keepLines w:val="0"/>
              <w:pageBreakBefore w:val="0"/>
              <w:widowControl w:val="0"/>
              <w:kinsoku/>
              <w:wordWrap/>
              <w:overflowPunct/>
              <w:topLinePunct w:val="0"/>
              <w:bidi w:val="0"/>
              <w:adjustRightInd/>
              <w:snapToGrid/>
              <w:spacing w:line="360" w:lineRule="auto"/>
              <w:ind w:left="0" w:leftChars="0" w:right="0" w:firstLine="420" w:firstLineChars="200"/>
              <w:jc w:val="both"/>
              <w:textAlignment w:val="auto"/>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bCs/>
                <w:color w:val="auto"/>
                <w:kern w:val="2"/>
                <w:sz w:val="21"/>
                <w:szCs w:val="21"/>
                <w:highlight w:val="none"/>
                <w:lang w:eastAsia="zh-CN"/>
              </w:rPr>
              <w:t>新乡县综合污水处理厂收水范围为收水范围为新乡县中心城区（40km</w:t>
            </w:r>
            <w:r>
              <w:rPr>
                <w:rFonts w:hint="default" w:ascii="Times New Roman" w:hAnsi="Times New Roman" w:eastAsia="宋体" w:cs="Times New Roman"/>
                <w:bCs/>
                <w:color w:val="auto"/>
                <w:kern w:val="2"/>
                <w:sz w:val="21"/>
                <w:szCs w:val="21"/>
                <w:highlight w:val="none"/>
                <w:vertAlign w:val="superscript"/>
                <w:lang w:eastAsia="zh-CN"/>
              </w:rPr>
              <w:t>2</w:t>
            </w:r>
            <w:r>
              <w:rPr>
                <w:rFonts w:hint="default" w:ascii="Times New Roman" w:hAnsi="Times New Roman" w:eastAsia="宋体" w:cs="Times New Roman"/>
                <w:bCs/>
                <w:color w:val="auto"/>
                <w:kern w:val="2"/>
                <w:sz w:val="21"/>
                <w:szCs w:val="21"/>
                <w:highlight w:val="none"/>
                <w:lang w:eastAsia="zh-CN"/>
              </w:rPr>
              <w:t>，包含部分新乡经济技术产业集聚区）、新乡经济技术产业集聚区（3.16km</w:t>
            </w:r>
            <w:r>
              <w:rPr>
                <w:rFonts w:hint="default" w:ascii="Times New Roman" w:hAnsi="Times New Roman" w:eastAsia="宋体" w:cs="Times New Roman"/>
                <w:bCs/>
                <w:color w:val="auto"/>
                <w:kern w:val="2"/>
                <w:sz w:val="21"/>
                <w:szCs w:val="21"/>
                <w:highlight w:val="none"/>
                <w:vertAlign w:val="superscript"/>
                <w:lang w:eastAsia="zh-CN"/>
              </w:rPr>
              <w:t>2</w:t>
            </w:r>
            <w:r>
              <w:rPr>
                <w:rFonts w:hint="default" w:ascii="Times New Roman" w:hAnsi="Times New Roman" w:eastAsia="宋体" w:cs="Times New Roman"/>
                <w:bCs/>
                <w:color w:val="auto"/>
                <w:kern w:val="2"/>
                <w:sz w:val="21"/>
                <w:szCs w:val="21"/>
                <w:highlight w:val="none"/>
                <w:lang w:eastAsia="zh-CN"/>
              </w:rPr>
              <w:t>，纸制品印刷包装产业园和装备制造产业园）、朗公庙镇中心镇区（5.26km</w:t>
            </w:r>
            <w:r>
              <w:rPr>
                <w:rFonts w:hint="default" w:ascii="Times New Roman" w:hAnsi="Times New Roman" w:eastAsia="宋体" w:cs="Times New Roman"/>
                <w:bCs/>
                <w:color w:val="auto"/>
                <w:kern w:val="2"/>
                <w:sz w:val="21"/>
                <w:szCs w:val="21"/>
                <w:highlight w:val="none"/>
                <w:vertAlign w:val="superscript"/>
                <w:lang w:eastAsia="zh-CN"/>
              </w:rPr>
              <w:t>2</w:t>
            </w:r>
            <w:r>
              <w:rPr>
                <w:rFonts w:hint="default" w:ascii="Times New Roman" w:hAnsi="Times New Roman" w:eastAsia="宋体" w:cs="Times New Roman"/>
                <w:bCs/>
                <w:color w:val="auto"/>
                <w:kern w:val="2"/>
                <w:sz w:val="21"/>
                <w:szCs w:val="21"/>
                <w:highlight w:val="none"/>
                <w:lang w:eastAsia="zh-CN"/>
              </w:rPr>
              <w:t>）。本</w:t>
            </w:r>
            <w:r>
              <w:rPr>
                <w:rFonts w:hint="default" w:ascii="Times New Roman" w:hAnsi="Times New Roman" w:eastAsia="宋体" w:cs="Times New Roman"/>
                <w:bCs/>
                <w:color w:val="auto"/>
                <w:kern w:val="2"/>
                <w:sz w:val="21"/>
                <w:szCs w:val="21"/>
                <w:highlight w:val="none"/>
                <w:lang w:val="en-US" w:eastAsia="zh-CN"/>
              </w:rPr>
              <w:t>项目位于新乡市新乡县新乡经济开发区玉龙路西段，位于收水范围内，且根据调查，</w:t>
            </w:r>
            <w:r>
              <w:rPr>
                <w:rFonts w:hint="default" w:ascii="Times New Roman" w:hAnsi="Times New Roman" w:eastAsia="宋体" w:cs="Times New Roman"/>
                <w:bCs/>
                <w:color w:val="auto"/>
                <w:kern w:val="2"/>
                <w:sz w:val="21"/>
                <w:szCs w:val="21"/>
                <w:highlight w:val="none"/>
                <w:lang w:eastAsia="zh-CN"/>
              </w:rPr>
              <w:t>项目所在</w:t>
            </w:r>
            <w:r>
              <w:rPr>
                <w:rFonts w:hint="default" w:ascii="Times New Roman" w:hAnsi="Times New Roman" w:eastAsia="宋体" w:cs="Times New Roman"/>
                <w:bCs/>
                <w:color w:val="auto"/>
                <w:kern w:val="2"/>
                <w:sz w:val="21"/>
                <w:szCs w:val="21"/>
                <w:highlight w:val="none"/>
              </w:rPr>
              <w:t>区域污水管网已铺设</w:t>
            </w:r>
            <w:r>
              <w:rPr>
                <w:rFonts w:hint="default" w:ascii="Times New Roman" w:hAnsi="Times New Roman" w:eastAsia="宋体" w:cs="Times New Roman"/>
                <w:bCs/>
                <w:color w:val="auto"/>
                <w:kern w:val="2"/>
                <w:sz w:val="21"/>
                <w:szCs w:val="21"/>
                <w:highlight w:val="none"/>
                <w:lang w:eastAsia="zh-CN"/>
              </w:rPr>
              <w:t>完成</w:t>
            </w:r>
            <w:r>
              <w:rPr>
                <w:rFonts w:hint="default" w:ascii="Times New Roman" w:hAnsi="Times New Roman" w:eastAsia="宋体" w:cs="Times New Roman"/>
                <w:bCs/>
                <w:color w:val="auto"/>
                <w:kern w:val="2"/>
                <w:sz w:val="21"/>
                <w:szCs w:val="21"/>
                <w:highlight w:val="none"/>
              </w:rPr>
              <w:t>，</w:t>
            </w:r>
            <w:r>
              <w:rPr>
                <w:rFonts w:hint="default" w:ascii="Times New Roman" w:hAnsi="Times New Roman" w:eastAsia="宋体" w:cs="Times New Roman"/>
                <w:bCs/>
                <w:color w:val="auto"/>
                <w:kern w:val="2"/>
                <w:sz w:val="21"/>
                <w:szCs w:val="21"/>
                <w:highlight w:val="none"/>
                <w:lang w:eastAsia="zh-CN"/>
              </w:rPr>
              <w:t>因此</w:t>
            </w:r>
            <w:r>
              <w:rPr>
                <w:rFonts w:hint="default" w:ascii="Times New Roman" w:hAnsi="Times New Roman" w:eastAsia="宋体" w:cs="Times New Roman"/>
                <w:bCs/>
                <w:color w:val="auto"/>
                <w:kern w:val="2"/>
                <w:sz w:val="21"/>
                <w:szCs w:val="21"/>
                <w:highlight w:val="none"/>
              </w:rPr>
              <w:t>项目废水能够排入</w:t>
            </w:r>
            <w:r>
              <w:rPr>
                <w:rFonts w:hint="default" w:ascii="Times New Roman" w:hAnsi="Times New Roman" w:eastAsia="宋体" w:cs="Times New Roman"/>
                <w:bCs/>
                <w:color w:val="auto"/>
                <w:kern w:val="2"/>
                <w:sz w:val="21"/>
                <w:szCs w:val="21"/>
                <w:highlight w:val="none"/>
                <w:lang w:eastAsia="zh-CN"/>
              </w:rPr>
              <w:t>新乡县综合污水处理厂。</w:t>
            </w:r>
          </w:p>
          <w:p>
            <w:pPr>
              <w:keepNext w:val="0"/>
              <w:keepLines w:val="0"/>
              <w:pageBreakBefore w:val="0"/>
              <w:widowControl w:val="0"/>
              <w:kinsoku/>
              <w:wordWrap/>
              <w:overflowPunct/>
              <w:topLinePunct w:val="0"/>
              <w:bidi w:val="0"/>
              <w:adjustRightInd/>
              <w:snapToGrid/>
              <w:spacing w:line="360" w:lineRule="auto"/>
              <w:ind w:left="0" w:leftChars="0" w:right="0" w:firstLine="436" w:firstLineChars="200"/>
              <w:jc w:val="both"/>
              <w:textAlignment w:val="auto"/>
              <w:rPr>
                <w:rFonts w:hint="default" w:ascii="Times New Roman" w:hAnsi="Times New Roman" w:cs="Times New Roman"/>
                <w:b/>
                <w:bCs w:val="0"/>
                <w:color w:val="auto"/>
                <w:spacing w:val="-4"/>
                <w:sz w:val="21"/>
                <w:szCs w:val="21"/>
                <w:highlight w:val="none"/>
                <w:lang w:eastAsia="zh-CN"/>
              </w:rPr>
            </w:pPr>
            <w:r>
              <w:rPr>
                <w:rFonts w:hint="default" w:ascii="Times New Roman" w:hAnsi="Times New Roman" w:cs="Times New Roman"/>
                <w:color w:val="auto"/>
                <w:spacing w:val="4"/>
                <w:sz w:val="21"/>
                <w:szCs w:val="21"/>
                <w:highlight w:val="none"/>
              </w:rPr>
              <w:t>综上分析，本项目生活废水可以经管网排入</w:t>
            </w:r>
            <w:r>
              <w:rPr>
                <w:rFonts w:hint="default" w:ascii="Times New Roman" w:hAnsi="Times New Roman" w:cs="Times New Roman"/>
                <w:color w:val="auto"/>
                <w:sz w:val="21"/>
                <w:szCs w:val="21"/>
                <w:highlight w:val="none"/>
                <w:lang w:val="en-US" w:eastAsia="zh-CN"/>
              </w:rPr>
              <w:t>新乡县综合污水处理厂</w:t>
            </w:r>
            <w:r>
              <w:rPr>
                <w:rFonts w:hint="default" w:ascii="Times New Roman" w:hAnsi="Times New Roman" w:cs="Times New Roman"/>
                <w:color w:val="auto"/>
                <w:spacing w:val="4"/>
                <w:sz w:val="21"/>
                <w:szCs w:val="21"/>
                <w:highlight w:val="none"/>
              </w:rPr>
              <w:t>进行统一处理，本工程废水能够满足该污水处理厂进水设计指标要求。因此本项目废水进入</w:t>
            </w:r>
            <w:r>
              <w:rPr>
                <w:rFonts w:hint="default" w:ascii="Times New Roman" w:hAnsi="Times New Roman" w:cs="Times New Roman"/>
                <w:color w:val="auto"/>
                <w:sz w:val="21"/>
                <w:szCs w:val="21"/>
                <w:highlight w:val="none"/>
                <w:lang w:val="en-US" w:eastAsia="zh-CN"/>
              </w:rPr>
              <w:t>新乡县综合污水处理厂</w:t>
            </w:r>
            <w:r>
              <w:rPr>
                <w:rFonts w:hint="default" w:ascii="Times New Roman" w:hAnsi="Times New Roman" w:cs="Times New Roman"/>
                <w:color w:val="auto"/>
                <w:spacing w:val="4"/>
                <w:sz w:val="21"/>
                <w:szCs w:val="21"/>
                <w:highlight w:val="none"/>
              </w:rPr>
              <w:t>是可行的。</w:t>
            </w:r>
          </w:p>
          <w:p>
            <w:pPr>
              <w:keepNext w:val="0"/>
              <w:keepLines w:val="0"/>
              <w:pageBreakBefore w:val="0"/>
              <w:widowControl w:val="0"/>
              <w:kinsoku/>
              <w:wordWrap/>
              <w:overflowPunct/>
              <w:topLinePunct w:val="0"/>
              <w:bidi w:val="0"/>
              <w:adjustRightInd/>
              <w:snapToGrid/>
              <w:spacing w:line="360" w:lineRule="auto"/>
              <w:ind w:left="0" w:firstLine="406" w:firstLineChars="200"/>
              <w:jc w:val="both"/>
              <w:textAlignment w:val="auto"/>
              <w:rPr>
                <w:rFonts w:hint="default" w:ascii="Times New Roman" w:hAnsi="Times New Roman" w:eastAsia="宋体" w:cs="Times New Roman"/>
                <w:b/>
                <w:bCs w:val="0"/>
                <w:color w:val="auto"/>
                <w:spacing w:val="-4"/>
                <w:szCs w:val="21"/>
                <w:highlight w:val="none"/>
              </w:rPr>
            </w:pPr>
            <w:r>
              <w:rPr>
                <w:rFonts w:hint="default" w:ascii="Times New Roman" w:hAnsi="Times New Roman" w:eastAsia="宋体" w:cs="Times New Roman"/>
                <w:b/>
                <w:bCs w:val="0"/>
                <w:color w:val="auto"/>
                <w:spacing w:val="-4"/>
                <w:szCs w:val="21"/>
                <w:highlight w:val="none"/>
              </w:rPr>
              <w:t>（</w:t>
            </w:r>
            <w:r>
              <w:rPr>
                <w:rFonts w:hint="default" w:ascii="Times New Roman" w:hAnsi="Times New Roman" w:cs="Times New Roman"/>
                <w:b/>
                <w:bCs w:val="0"/>
                <w:color w:val="auto"/>
                <w:spacing w:val="-4"/>
                <w:szCs w:val="21"/>
                <w:highlight w:val="none"/>
                <w:lang w:val="en-US" w:eastAsia="zh-CN"/>
              </w:rPr>
              <w:t>6</w:t>
            </w:r>
            <w:r>
              <w:rPr>
                <w:rFonts w:hint="default" w:ascii="Times New Roman" w:hAnsi="Times New Roman" w:eastAsia="宋体" w:cs="Times New Roman"/>
                <w:b/>
                <w:bCs w:val="0"/>
                <w:color w:val="auto"/>
                <w:spacing w:val="-4"/>
                <w:szCs w:val="21"/>
                <w:highlight w:val="none"/>
              </w:rPr>
              <w:t>）建设项目污染物排放信息</w:t>
            </w:r>
          </w:p>
          <w:p>
            <w:pPr>
              <w:pStyle w:val="28"/>
              <w:keepNext w:val="0"/>
              <w:keepLines w:val="0"/>
              <w:pageBreakBefore w:val="0"/>
              <w:widowControl w:val="0"/>
              <w:kinsoku/>
              <w:wordWrap/>
              <w:overflowPunct/>
              <w:topLinePunct w:val="0"/>
              <w:bidi w:val="0"/>
              <w:adjustRightInd/>
              <w:snapToGrid/>
              <w:spacing w:line="360" w:lineRule="auto"/>
              <w:ind w:left="0" w:firstLine="422" w:firstLineChars="200"/>
              <w:jc w:val="both"/>
              <w:textAlignment w:val="auto"/>
              <w:rPr>
                <w:rFonts w:hint="default"/>
                <w:color w:val="auto"/>
              </w:rPr>
            </w:pPr>
            <w:r>
              <w:rPr>
                <w:rFonts w:hint="default" w:ascii="Times New Roman" w:hAnsi="Times New Roman" w:eastAsia="宋体" w:cs="Times New Roman"/>
                <w:b/>
                <w:bCs/>
                <w:color w:val="auto"/>
                <w:sz w:val="21"/>
                <w:szCs w:val="21"/>
                <w:highlight w:val="none"/>
              </w:rPr>
              <w:t>①废水类别、污染物及污染治理设施信息</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360" w:firstLineChars="20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 xml:space="preserve">   废水类别、污染物及污染治理设施信息表</w:t>
            </w:r>
          </w:p>
          <w:tbl>
            <w:tblPr>
              <w:tblStyle w:val="22"/>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8"/>
              <w:gridCol w:w="615"/>
              <w:gridCol w:w="1013"/>
              <w:gridCol w:w="612"/>
              <w:gridCol w:w="1108"/>
              <w:gridCol w:w="648"/>
              <w:gridCol w:w="648"/>
              <w:gridCol w:w="648"/>
              <w:gridCol w:w="584"/>
              <w:gridCol w:w="645"/>
              <w:gridCol w:w="9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395"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废水类别</w:t>
                  </w:r>
                </w:p>
              </w:tc>
              <w:tc>
                <w:tcPr>
                  <w:tcW w:w="650"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污染物种类</w:t>
                  </w:r>
                </w:p>
              </w:tc>
              <w:tc>
                <w:tcPr>
                  <w:tcW w:w="393"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排放去向</w:t>
                  </w:r>
                </w:p>
              </w:tc>
              <w:tc>
                <w:tcPr>
                  <w:tcW w:w="711"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w:t>
                  </w:r>
                </w:p>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规律</w:t>
                  </w:r>
                </w:p>
              </w:tc>
              <w:tc>
                <w:tcPr>
                  <w:tcW w:w="1248" w:type="pct"/>
                  <w:gridSpan w:val="3"/>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污染治理设施</w:t>
                  </w:r>
                </w:p>
              </w:tc>
              <w:tc>
                <w:tcPr>
                  <w:tcW w:w="375"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排放口编号</w:t>
                  </w:r>
                </w:p>
              </w:tc>
              <w:tc>
                <w:tcPr>
                  <w:tcW w:w="414"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排放空间设施是否符合要求</w:t>
                  </w:r>
                </w:p>
              </w:tc>
              <w:tc>
                <w:tcPr>
                  <w:tcW w:w="625" w:type="pct"/>
                  <w:vMerge w:val="restart"/>
                  <w:noWrap w:val="0"/>
                  <w:vAlign w:val="center"/>
                </w:tcPr>
                <w:p>
                  <w:pPr>
                    <w:pStyle w:val="75"/>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w:t>
                  </w:r>
                </w:p>
                <w:p>
                  <w:pPr>
                    <w:pStyle w:val="75"/>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p>
              </w:tc>
              <w:tc>
                <w:tcPr>
                  <w:tcW w:w="395"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p>
              </w:tc>
              <w:tc>
                <w:tcPr>
                  <w:tcW w:w="650"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p>
              </w:tc>
              <w:tc>
                <w:tcPr>
                  <w:tcW w:w="393"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p>
              </w:tc>
              <w:tc>
                <w:tcPr>
                  <w:tcW w:w="711"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p>
              </w:tc>
              <w:tc>
                <w:tcPr>
                  <w:tcW w:w="416"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污染治理设施编号</w:t>
                  </w:r>
                </w:p>
              </w:tc>
              <w:tc>
                <w:tcPr>
                  <w:tcW w:w="416"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污染治理设施名称</w:t>
                  </w:r>
                </w:p>
              </w:tc>
              <w:tc>
                <w:tcPr>
                  <w:tcW w:w="416"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污染治理设施工艺</w:t>
                  </w:r>
                </w:p>
              </w:tc>
              <w:tc>
                <w:tcPr>
                  <w:tcW w:w="375"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p>
              </w:tc>
              <w:tc>
                <w:tcPr>
                  <w:tcW w:w="414"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p>
              </w:tc>
              <w:tc>
                <w:tcPr>
                  <w:tcW w:w="625" w:type="pct"/>
                  <w:vMerge w:val="continue"/>
                  <w:noWrap w:val="0"/>
                  <w:vAlign w:val="center"/>
                </w:tcPr>
                <w:p>
                  <w:pPr>
                    <w:pStyle w:val="75"/>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395"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生活污水</w:t>
                  </w:r>
                </w:p>
              </w:tc>
              <w:tc>
                <w:tcPr>
                  <w:tcW w:w="650"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pH、COD、</w:t>
                  </w:r>
                  <w:r>
                    <w:rPr>
                      <w:rFonts w:hint="eastAsia" w:ascii="Times New Roman" w:eastAsia="宋体" w:cs="Times New Roman"/>
                      <w:color w:val="auto"/>
                      <w:sz w:val="18"/>
                      <w:szCs w:val="18"/>
                      <w:highlight w:val="none"/>
                      <w:lang w:val="en-US" w:eastAsia="zh-CN"/>
                    </w:rPr>
                    <w:t>SS、</w:t>
                  </w:r>
                  <w:r>
                    <w:rPr>
                      <w:rFonts w:hint="default" w:ascii="Times New Roman" w:hAnsi="Times New Roman" w:eastAsia="宋体" w:cs="Times New Roman"/>
                      <w:color w:val="auto"/>
                      <w:sz w:val="18"/>
                      <w:szCs w:val="18"/>
                      <w:highlight w:val="none"/>
                      <w:lang w:val="en-US" w:eastAsia="zh-CN"/>
                    </w:rPr>
                    <w:t>BOD</w:t>
                  </w:r>
                  <w:r>
                    <w:rPr>
                      <w:rFonts w:hint="default" w:ascii="Times New Roman" w:hAnsi="Times New Roman" w:eastAsia="宋体" w:cs="Times New Roman"/>
                      <w:color w:val="auto"/>
                      <w:sz w:val="18"/>
                      <w:szCs w:val="18"/>
                      <w:highlight w:val="none"/>
                      <w:vertAlign w:val="subscript"/>
                      <w:lang w:val="en-US" w:eastAsia="zh-CN"/>
                    </w:rPr>
                    <w:t>5</w:t>
                  </w:r>
                  <w:r>
                    <w:rPr>
                      <w:rFonts w:hint="default" w:ascii="Times New Roman" w:hAnsi="Times New Roman" w:eastAsia="宋体" w:cs="Times New Roman"/>
                      <w:color w:val="auto"/>
                      <w:sz w:val="18"/>
                      <w:szCs w:val="18"/>
                      <w:highlight w:val="none"/>
                      <w:lang w:val="en-US" w:eastAsia="zh-CN"/>
                    </w:rPr>
                    <w:t>、NH</w:t>
                  </w:r>
                  <w:r>
                    <w:rPr>
                      <w:rFonts w:hint="default" w:ascii="Times New Roman" w:hAnsi="Times New Roman" w:eastAsia="宋体" w:cs="Times New Roman"/>
                      <w:color w:val="auto"/>
                      <w:sz w:val="18"/>
                      <w:szCs w:val="18"/>
                      <w:highlight w:val="none"/>
                      <w:vertAlign w:val="subscript"/>
                      <w:lang w:val="en-US" w:eastAsia="zh-CN"/>
                    </w:rPr>
                    <w:t>3</w:t>
                  </w:r>
                  <w:r>
                    <w:rPr>
                      <w:rFonts w:hint="default" w:ascii="Times New Roman" w:hAnsi="Times New Roman" w:eastAsia="宋体" w:cs="Times New Roman"/>
                      <w:color w:val="auto"/>
                      <w:sz w:val="18"/>
                      <w:szCs w:val="18"/>
                      <w:highlight w:val="none"/>
                      <w:lang w:val="en-US" w:eastAsia="zh-CN"/>
                    </w:rPr>
                    <w:t>-N、TP</w:t>
                  </w:r>
                </w:p>
              </w:tc>
              <w:tc>
                <w:tcPr>
                  <w:tcW w:w="393"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新乡县综合污水处理厂</w:t>
                  </w:r>
                </w:p>
              </w:tc>
              <w:tc>
                <w:tcPr>
                  <w:tcW w:w="711"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间断排放，排放期间流量不稳定且无规律，但不属于冲击型排放</w:t>
                  </w:r>
                </w:p>
              </w:tc>
              <w:tc>
                <w:tcPr>
                  <w:tcW w:w="416"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TW</w:t>
                  </w:r>
                </w:p>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001</w:t>
                  </w:r>
                </w:p>
              </w:tc>
              <w:tc>
                <w:tcPr>
                  <w:tcW w:w="416" w:type="pct"/>
                  <w:noWrap w:val="0"/>
                  <w:vAlign w:val="center"/>
                </w:tcPr>
                <w:p>
                  <w:pPr>
                    <w:pStyle w:val="28"/>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化粪池</w:t>
                  </w:r>
                </w:p>
              </w:tc>
              <w:tc>
                <w:tcPr>
                  <w:tcW w:w="416" w:type="pct"/>
                  <w:noWrap w:val="0"/>
                  <w:vAlign w:val="center"/>
                </w:tcPr>
                <w:p>
                  <w:pPr>
                    <w:pStyle w:val="28"/>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化粪池</w:t>
                  </w:r>
                </w:p>
              </w:tc>
              <w:tc>
                <w:tcPr>
                  <w:tcW w:w="375"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DW</w:t>
                  </w:r>
                </w:p>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001</w:t>
                  </w:r>
                </w:p>
              </w:tc>
              <w:tc>
                <w:tcPr>
                  <w:tcW w:w="414" w:type="pct"/>
                  <w:noWrap w:val="0"/>
                  <w:vAlign w:val="center"/>
                </w:tcPr>
                <w:p>
                  <w:pPr>
                    <w:pStyle w:val="75"/>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sym w:font="Wingdings 2" w:char="0052"/>
                  </w:r>
                  <w:r>
                    <w:rPr>
                      <w:rFonts w:hint="default" w:ascii="Times New Roman" w:hAnsi="Times New Roman" w:cs="Times New Roman"/>
                      <w:color w:val="auto"/>
                      <w:sz w:val="18"/>
                      <w:szCs w:val="18"/>
                      <w:highlight w:val="none"/>
                    </w:rPr>
                    <w:t>是</w:t>
                  </w:r>
                </w:p>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否</w:t>
                  </w:r>
                </w:p>
              </w:tc>
              <w:tc>
                <w:tcPr>
                  <w:tcW w:w="625" w:type="pct"/>
                  <w:vMerge w:val="restart"/>
                  <w:noWrap w:val="0"/>
                  <w:vAlign w:val="center"/>
                </w:tcPr>
                <w:p>
                  <w:pPr>
                    <w:pStyle w:val="75"/>
                    <w:keepNext w:val="0"/>
                    <w:keepLines w:val="0"/>
                    <w:pageBreakBefore w:val="0"/>
                    <w:widowControl w:val="0"/>
                    <w:kinsoku/>
                    <w:wordWrap/>
                    <w:overflowPunct/>
                    <w:topLinePunct w:val="0"/>
                    <w:bidi w:val="0"/>
                    <w:adjustRightInd/>
                    <w:snapToGrid/>
                    <w:spacing w:line="320" w:lineRule="exact"/>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sym w:font="Wingdings 2" w:char="0052"/>
                  </w:r>
                  <w:r>
                    <w:rPr>
                      <w:rFonts w:hint="default" w:ascii="Times New Roman" w:hAnsi="Times New Roman" w:cs="Times New Roman"/>
                      <w:color w:val="auto"/>
                      <w:sz w:val="18"/>
                      <w:szCs w:val="18"/>
                      <w:highlight w:val="none"/>
                    </w:rPr>
                    <w:t>企业总排</w:t>
                  </w:r>
                </w:p>
                <w:p>
                  <w:pPr>
                    <w:pStyle w:val="75"/>
                    <w:keepNext w:val="0"/>
                    <w:keepLines w:val="0"/>
                    <w:pageBreakBefore w:val="0"/>
                    <w:widowControl w:val="0"/>
                    <w:kinsoku/>
                    <w:wordWrap/>
                    <w:overflowPunct/>
                    <w:topLinePunct w:val="0"/>
                    <w:bidi w:val="0"/>
                    <w:adjustRightInd/>
                    <w:snapToGrid/>
                    <w:spacing w:line="320" w:lineRule="exact"/>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sym w:font="Wingdings 2" w:char="00A3"/>
                  </w:r>
                  <w:r>
                    <w:rPr>
                      <w:rFonts w:hint="default" w:ascii="Times New Roman" w:hAnsi="Times New Roman" w:cs="Times New Roman"/>
                      <w:color w:val="auto"/>
                      <w:sz w:val="18"/>
                      <w:szCs w:val="18"/>
                      <w:highlight w:val="none"/>
                    </w:rPr>
                    <w:t>雨水排放</w:t>
                  </w:r>
                </w:p>
                <w:p>
                  <w:pPr>
                    <w:pStyle w:val="75"/>
                    <w:keepNext w:val="0"/>
                    <w:keepLines w:val="0"/>
                    <w:pageBreakBefore w:val="0"/>
                    <w:widowControl w:val="0"/>
                    <w:kinsoku/>
                    <w:wordWrap/>
                    <w:overflowPunct/>
                    <w:topLinePunct w:val="0"/>
                    <w:bidi w:val="0"/>
                    <w:adjustRightInd/>
                    <w:snapToGrid/>
                    <w:spacing w:line="320" w:lineRule="exact"/>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pacing w:val="-18"/>
                      <w:sz w:val="18"/>
                      <w:szCs w:val="18"/>
                      <w:highlight w:val="none"/>
                    </w:rPr>
                    <w:sym w:font="Wingdings 2" w:char="00A3"/>
                  </w:r>
                  <w:r>
                    <w:rPr>
                      <w:rFonts w:hint="default" w:ascii="Times New Roman" w:hAnsi="Times New Roman" w:cs="Times New Roman"/>
                      <w:color w:val="auto"/>
                      <w:spacing w:val="-18"/>
                      <w:sz w:val="18"/>
                      <w:szCs w:val="18"/>
                      <w:highlight w:val="none"/>
                    </w:rPr>
                    <w:t>清净下水排放</w:t>
                  </w:r>
                </w:p>
                <w:p>
                  <w:pPr>
                    <w:pStyle w:val="75"/>
                    <w:keepNext w:val="0"/>
                    <w:keepLines w:val="0"/>
                    <w:pageBreakBefore w:val="0"/>
                    <w:widowControl w:val="0"/>
                    <w:kinsoku/>
                    <w:wordWrap/>
                    <w:overflowPunct/>
                    <w:topLinePunct w:val="0"/>
                    <w:bidi w:val="0"/>
                    <w:adjustRightInd/>
                    <w:snapToGrid/>
                    <w:spacing w:line="320" w:lineRule="exact"/>
                    <w:jc w:val="both"/>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sym w:font="Wingdings 2" w:char="00A3"/>
                  </w:r>
                  <w:r>
                    <w:rPr>
                      <w:rFonts w:hint="default" w:ascii="Times New Roman" w:hAnsi="Times New Roman" w:cs="Times New Roman"/>
                      <w:color w:val="auto"/>
                      <w:sz w:val="18"/>
                      <w:szCs w:val="18"/>
                      <w:highlight w:val="none"/>
                    </w:rPr>
                    <w:t>温排水排放</w:t>
                  </w:r>
                </w:p>
                <w:p>
                  <w:pPr>
                    <w:pStyle w:val="28"/>
                    <w:keepNext w:val="0"/>
                    <w:keepLines w:val="0"/>
                    <w:pageBreakBefore w:val="0"/>
                    <w:widowControl w:val="0"/>
                    <w:kinsoku/>
                    <w:wordWrap/>
                    <w:overflowPunct/>
                    <w:topLinePunct w:val="0"/>
                    <w:bidi w:val="0"/>
                    <w:adjustRightInd/>
                    <w:snapToGrid/>
                    <w:spacing w:line="320" w:lineRule="exact"/>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pacing w:val="-66"/>
                      <w:sz w:val="18"/>
                      <w:szCs w:val="18"/>
                      <w:highlight w:val="none"/>
                    </w:rPr>
                    <w:t xml:space="preserve"> </w:t>
                  </w:r>
                  <w:r>
                    <w:rPr>
                      <w:rFonts w:hint="default" w:ascii="Times New Roman" w:hAnsi="Times New Roman" w:eastAsia="宋体" w:cs="Times New Roman"/>
                      <w:color w:val="auto"/>
                      <w:sz w:val="18"/>
                      <w:szCs w:val="18"/>
                      <w:highlight w:val="none"/>
                    </w:rPr>
                    <w:t>车</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间</w:t>
                  </w:r>
                  <w:r>
                    <w:rPr>
                      <w:rFonts w:hint="default" w:ascii="Times New Roman" w:hAnsi="Times New Roman" w:eastAsia="宋体" w:cs="Times New Roman"/>
                      <w:color w:val="auto"/>
                      <w:spacing w:val="-64"/>
                      <w:sz w:val="18"/>
                      <w:szCs w:val="18"/>
                      <w:highlight w:val="none"/>
                    </w:rPr>
                    <w:t xml:space="preserve"> </w:t>
                  </w:r>
                  <w:r>
                    <w:rPr>
                      <w:rFonts w:hint="default" w:ascii="Times New Roman" w:hAnsi="Times New Roman" w:eastAsia="宋体" w:cs="Times New Roman"/>
                      <w:color w:val="auto"/>
                      <w:sz w:val="18"/>
                      <w:szCs w:val="18"/>
                      <w:highlight w:val="none"/>
                    </w:rPr>
                    <w:t>或</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车</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间处</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理</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设</w:t>
                  </w:r>
                  <w:r>
                    <w:rPr>
                      <w:rFonts w:hint="default" w:ascii="Times New Roman" w:hAnsi="Times New Roman" w:eastAsia="宋体" w:cs="Times New Roman"/>
                      <w:color w:val="auto"/>
                      <w:spacing w:val="-64"/>
                      <w:sz w:val="18"/>
                      <w:szCs w:val="18"/>
                      <w:highlight w:val="none"/>
                    </w:rPr>
                    <w:t xml:space="preserve"> </w:t>
                  </w:r>
                  <w:r>
                    <w:rPr>
                      <w:rFonts w:hint="default" w:ascii="Times New Roman" w:hAnsi="Times New Roman" w:eastAsia="宋体" w:cs="Times New Roman"/>
                      <w:color w:val="auto"/>
                      <w:sz w:val="18"/>
                      <w:szCs w:val="18"/>
                      <w:highlight w:val="none"/>
                    </w:rPr>
                    <w:t>施</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排</w:t>
                  </w:r>
                  <w:r>
                    <w:rPr>
                      <w:rFonts w:hint="default" w:ascii="Times New Roman" w:hAnsi="Times New Roman" w:eastAsia="宋体" w:cs="Times New Roman"/>
                      <w:color w:val="auto"/>
                      <w:spacing w:val="-67"/>
                      <w:sz w:val="18"/>
                      <w:szCs w:val="18"/>
                      <w:highlight w:val="none"/>
                    </w:rPr>
                    <w:t xml:space="preserve"> </w:t>
                  </w:r>
                  <w:r>
                    <w:rPr>
                      <w:rFonts w:hint="default" w:ascii="Times New Roman" w:hAnsi="Times New Roman" w:eastAsia="宋体" w:cs="Times New Roman"/>
                      <w:color w:val="auto"/>
                      <w:sz w:val="18"/>
                      <w:szCs w:val="18"/>
                      <w:highlight w:val="none"/>
                    </w:rPr>
                    <w:t>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2</w:t>
                  </w:r>
                </w:p>
              </w:tc>
              <w:tc>
                <w:tcPr>
                  <w:tcW w:w="395"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生产废水</w:t>
                  </w:r>
                </w:p>
              </w:tc>
              <w:tc>
                <w:tcPr>
                  <w:tcW w:w="650"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pH、</w:t>
                  </w:r>
                  <w:r>
                    <w:rPr>
                      <w:rFonts w:hint="default" w:ascii="Times New Roman" w:hAnsi="Times New Roman" w:eastAsia="宋体" w:cs="Times New Roman"/>
                      <w:color w:val="auto"/>
                      <w:sz w:val="18"/>
                      <w:szCs w:val="18"/>
                      <w:highlight w:val="none"/>
                    </w:rPr>
                    <w:t>COD、</w:t>
                  </w:r>
                  <w:r>
                    <w:rPr>
                      <w:rFonts w:hint="default" w:ascii="Times New Roman" w:hAnsi="Times New Roman" w:eastAsia="宋体" w:cs="Times New Roman"/>
                      <w:color w:val="auto"/>
                      <w:sz w:val="18"/>
                      <w:szCs w:val="18"/>
                      <w:highlight w:val="none"/>
                      <w:lang w:val="en-US" w:eastAsia="zh-CN"/>
                    </w:rPr>
                    <w:t>SS、LAS</w:t>
                  </w:r>
                </w:p>
              </w:tc>
              <w:tc>
                <w:tcPr>
                  <w:tcW w:w="393"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新乡县综合污水处理厂</w:t>
                  </w:r>
                </w:p>
              </w:tc>
              <w:tc>
                <w:tcPr>
                  <w:tcW w:w="711"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间断排放，排放期间流量不稳定，但有周期性规律</w:t>
                  </w:r>
                </w:p>
              </w:tc>
              <w:tc>
                <w:tcPr>
                  <w:tcW w:w="416"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TW</w:t>
                  </w:r>
                </w:p>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00</w:t>
                  </w:r>
                  <w:r>
                    <w:rPr>
                      <w:rFonts w:hint="default" w:ascii="Times New Roman" w:hAnsi="Times New Roman" w:eastAsia="宋体" w:cs="Times New Roman"/>
                      <w:color w:val="auto"/>
                      <w:sz w:val="18"/>
                      <w:szCs w:val="18"/>
                      <w:highlight w:val="none"/>
                      <w:lang w:val="en-US" w:eastAsia="zh-CN"/>
                    </w:rPr>
                    <w:t>2</w:t>
                  </w:r>
                </w:p>
              </w:tc>
              <w:tc>
                <w:tcPr>
                  <w:tcW w:w="416" w:type="pct"/>
                  <w:noWrap w:val="0"/>
                  <w:vAlign w:val="center"/>
                </w:tcPr>
                <w:p>
                  <w:pPr>
                    <w:pStyle w:val="28"/>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沉淀池</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eastAsia="zh-CN"/>
                    </w:rPr>
                    <w:t>混凝沉淀池</w:t>
                  </w:r>
                </w:p>
              </w:tc>
              <w:tc>
                <w:tcPr>
                  <w:tcW w:w="416" w:type="pct"/>
                  <w:noWrap w:val="0"/>
                  <w:vAlign w:val="center"/>
                </w:tcPr>
                <w:p>
                  <w:pPr>
                    <w:pStyle w:val="28"/>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沉淀</w:t>
                  </w:r>
                  <w:r>
                    <w:rPr>
                      <w:rFonts w:hint="default" w:ascii="Times New Roman" w:hAnsi="Times New Roman" w:eastAsia="宋体" w:cs="Times New Roman"/>
                      <w:color w:val="auto"/>
                      <w:sz w:val="18"/>
                      <w:szCs w:val="18"/>
                      <w:highlight w:val="none"/>
                      <w:lang w:val="en-US" w:eastAsia="zh-CN"/>
                    </w:rPr>
                    <w:t>+混凝沉淀</w:t>
                  </w:r>
                </w:p>
              </w:tc>
              <w:tc>
                <w:tcPr>
                  <w:tcW w:w="375"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DW</w:t>
                  </w:r>
                </w:p>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001</w:t>
                  </w:r>
                </w:p>
              </w:tc>
              <w:tc>
                <w:tcPr>
                  <w:tcW w:w="414" w:type="pct"/>
                  <w:noWrap w:val="0"/>
                  <w:vAlign w:val="center"/>
                </w:tcPr>
                <w:p>
                  <w:pPr>
                    <w:pStyle w:val="75"/>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sym w:font="Wingdings 2" w:char="0052"/>
                  </w:r>
                  <w:r>
                    <w:rPr>
                      <w:rFonts w:hint="default" w:ascii="Times New Roman" w:hAnsi="Times New Roman" w:cs="Times New Roman"/>
                      <w:color w:val="auto"/>
                      <w:sz w:val="18"/>
                      <w:szCs w:val="18"/>
                      <w:highlight w:val="none"/>
                    </w:rPr>
                    <w:t>是</w:t>
                  </w:r>
                </w:p>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否</w:t>
                  </w:r>
                </w:p>
              </w:tc>
              <w:tc>
                <w:tcPr>
                  <w:tcW w:w="625"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jc w:val="left"/>
                    <w:textAlignment w:val="auto"/>
                    <w:rPr>
                      <w:rFonts w:hint="default" w:ascii="Times New Roman" w:hAnsi="Times New Roman" w:eastAsia="宋体" w:cs="Times New Roman"/>
                      <w:color w:val="auto"/>
                      <w:sz w:val="18"/>
                      <w:szCs w:val="18"/>
                      <w:highlight w:val="none"/>
                    </w:rPr>
                  </w:pPr>
                </w:p>
              </w:tc>
            </w:tr>
          </w:tbl>
          <w:p>
            <w:pPr>
              <w:pStyle w:val="28"/>
              <w:keepNext w:val="0"/>
              <w:keepLines w:val="0"/>
              <w:pageBreakBefore w:val="0"/>
              <w:widowControl w:val="0"/>
              <w:kinsoku/>
              <w:wordWrap/>
              <w:overflowPunct/>
              <w:topLinePunct w:val="0"/>
              <w:autoSpaceDE w:val="0"/>
              <w:autoSpaceDN w:val="0"/>
              <w:bidi w:val="0"/>
              <w:adjustRightInd/>
              <w:snapToGrid/>
              <w:spacing w:line="360" w:lineRule="auto"/>
              <w:ind w:left="0" w:leftChars="0" w:firstLine="422" w:firstLineChars="200"/>
              <w:jc w:val="both"/>
              <w:textAlignment w:val="auto"/>
              <w:rPr>
                <w:rFonts w:hint="default" w:ascii="Times New Roman" w:hAnsi="Times New Roman" w:cs="Times New Roman"/>
                <w:b/>
                <w:bCs/>
                <w:color w:val="auto"/>
                <w:highlight w:val="none"/>
              </w:rPr>
            </w:pPr>
            <w:r>
              <w:rPr>
                <w:rFonts w:hint="default" w:ascii="Times New Roman" w:hAnsi="Times New Roman" w:eastAsia="宋体" w:cs="Times New Roman"/>
                <w:b/>
                <w:bCs/>
                <w:color w:val="auto"/>
                <w:sz w:val="21"/>
                <w:szCs w:val="21"/>
                <w:highlight w:val="none"/>
              </w:rPr>
              <w:t>②废水间接排放口基本情况</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 xml:space="preserve"> 废水间接排放口基本情况</w:t>
            </w:r>
          </w:p>
          <w:tbl>
            <w:tblPr>
              <w:tblStyle w:val="22"/>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84"/>
              <w:gridCol w:w="642"/>
              <w:gridCol w:w="1167"/>
              <w:gridCol w:w="1080"/>
              <w:gridCol w:w="584"/>
              <w:gridCol w:w="505"/>
              <w:gridCol w:w="563"/>
              <w:gridCol w:w="524"/>
              <w:gridCol w:w="524"/>
              <w:gridCol w:w="658"/>
              <w:gridCol w:w="125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w:t>
                  </w:r>
                  <w:r>
                    <w:rPr>
                      <w:rFonts w:hint="default" w:ascii="Times New Roman" w:hAnsi="Times New Roman" w:cs="Times New Roman"/>
                      <w:color w:val="auto"/>
                      <w:sz w:val="18"/>
                      <w:szCs w:val="18"/>
                      <w:highlight w:val="none"/>
                      <w:lang w:val="en-US" w:eastAsia="zh-CN"/>
                    </w:rPr>
                    <w:t xml:space="preserve"> </w:t>
                  </w:r>
                  <w:r>
                    <w:rPr>
                      <w:rFonts w:hint="default" w:ascii="Times New Roman" w:hAnsi="Times New Roman" w:cs="Times New Roman"/>
                      <w:color w:val="auto"/>
                      <w:sz w:val="18"/>
                      <w:szCs w:val="18"/>
                      <w:highlight w:val="none"/>
                    </w:rPr>
                    <w:t>号</w:t>
                  </w:r>
                </w:p>
              </w:tc>
              <w:tc>
                <w:tcPr>
                  <w:tcW w:w="41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排放口编号</w:t>
                  </w:r>
                </w:p>
              </w:tc>
              <w:tc>
                <w:tcPr>
                  <w:tcW w:w="144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排放口地理坐标</w:t>
                  </w:r>
                </w:p>
              </w:tc>
              <w:tc>
                <w:tcPr>
                  <w:tcW w:w="3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废水\排放量/（万t/a）</w:t>
                  </w:r>
                </w:p>
              </w:tc>
              <w:tc>
                <w:tcPr>
                  <w:tcW w:w="32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 去向</w:t>
                  </w:r>
                </w:p>
              </w:tc>
              <w:tc>
                <w:tcPr>
                  <w:tcW w:w="36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规律</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间歇排放时段</w:t>
                  </w:r>
                </w:p>
              </w:tc>
              <w:tc>
                <w:tcPr>
                  <w:tcW w:w="1564"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受纳污水处理厂信息</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4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4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经度</w:t>
                  </w:r>
                </w:p>
              </w:tc>
              <w:tc>
                <w:tcPr>
                  <w:tcW w:w="69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纬度</w:t>
                  </w:r>
                </w:p>
              </w:tc>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3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42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污染物种类</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国家或地方污染物排放标准浓度限值(mg/L)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41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DW001</w:t>
                  </w:r>
                </w:p>
              </w:tc>
              <w:tc>
                <w:tcPr>
                  <w:tcW w:w="74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113°45′37.525″</w:t>
                  </w:r>
                </w:p>
              </w:tc>
              <w:tc>
                <w:tcPr>
                  <w:tcW w:w="69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35°11′39.460″</w:t>
                  </w:r>
                </w:p>
              </w:tc>
              <w:tc>
                <w:tcPr>
                  <w:tcW w:w="3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0.0384</w:t>
                  </w:r>
                </w:p>
              </w:tc>
              <w:tc>
                <w:tcPr>
                  <w:tcW w:w="32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新乡县综合污水处理厂</w:t>
                  </w:r>
                </w:p>
              </w:tc>
              <w:tc>
                <w:tcPr>
                  <w:tcW w:w="36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pacing w:val="-12"/>
                      <w:sz w:val="18"/>
                      <w:szCs w:val="18"/>
                      <w:highlight w:val="none"/>
                    </w:rPr>
                  </w:pPr>
                  <w:r>
                    <w:rPr>
                      <w:rFonts w:hint="default" w:ascii="Times New Roman" w:hAnsi="Times New Roman" w:cs="Times New Roman"/>
                      <w:color w:val="auto"/>
                      <w:spacing w:val="-12"/>
                      <w:sz w:val="18"/>
                      <w:szCs w:val="18"/>
                      <w:highlight w:val="none"/>
                    </w:rPr>
                    <w:t>间断排放，排放期间流量不稳定且无规律，但不属于冲击型排放</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33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新乡县综合污水处理厂</w:t>
                  </w:r>
                </w:p>
              </w:tc>
              <w:tc>
                <w:tcPr>
                  <w:tcW w:w="42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COD</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4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p>
              </w:tc>
              <w:tc>
                <w:tcPr>
                  <w:tcW w:w="69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p>
              </w:tc>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rPr>
                  </w:pPr>
                </w:p>
              </w:tc>
              <w:tc>
                <w:tcPr>
                  <w:tcW w:w="3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pacing w:val="-12"/>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42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BOD</w:t>
                  </w:r>
                  <w:r>
                    <w:rPr>
                      <w:rFonts w:hint="default" w:ascii="Times New Roman" w:hAnsi="Times New Roman" w:cs="Times New Roman"/>
                      <w:color w:val="auto"/>
                      <w:sz w:val="18"/>
                      <w:szCs w:val="18"/>
                      <w:highlight w:val="none"/>
                      <w:vertAlign w:val="subscript"/>
                      <w:lang w:val="en-US" w:eastAsia="zh-CN"/>
                    </w:rPr>
                    <w:t>5</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4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69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42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SS</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4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69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42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NH</w:t>
                  </w:r>
                  <w:r>
                    <w:rPr>
                      <w:rFonts w:hint="default" w:ascii="Times New Roman" w:hAnsi="Times New Roman" w:cs="Times New Roman"/>
                      <w:color w:val="auto"/>
                      <w:kern w:val="2"/>
                      <w:sz w:val="18"/>
                      <w:szCs w:val="18"/>
                      <w:highlight w:val="none"/>
                      <w:vertAlign w:val="subscript"/>
                      <w:lang w:val="en-US" w:eastAsia="zh-CN" w:bidi="ar-SA"/>
                    </w:rPr>
                    <w:t>3</w:t>
                  </w:r>
                  <w:r>
                    <w:rPr>
                      <w:rFonts w:hint="default" w:ascii="Times New Roman" w:hAnsi="Times New Roman" w:cs="Times New Roman"/>
                      <w:color w:val="auto"/>
                      <w:kern w:val="2"/>
                      <w:sz w:val="18"/>
                      <w:szCs w:val="18"/>
                      <w:highlight w:val="none"/>
                      <w:lang w:val="en-US" w:eastAsia="zh-CN" w:bidi="ar-SA"/>
                    </w:rPr>
                    <w:t>-N</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8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4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69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42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TP</w:t>
                  </w:r>
                </w:p>
              </w:tc>
              <w:tc>
                <w:tcPr>
                  <w:tcW w:w="80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8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4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69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422"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LAS</w:t>
                  </w:r>
                </w:p>
              </w:tc>
              <w:tc>
                <w:tcPr>
                  <w:tcW w:w="805" w:type="pct"/>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0.3</w:t>
                  </w:r>
                </w:p>
              </w:tc>
            </w:tr>
          </w:tbl>
          <w:p>
            <w:pPr>
              <w:pStyle w:val="28"/>
              <w:keepNext w:val="0"/>
              <w:keepLines w:val="0"/>
              <w:pageBreakBefore w:val="0"/>
              <w:widowControl w:val="0"/>
              <w:kinsoku/>
              <w:wordWrap/>
              <w:overflowPunct/>
              <w:topLinePunct w:val="0"/>
              <w:autoSpaceDE w:val="0"/>
              <w:autoSpaceDN w:val="0"/>
              <w:bidi w:val="0"/>
              <w:adjustRightInd/>
              <w:snapToGrid/>
              <w:spacing w:line="360" w:lineRule="auto"/>
              <w:ind w:left="0" w:leftChars="0" w:firstLine="422" w:firstLineChars="20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③废水污染物排放执行标准</w:t>
            </w:r>
            <w:r>
              <w:rPr>
                <w:rFonts w:hint="default" w:ascii="Times New Roman" w:hAnsi="Times New Roman" w:eastAsia="宋体" w:cs="Times New Roman"/>
                <w:b/>
                <w:bCs/>
                <w:color w:val="auto"/>
                <w:sz w:val="21"/>
                <w:szCs w:val="21"/>
                <w:highlight w:val="none"/>
              </w:rPr>
              <w:br w:type="textWrapping"/>
            </w:r>
          </w:p>
          <w:p>
            <w:pPr>
              <w:pStyle w:val="29"/>
              <w:rPr>
                <w:rFonts w:hint="default"/>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废水污染物排放执行标准表</w:t>
            </w:r>
          </w:p>
          <w:tbl>
            <w:tblPr>
              <w:tblStyle w:val="22"/>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98"/>
              <w:gridCol w:w="1167"/>
              <w:gridCol w:w="1215"/>
              <w:gridCol w:w="2685"/>
              <w:gridCol w:w="192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12" w:type="pct"/>
                  <w:vMerge w:val="restart"/>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749" w:type="pct"/>
                  <w:vMerge w:val="restart"/>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排放口编号</w:t>
                  </w:r>
                </w:p>
              </w:tc>
              <w:tc>
                <w:tcPr>
                  <w:tcW w:w="780" w:type="pct"/>
                  <w:vMerge w:val="restart"/>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污染物种类</w:t>
                  </w:r>
                </w:p>
              </w:tc>
              <w:tc>
                <w:tcPr>
                  <w:tcW w:w="2957" w:type="pct"/>
                  <w:gridSpan w:val="2"/>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国家或地方污染物排放标准及其他按规定商定的排放协议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12"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49"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80"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1724" w:type="pct"/>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1233" w:type="pct"/>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浓度限值/(mg/L)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12" w:type="pct"/>
                  <w:vMerge w:val="restart"/>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749" w:type="pct"/>
                  <w:vMerge w:val="restart"/>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DW001</w:t>
                  </w:r>
                </w:p>
              </w:tc>
              <w:tc>
                <w:tcPr>
                  <w:tcW w:w="78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COD</w:t>
                  </w:r>
                </w:p>
              </w:tc>
              <w:tc>
                <w:tcPr>
                  <w:tcW w:w="1724" w:type="pct"/>
                  <w:vMerge w:val="restart"/>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Cs/>
                      <w:color w:val="auto"/>
                      <w:sz w:val="18"/>
                      <w:szCs w:val="18"/>
                      <w:highlight w:val="none"/>
                      <w:lang w:val="zh-CN"/>
                    </w:rPr>
                  </w:pPr>
                  <w:r>
                    <w:rPr>
                      <w:rFonts w:hint="default" w:ascii="Times New Roman" w:hAnsi="Times New Roman" w:cs="Times New Roman"/>
                      <w:bCs/>
                      <w:color w:val="auto"/>
                      <w:sz w:val="18"/>
                      <w:szCs w:val="18"/>
                      <w:highlight w:val="none"/>
                      <w:lang w:val="zh-CN"/>
                    </w:rPr>
                    <w:t>新乡县综合污水处理厂</w:t>
                  </w:r>
                </w:p>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收水标准</w:t>
                  </w:r>
                </w:p>
              </w:tc>
              <w:tc>
                <w:tcPr>
                  <w:tcW w:w="1233" w:type="pct"/>
                  <w:noWrap w:val="0"/>
                  <w:vAlign w:val="center"/>
                </w:tcPr>
                <w:p>
                  <w:pPr>
                    <w:pStyle w:val="65"/>
                    <w:keepNext w:val="0"/>
                    <w:keepLines w:val="0"/>
                    <w:pageBreakBefore w:val="0"/>
                    <w:kinsoku/>
                    <w:wordWrap/>
                    <w:overflowPunct/>
                    <w:topLinePunct w:val="0"/>
                    <w:autoSpaceDE/>
                    <w:autoSpaceDN/>
                    <w:bidi w:val="0"/>
                    <w:adjustRightInd/>
                    <w:snapToGrid/>
                    <w:spacing w:line="320" w:lineRule="exact"/>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400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12"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49"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8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rPr>
                    <w:t>BOD</w:t>
                  </w:r>
                  <w:r>
                    <w:rPr>
                      <w:rFonts w:hint="default" w:ascii="Times New Roman" w:hAnsi="Times New Roman" w:cs="Times New Roman"/>
                      <w:bCs/>
                      <w:color w:val="auto"/>
                      <w:sz w:val="18"/>
                      <w:szCs w:val="18"/>
                      <w:highlight w:val="none"/>
                      <w:vertAlign w:val="subscript"/>
                    </w:rPr>
                    <w:t>5</w:t>
                  </w:r>
                </w:p>
              </w:tc>
              <w:tc>
                <w:tcPr>
                  <w:tcW w:w="1724"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1233" w:type="pct"/>
                  <w:noWrap w:val="0"/>
                  <w:vAlign w:val="center"/>
                </w:tcPr>
                <w:p>
                  <w:pPr>
                    <w:pStyle w:val="65"/>
                    <w:keepNext w:val="0"/>
                    <w:keepLines w:val="0"/>
                    <w:pageBreakBefore w:val="0"/>
                    <w:kinsoku/>
                    <w:wordWrap/>
                    <w:overflowPunct/>
                    <w:topLinePunct w:val="0"/>
                    <w:autoSpaceDE/>
                    <w:autoSpaceDN/>
                    <w:bidi w:val="0"/>
                    <w:adjustRightInd/>
                    <w:snapToGrid/>
                    <w:spacing w:line="320" w:lineRule="exact"/>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180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12"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49"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8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bidi="ar"/>
                    </w:rPr>
                    <w:t>SS</w:t>
                  </w:r>
                </w:p>
              </w:tc>
              <w:tc>
                <w:tcPr>
                  <w:tcW w:w="1724"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1233" w:type="pct"/>
                  <w:noWrap w:val="0"/>
                  <w:vAlign w:val="center"/>
                </w:tcPr>
                <w:p>
                  <w:pPr>
                    <w:pStyle w:val="65"/>
                    <w:keepNext w:val="0"/>
                    <w:keepLines w:val="0"/>
                    <w:pageBreakBefore w:val="0"/>
                    <w:kinsoku/>
                    <w:wordWrap/>
                    <w:overflowPunct/>
                    <w:topLinePunct w:val="0"/>
                    <w:autoSpaceDE/>
                    <w:autoSpaceDN/>
                    <w:bidi w:val="0"/>
                    <w:adjustRightInd/>
                    <w:snapToGrid/>
                    <w:spacing w:line="320" w:lineRule="exact"/>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59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12"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49"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8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bCs/>
                      <w:color w:val="auto"/>
                      <w:sz w:val="18"/>
                      <w:szCs w:val="18"/>
                      <w:highlight w:val="none"/>
                      <w:lang w:val="en-US" w:eastAsia="zh-CN"/>
                    </w:rPr>
                    <w:t>NH</w:t>
                  </w:r>
                  <w:r>
                    <w:rPr>
                      <w:rFonts w:hint="default" w:ascii="Times New Roman" w:hAnsi="Times New Roman" w:cs="Times New Roman"/>
                      <w:bCs/>
                      <w:color w:val="auto"/>
                      <w:sz w:val="18"/>
                      <w:szCs w:val="18"/>
                      <w:highlight w:val="none"/>
                      <w:vertAlign w:val="subscript"/>
                      <w:lang w:val="en-US" w:eastAsia="zh-CN"/>
                    </w:rPr>
                    <w:t>3</w:t>
                  </w:r>
                  <w:r>
                    <w:rPr>
                      <w:rFonts w:hint="default" w:ascii="Times New Roman" w:hAnsi="Times New Roman" w:cs="Times New Roman"/>
                      <w:bCs/>
                      <w:color w:val="auto"/>
                      <w:sz w:val="18"/>
                      <w:szCs w:val="18"/>
                      <w:highlight w:val="none"/>
                      <w:lang w:val="en-US" w:eastAsia="zh-CN"/>
                    </w:rPr>
                    <w:t>-N</w:t>
                  </w:r>
                </w:p>
              </w:tc>
              <w:tc>
                <w:tcPr>
                  <w:tcW w:w="1724"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1233" w:type="pct"/>
                  <w:noWrap w:val="0"/>
                  <w:vAlign w:val="center"/>
                </w:tcPr>
                <w:p>
                  <w:pPr>
                    <w:pStyle w:val="65"/>
                    <w:keepNext w:val="0"/>
                    <w:keepLines w:val="0"/>
                    <w:pageBreakBefore w:val="0"/>
                    <w:kinsoku/>
                    <w:wordWrap/>
                    <w:overflowPunct/>
                    <w:topLinePunct w:val="0"/>
                    <w:autoSpaceDE/>
                    <w:autoSpaceDN/>
                    <w:bidi w:val="0"/>
                    <w:adjustRightInd/>
                    <w:snapToGrid/>
                    <w:spacing w:line="320" w:lineRule="exact"/>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12"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49"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8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bidi="ar"/>
                    </w:rPr>
                    <w:t>TP</w:t>
                  </w:r>
                </w:p>
              </w:tc>
              <w:tc>
                <w:tcPr>
                  <w:tcW w:w="1724"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1233" w:type="pct"/>
                  <w:noWrap w:val="0"/>
                  <w:vAlign w:val="center"/>
                </w:tcPr>
                <w:p>
                  <w:pPr>
                    <w:pStyle w:val="65"/>
                    <w:keepNext w:val="0"/>
                    <w:keepLines w:val="0"/>
                    <w:pageBreakBefore w:val="0"/>
                    <w:kinsoku/>
                    <w:wordWrap/>
                    <w:overflowPunct/>
                    <w:topLinePunct w:val="0"/>
                    <w:autoSpaceDE/>
                    <w:autoSpaceDN/>
                    <w:bidi w:val="0"/>
                    <w:adjustRightInd/>
                    <w:snapToGrid/>
                    <w:spacing w:line="320" w:lineRule="exact"/>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70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12"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49"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8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eastAsia="宋体" w:cs="Times New Roman"/>
                      <w:color w:val="auto"/>
                      <w:sz w:val="18"/>
                      <w:szCs w:val="18"/>
                      <w:highlight w:val="none"/>
                      <w:lang w:val="en-US" w:eastAsia="zh-CN"/>
                    </w:rPr>
                    <w:t>COD</w:t>
                  </w:r>
                </w:p>
              </w:tc>
              <w:tc>
                <w:tcPr>
                  <w:tcW w:w="1724" w:type="pct"/>
                  <w:vMerge w:val="restart"/>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b w:val="0"/>
                      <w:bCs w:val="0"/>
                      <w:color w:val="auto"/>
                      <w:sz w:val="18"/>
                      <w:szCs w:val="18"/>
                      <w:highlight w:val="none"/>
                      <w:lang w:eastAsia="zh-CN"/>
                    </w:rPr>
                  </w:pPr>
                  <w:r>
                    <w:rPr>
                      <w:rFonts w:hint="default" w:ascii="Times New Roman" w:hAnsi="Times New Roman" w:cs="Times New Roman"/>
                      <w:b w:val="0"/>
                      <w:bCs w:val="0"/>
                      <w:color w:val="auto"/>
                      <w:sz w:val="18"/>
                      <w:szCs w:val="18"/>
                      <w:highlight w:val="none"/>
                      <w:lang w:eastAsia="zh-CN"/>
                    </w:rPr>
                    <w:t>《污水综合排放标准》</w:t>
                  </w:r>
                </w:p>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lang w:val="en-US" w:eastAsia="zh-CN"/>
                    </w:rPr>
                    <w:t>GB8978-1996</w:t>
                  </w:r>
                  <w:r>
                    <w:rPr>
                      <w:rFonts w:hint="default" w:ascii="Times New Roman" w:hAnsi="Times New Roman" w:cs="Times New Roman"/>
                      <w:b w:val="0"/>
                      <w:bCs w:val="0"/>
                      <w:color w:val="auto"/>
                      <w:sz w:val="18"/>
                      <w:szCs w:val="18"/>
                      <w:highlight w:val="none"/>
                      <w:lang w:eastAsia="zh-CN"/>
                    </w:rPr>
                    <w:t>）表</w:t>
                  </w:r>
                  <w:r>
                    <w:rPr>
                      <w:rFonts w:hint="default" w:ascii="Times New Roman" w:hAnsi="Times New Roman" w:cs="Times New Roman"/>
                      <w:b w:val="0"/>
                      <w:bCs w:val="0"/>
                      <w:color w:val="auto"/>
                      <w:sz w:val="18"/>
                      <w:szCs w:val="18"/>
                      <w:highlight w:val="none"/>
                      <w:lang w:val="en-US" w:eastAsia="zh-CN"/>
                    </w:rPr>
                    <w:t>4</w:t>
                  </w:r>
                  <w:r>
                    <w:rPr>
                      <w:rFonts w:hint="default" w:ascii="Times New Roman" w:hAnsi="Times New Roman" w:cs="Times New Roman"/>
                      <w:b w:val="0"/>
                      <w:bCs w:val="0"/>
                      <w:color w:val="auto"/>
                      <w:sz w:val="18"/>
                      <w:szCs w:val="18"/>
                      <w:highlight w:val="none"/>
                      <w:lang w:eastAsia="zh-CN"/>
                    </w:rPr>
                    <w:t>三级标准</w:t>
                  </w:r>
                </w:p>
              </w:tc>
              <w:tc>
                <w:tcPr>
                  <w:tcW w:w="123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500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12"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49"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8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b w:val="0"/>
                      <w:bCs w:val="0"/>
                      <w:color w:val="auto"/>
                      <w:sz w:val="18"/>
                      <w:szCs w:val="18"/>
                      <w:highlight w:val="none"/>
                      <w:lang w:val="en-US" w:eastAsia="zh-CN"/>
                    </w:rPr>
                    <w:t>BOD</w:t>
                  </w:r>
                  <w:r>
                    <w:rPr>
                      <w:rFonts w:hint="default" w:ascii="Times New Roman" w:hAnsi="Times New Roman" w:cs="Times New Roman"/>
                      <w:b w:val="0"/>
                      <w:bCs w:val="0"/>
                      <w:color w:val="auto"/>
                      <w:sz w:val="18"/>
                      <w:szCs w:val="18"/>
                      <w:highlight w:val="none"/>
                      <w:vertAlign w:val="subscript"/>
                      <w:lang w:val="en-US" w:eastAsia="zh-CN"/>
                    </w:rPr>
                    <w:t>5</w:t>
                  </w:r>
                </w:p>
              </w:tc>
              <w:tc>
                <w:tcPr>
                  <w:tcW w:w="1724"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123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300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12"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49"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8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SS</w:t>
                  </w:r>
                </w:p>
              </w:tc>
              <w:tc>
                <w:tcPr>
                  <w:tcW w:w="1724"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123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400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12"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49"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78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LAS</w:t>
                  </w:r>
                </w:p>
              </w:tc>
              <w:tc>
                <w:tcPr>
                  <w:tcW w:w="1724" w:type="pct"/>
                  <w:vMerge w:val="continue"/>
                  <w:noWrap w:val="0"/>
                  <w:vAlign w:val="center"/>
                </w:tcPr>
                <w:p>
                  <w:pPr>
                    <w:pStyle w:val="75"/>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cs="Times New Roman"/>
                      <w:color w:val="auto"/>
                      <w:sz w:val="18"/>
                      <w:szCs w:val="18"/>
                      <w:highlight w:val="none"/>
                    </w:rPr>
                  </w:pPr>
                </w:p>
              </w:tc>
              <w:tc>
                <w:tcPr>
                  <w:tcW w:w="123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20</w:t>
                  </w:r>
                </w:p>
              </w:tc>
            </w:tr>
          </w:tbl>
          <w:p>
            <w:pPr>
              <w:pStyle w:val="28"/>
              <w:keepNext w:val="0"/>
              <w:keepLines w:val="0"/>
              <w:pageBreakBefore w:val="0"/>
              <w:widowControl w:val="0"/>
              <w:kinsoku/>
              <w:wordWrap/>
              <w:overflowPunct/>
              <w:topLinePunct w:val="0"/>
              <w:autoSpaceDE w:val="0"/>
              <w:autoSpaceDN w:val="0"/>
              <w:bidi w:val="0"/>
              <w:adjustRightInd/>
              <w:snapToGrid/>
              <w:spacing w:line="360" w:lineRule="auto"/>
              <w:ind w:left="0" w:leftChars="0" w:firstLine="422" w:firstLineChars="200"/>
              <w:jc w:val="both"/>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fldChar w:fldCharType="begin"/>
            </w:r>
            <w:r>
              <w:rPr>
                <w:rFonts w:hint="default" w:ascii="Times New Roman" w:hAnsi="Times New Roman" w:eastAsia="宋体" w:cs="Times New Roman"/>
                <w:b/>
                <w:bCs/>
                <w:color w:val="auto"/>
                <w:sz w:val="21"/>
                <w:szCs w:val="21"/>
                <w:highlight w:val="none"/>
                <w:lang w:eastAsia="zh-CN"/>
              </w:rPr>
              <w:instrText xml:space="preserve"> = 4 \* GB3 \* MERGEFORMAT </w:instrText>
            </w:r>
            <w:r>
              <w:rPr>
                <w:rFonts w:hint="default" w:ascii="Times New Roman" w:hAnsi="Times New Roman" w:eastAsia="宋体" w:cs="Times New Roman"/>
                <w:b/>
                <w:bCs/>
                <w:color w:val="auto"/>
                <w:sz w:val="21"/>
                <w:szCs w:val="21"/>
                <w:highlight w:val="none"/>
                <w:lang w:eastAsia="zh-CN"/>
              </w:rPr>
              <w:fldChar w:fldCharType="separate"/>
            </w:r>
            <w:r>
              <w:rPr>
                <w:rFonts w:hint="default" w:ascii="Times New Roman" w:hAnsi="Times New Roman" w:eastAsia="宋体" w:cs="Times New Roman"/>
                <w:b/>
                <w:bCs/>
                <w:color w:val="auto"/>
                <w:sz w:val="21"/>
                <w:szCs w:val="21"/>
                <w:highlight w:val="none"/>
              </w:rPr>
              <w:t>④</w:t>
            </w:r>
            <w:r>
              <w:rPr>
                <w:rFonts w:hint="default" w:ascii="Times New Roman" w:hAnsi="Times New Roman" w:eastAsia="宋体" w:cs="Times New Roman"/>
                <w:b/>
                <w:bCs/>
                <w:color w:val="auto"/>
                <w:sz w:val="21"/>
                <w:szCs w:val="21"/>
                <w:highlight w:val="none"/>
                <w:lang w:eastAsia="zh-CN"/>
              </w:rPr>
              <w:fldChar w:fldCharType="end"/>
            </w:r>
            <w:r>
              <w:rPr>
                <w:rFonts w:hint="default" w:ascii="Times New Roman" w:hAnsi="Times New Roman" w:eastAsia="宋体" w:cs="Times New Roman"/>
                <w:b/>
                <w:bCs/>
                <w:color w:val="auto"/>
                <w:sz w:val="21"/>
                <w:szCs w:val="21"/>
                <w:highlight w:val="none"/>
                <w:lang w:eastAsia="zh-CN"/>
              </w:rPr>
              <w:t>废水污染物排放信息表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废水污染物排放信息表</w:t>
            </w:r>
          </w:p>
          <w:tbl>
            <w:tblPr>
              <w:tblStyle w:val="22"/>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85"/>
              <w:gridCol w:w="1209"/>
              <w:gridCol w:w="1192"/>
              <w:gridCol w:w="1533"/>
              <w:gridCol w:w="1536"/>
              <w:gridCol w:w="153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排放口编号</w:t>
                  </w: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污染物种类</w:t>
                  </w:r>
                </w:p>
              </w:tc>
              <w:tc>
                <w:tcPr>
                  <w:tcW w:w="98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排放浓度/（mg/L）</w:t>
                  </w:r>
                </w:p>
              </w:tc>
              <w:tc>
                <w:tcPr>
                  <w:tcW w:w="98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日排放量/（</w:t>
                  </w:r>
                  <w:r>
                    <w:rPr>
                      <w:rFonts w:hint="eastAsia" w:cs="Times New Roman"/>
                      <w:color w:val="auto"/>
                      <w:sz w:val="18"/>
                      <w:szCs w:val="18"/>
                      <w:highlight w:val="none"/>
                      <w:lang w:val="en-US" w:eastAsia="zh-CN"/>
                    </w:rPr>
                    <w:t>kg</w:t>
                  </w:r>
                  <w:r>
                    <w:rPr>
                      <w:rFonts w:hint="default" w:ascii="Times New Roman" w:hAnsi="Times New Roman" w:cs="Times New Roman"/>
                      <w:color w:val="auto"/>
                      <w:sz w:val="18"/>
                      <w:szCs w:val="18"/>
                      <w:highlight w:val="none"/>
                    </w:rPr>
                    <w:t>/d）</w:t>
                  </w:r>
                </w:p>
              </w:tc>
              <w:tc>
                <w:tcPr>
                  <w:tcW w:w="98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年排放量/（t/a）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77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DW001</w:t>
                  </w:r>
                </w:p>
              </w:tc>
              <w:tc>
                <w:tcPr>
                  <w:tcW w:w="765" w:type="pct"/>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Times New Roman"/>
                      <w:snapToGrid w:val="0"/>
                      <w:color w:val="auto"/>
                      <w:kern w:val="21"/>
                      <w:sz w:val="18"/>
                      <w:szCs w:val="18"/>
                      <w:highlight w:val="none"/>
                      <w:lang w:val="en-US" w:eastAsia="zh-CN" w:bidi="ar-SA"/>
                    </w:rPr>
                  </w:pPr>
                  <w:r>
                    <w:rPr>
                      <w:rFonts w:hint="eastAsia" w:cs="Times New Roman"/>
                      <w:b w:val="0"/>
                      <w:bCs/>
                      <w:color w:val="auto"/>
                      <w:spacing w:val="-4"/>
                      <w:sz w:val="18"/>
                      <w:szCs w:val="18"/>
                      <w:highlight w:val="none"/>
                      <w:vertAlign w:val="baseline"/>
                      <w:lang w:val="en-US" w:eastAsia="zh-CN"/>
                    </w:rPr>
                    <w:t>COD</w:t>
                  </w:r>
                </w:p>
              </w:tc>
              <w:tc>
                <w:tcPr>
                  <w:tcW w:w="153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204.60</w:t>
                  </w:r>
                </w:p>
              </w:tc>
              <w:tc>
                <w:tcPr>
                  <w:tcW w:w="153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1.2987</w:t>
                  </w:r>
                </w:p>
              </w:tc>
              <w:tc>
                <w:tcPr>
                  <w:tcW w:w="15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0.3896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7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65" w:type="pct"/>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Times New Roman"/>
                      <w:snapToGrid w:val="0"/>
                      <w:color w:val="auto"/>
                      <w:kern w:val="21"/>
                      <w:sz w:val="18"/>
                      <w:szCs w:val="18"/>
                      <w:highlight w:val="none"/>
                      <w:lang w:val="en-US" w:eastAsia="zh-CN" w:bidi="ar-SA"/>
                    </w:rPr>
                  </w:pPr>
                  <w:r>
                    <w:rPr>
                      <w:rFonts w:hint="eastAsia" w:cs="Times New Roman"/>
                      <w:b w:val="0"/>
                      <w:bCs/>
                      <w:color w:val="auto"/>
                      <w:spacing w:val="-4"/>
                      <w:sz w:val="18"/>
                      <w:szCs w:val="18"/>
                      <w:highlight w:val="none"/>
                      <w:vertAlign w:val="baseline"/>
                      <w:lang w:val="en-US" w:eastAsia="zh-CN"/>
                    </w:rPr>
                    <w:t>BOD</w:t>
                  </w:r>
                  <w:r>
                    <w:rPr>
                      <w:rFonts w:hint="eastAsia" w:cs="Times New Roman"/>
                      <w:b w:val="0"/>
                      <w:bCs/>
                      <w:color w:val="auto"/>
                      <w:spacing w:val="-4"/>
                      <w:sz w:val="18"/>
                      <w:szCs w:val="18"/>
                      <w:highlight w:val="none"/>
                      <w:vertAlign w:val="subscript"/>
                      <w:lang w:val="en-US" w:eastAsia="zh-CN"/>
                    </w:rPr>
                    <w:t>5</w:t>
                  </w:r>
                </w:p>
              </w:tc>
              <w:tc>
                <w:tcPr>
                  <w:tcW w:w="153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23.84</w:t>
                  </w:r>
                </w:p>
              </w:tc>
              <w:tc>
                <w:tcPr>
                  <w:tcW w:w="153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0.1513</w:t>
                  </w:r>
                </w:p>
              </w:tc>
              <w:tc>
                <w:tcPr>
                  <w:tcW w:w="15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0.0454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7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65" w:type="pct"/>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Times New Roman"/>
                      <w:snapToGrid w:val="0"/>
                      <w:color w:val="auto"/>
                      <w:kern w:val="21"/>
                      <w:sz w:val="18"/>
                      <w:szCs w:val="18"/>
                      <w:highlight w:val="none"/>
                      <w:lang w:val="en-US" w:eastAsia="zh-CN" w:bidi="ar-SA"/>
                    </w:rPr>
                  </w:pPr>
                  <w:r>
                    <w:rPr>
                      <w:rFonts w:hint="eastAsia" w:cs="Times New Roman"/>
                      <w:b w:val="0"/>
                      <w:bCs/>
                      <w:color w:val="auto"/>
                      <w:spacing w:val="-4"/>
                      <w:sz w:val="18"/>
                      <w:szCs w:val="18"/>
                      <w:highlight w:val="none"/>
                      <w:vertAlign w:val="baseline"/>
                      <w:lang w:val="en-US" w:eastAsia="zh-CN"/>
                    </w:rPr>
                    <w:t>SS</w:t>
                  </w:r>
                </w:p>
              </w:tc>
              <w:tc>
                <w:tcPr>
                  <w:tcW w:w="153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92.32</w:t>
                  </w:r>
                </w:p>
              </w:tc>
              <w:tc>
                <w:tcPr>
                  <w:tcW w:w="153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0.5860</w:t>
                  </w:r>
                </w:p>
              </w:tc>
              <w:tc>
                <w:tcPr>
                  <w:tcW w:w="15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0.1758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7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65" w:type="pct"/>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Times New Roman"/>
                      <w:snapToGrid w:val="0"/>
                      <w:color w:val="auto"/>
                      <w:kern w:val="21"/>
                      <w:sz w:val="18"/>
                      <w:szCs w:val="18"/>
                      <w:highlight w:val="none"/>
                      <w:lang w:val="en-US" w:eastAsia="zh-CN" w:bidi="ar-SA"/>
                    </w:rPr>
                  </w:pPr>
                  <w:r>
                    <w:rPr>
                      <w:rFonts w:hint="eastAsia" w:cs="Times New Roman"/>
                      <w:b w:val="0"/>
                      <w:bCs/>
                      <w:color w:val="auto"/>
                      <w:spacing w:val="-4"/>
                      <w:sz w:val="18"/>
                      <w:szCs w:val="18"/>
                      <w:highlight w:val="none"/>
                      <w:vertAlign w:val="baseline"/>
                      <w:lang w:val="en-US" w:eastAsia="zh-CN"/>
                    </w:rPr>
                    <w:t>NH</w:t>
                  </w:r>
                  <w:r>
                    <w:rPr>
                      <w:rFonts w:hint="eastAsia" w:cs="Times New Roman"/>
                      <w:b w:val="0"/>
                      <w:bCs/>
                      <w:color w:val="auto"/>
                      <w:spacing w:val="-4"/>
                      <w:sz w:val="18"/>
                      <w:szCs w:val="18"/>
                      <w:highlight w:val="none"/>
                      <w:vertAlign w:val="subscript"/>
                      <w:lang w:val="en-US" w:eastAsia="zh-CN"/>
                    </w:rPr>
                    <w:t>3</w:t>
                  </w:r>
                  <w:r>
                    <w:rPr>
                      <w:rFonts w:hint="eastAsia" w:cs="Times New Roman"/>
                      <w:b w:val="0"/>
                      <w:bCs/>
                      <w:color w:val="auto"/>
                      <w:spacing w:val="-4"/>
                      <w:sz w:val="18"/>
                      <w:szCs w:val="18"/>
                      <w:highlight w:val="none"/>
                      <w:vertAlign w:val="baseline"/>
                      <w:lang w:val="en-US" w:eastAsia="zh-CN"/>
                    </w:rPr>
                    <w:t>-N</w:t>
                  </w:r>
                </w:p>
              </w:tc>
              <w:tc>
                <w:tcPr>
                  <w:tcW w:w="153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22.27</w:t>
                  </w:r>
                </w:p>
              </w:tc>
              <w:tc>
                <w:tcPr>
                  <w:tcW w:w="153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0.1413</w:t>
                  </w:r>
                </w:p>
              </w:tc>
              <w:tc>
                <w:tcPr>
                  <w:tcW w:w="15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0.0424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7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65" w:type="pct"/>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eastAsia="宋体" w:cs="Times New Roman"/>
                      <w:snapToGrid w:val="0"/>
                      <w:color w:val="auto"/>
                      <w:kern w:val="21"/>
                      <w:sz w:val="18"/>
                      <w:szCs w:val="18"/>
                      <w:highlight w:val="none"/>
                      <w:lang w:val="en-US" w:eastAsia="zh-CN" w:bidi="ar-SA"/>
                    </w:rPr>
                  </w:pPr>
                  <w:r>
                    <w:rPr>
                      <w:rFonts w:hint="eastAsia" w:cs="Times New Roman"/>
                      <w:b w:val="0"/>
                      <w:bCs/>
                      <w:color w:val="auto"/>
                      <w:spacing w:val="-4"/>
                      <w:sz w:val="18"/>
                      <w:szCs w:val="18"/>
                      <w:highlight w:val="none"/>
                      <w:vertAlign w:val="baseline"/>
                      <w:lang w:val="en-US" w:eastAsia="zh-CN"/>
                    </w:rPr>
                    <w:t>TP</w:t>
                  </w:r>
                </w:p>
              </w:tc>
              <w:tc>
                <w:tcPr>
                  <w:tcW w:w="153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1.84</w:t>
                  </w:r>
                </w:p>
              </w:tc>
              <w:tc>
                <w:tcPr>
                  <w:tcW w:w="153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0.0117</w:t>
                  </w:r>
                </w:p>
              </w:tc>
              <w:tc>
                <w:tcPr>
                  <w:tcW w:w="15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0.0035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7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765" w:type="pct"/>
                  <w:noWrap w:val="0"/>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eastAsia" w:cs="Times New Roman"/>
                      <w:b w:val="0"/>
                      <w:bCs/>
                      <w:color w:val="auto"/>
                      <w:spacing w:val="-4"/>
                      <w:sz w:val="18"/>
                      <w:szCs w:val="18"/>
                      <w:highlight w:val="none"/>
                      <w:vertAlign w:val="baseline"/>
                      <w:lang w:val="en-US" w:eastAsia="zh-CN"/>
                    </w:rPr>
                    <w:t>LAS</w:t>
                  </w:r>
                </w:p>
              </w:tc>
              <w:tc>
                <w:tcPr>
                  <w:tcW w:w="153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0.89</w:t>
                  </w:r>
                </w:p>
              </w:tc>
              <w:tc>
                <w:tcPr>
                  <w:tcW w:w="153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0.0057</w:t>
                  </w:r>
                </w:p>
              </w:tc>
              <w:tc>
                <w:tcPr>
                  <w:tcW w:w="15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0.0017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80"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全厂排放口合计</w:t>
                  </w:r>
                </w:p>
              </w:tc>
              <w:tc>
                <w:tcPr>
                  <w:tcW w:w="2735" w:type="pct"/>
                  <w:gridSpan w:val="3"/>
                  <w:noWrap w:val="0"/>
                  <w:vAlign w:val="center"/>
                </w:tcPr>
                <w:p>
                  <w:pPr>
                    <w:pStyle w:val="36"/>
                    <w:keepNext w:val="0"/>
                    <w:keepLines w:val="0"/>
                    <w:pageBreakBefore w:val="0"/>
                    <w:kinsoku/>
                    <w:wordWrap/>
                    <w:overflowPunct/>
                    <w:topLinePunct w:val="0"/>
                    <w:autoSpaceDE/>
                    <w:autoSpaceDN/>
                    <w:bidi w:val="0"/>
                    <w:adjustRightInd/>
                    <w:snapToGrid/>
                    <w:spacing w:beforeLines="0" w:afterLines="0" w:line="320" w:lineRule="exact"/>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COD</w:t>
                  </w:r>
                </w:p>
              </w:tc>
              <w:tc>
                <w:tcPr>
                  <w:tcW w:w="15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0.3896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80"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2735" w:type="pct"/>
                  <w:gridSpan w:val="3"/>
                  <w:noWrap w:val="0"/>
                  <w:vAlign w:val="center"/>
                </w:tcPr>
                <w:p>
                  <w:pPr>
                    <w:pStyle w:val="36"/>
                    <w:keepNext w:val="0"/>
                    <w:keepLines w:val="0"/>
                    <w:pageBreakBefore w:val="0"/>
                    <w:kinsoku/>
                    <w:wordWrap/>
                    <w:overflowPunct/>
                    <w:topLinePunct w:val="0"/>
                    <w:autoSpaceDE/>
                    <w:autoSpaceDN/>
                    <w:bidi w:val="0"/>
                    <w:adjustRightInd/>
                    <w:snapToGrid/>
                    <w:spacing w:beforeLines="0" w:afterLines="0" w:line="320" w:lineRule="exact"/>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BOD</w:t>
                  </w:r>
                  <w:r>
                    <w:rPr>
                      <w:rFonts w:hint="default" w:ascii="Times New Roman" w:hAnsi="Times New Roman" w:cs="Times New Roman"/>
                      <w:snapToGrid w:val="0"/>
                      <w:color w:val="auto"/>
                      <w:kern w:val="21"/>
                      <w:sz w:val="18"/>
                      <w:szCs w:val="18"/>
                      <w:highlight w:val="none"/>
                      <w:vertAlign w:val="subscript"/>
                      <w:lang w:val="en-US" w:eastAsia="zh-CN"/>
                    </w:rPr>
                    <w:t>5</w:t>
                  </w:r>
                </w:p>
              </w:tc>
              <w:tc>
                <w:tcPr>
                  <w:tcW w:w="15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0.0454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80"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2735" w:type="pct"/>
                  <w:gridSpan w:val="3"/>
                  <w:noWrap w:val="0"/>
                  <w:vAlign w:val="center"/>
                </w:tcPr>
                <w:p>
                  <w:pPr>
                    <w:pStyle w:val="36"/>
                    <w:keepNext w:val="0"/>
                    <w:keepLines w:val="0"/>
                    <w:pageBreakBefore w:val="0"/>
                    <w:kinsoku/>
                    <w:wordWrap/>
                    <w:overflowPunct/>
                    <w:topLinePunct w:val="0"/>
                    <w:autoSpaceDE/>
                    <w:autoSpaceDN/>
                    <w:bidi w:val="0"/>
                    <w:adjustRightInd/>
                    <w:snapToGrid/>
                    <w:spacing w:beforeLines="0" w:afterLines="0" w:line="320" w:lineRule="exact"/>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SS</w:t>
                  </w:r>
                </w:p>
              </w:tc>
              <w:tc>
                <w:tcPr>
                  <w:tcW w:w="15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0.1758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80"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2735" w:type="pct"/>
                  <w:gridSpan w:val="3"/>
                  <w:noWrap w:val="0"/>
                  <w:vAlign w:val="center"/>
                </w:tcPr>
                <w:p>
                  <w:pPr>
                    <w:pStyle w:val="36"/>
                    <w:keepNext w:val="0"/>
                    <w:keepLines w:val="0"/>
                    <w:pageBreakBefore w:val="0"/>
                    <w:kinsoku/>
                    <w:wordWrap/>
                    <w:overflowPunct/>
                    <w:topLinePunct w:val="0"/>
                    <w:autoSpaceDE/>
                    <w:autoSpaceDN/>
                    <w:bidi w:val="0"/>
                    <w:adjustRightInd/>
                    <w:snapToGrid/>
                    <w:spacing w:beforeLines="0" w:afterLines="0" w:line="320" w:lineRule="exact"/>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NH</w:t>
                  </w:r>
                  <w:r>
                    <w:rPr>
                      <w:rFonts w:hint="default" w:ascii="Times New Roman" w:hAnsi="Times New Roman" w:cs="Times New Roman"/>
                      <w:snapToGrid w:val="0"/>
                      <w:color w:val="auto"/>
                      <w:kern w:val="21"/>
                      <w:sz w:val="18"/>
                      <w:szCs w:val="18"/>
                      <w:highlight w:val="none"/>
                      <w:vertAlign w:val="subscript"/>
                      <w:lang w:val="en-US" w:eastAsia="zh-CN"/>
                    </w:rPr>
                    <w:t>3</w:t>
                  </w:r>
                  <w:r>
                    <w:rPr>
                      <w:rFonts w:hint="default" w:ascii="Times New Roman" w:hAnsi="Times New Roman" w:cs="Times New Roman"/>
                      <w:snapToGrid w:val="0"/>
                      <w:color w:val="auto"/>
                      <w:kern w:val="21"/>
                      <w:sz w:val="18"/>
                      <w:szCs w:val="18"/>
                      <w:highlight w:val="none"/>
                      <w:lang w:val="en-US" w:eastAsia="zh-CN"/>
                    </w:rPr>
                    <w:t>-N</w:t>
                  </w:r>
                </w:p>
              </w:tc>
              <w:tc>
                <w:tcPr>
                  <w:tcW w:w="15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0.0424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80"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2735" w:type="pct"/>
                  <w:gridSpan w:val="3"/>
                  <w:noWrap w:val="0"/>
                  <w:vAlign w:val="center"/>
                </w:tcPr>
                <w:p>
                  <w:pPr>
                    <w:pStyle w:val="36"/>
                    <w:keepNext w:val="0"/>
                    <w:keepLines w:val="0"/>
                    <w:pageBreakBefore w:val="0"/>
                    <w:kinsoku/>
                    <w:wordWrap/>
                    <w:overflowPunct/>
                    <w:topLinePunct w:val="0"/>
                    <w:autoSpaceDE/>
                    <w:autoSpaceDN/>
                    <w:bidi w:val="0"/>
                    <w:adjustRightInd/>
                    <w:snapToGrid/>
                    <w:spacing w:beforeLines="0" w:afterLines="0" w:line="320" w:lineRule="exact"/>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TP</w:t>
                  </w:r>
                </w:p>
              </w:tc>
              <w:tc>
                <w:tcPr>
                  <w:tcW w:w="15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0.0035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80"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2735" w:type="pct"/>
                  <w:gridSpan w:val="3"/>
                  <w:noWrap w:val="0"/>
                  <w:vAlign w:val="center"/>
                </w:tcPr>
                <w:p>
                  <w:pPr>
                    <w:pStyle w:val="36"/>
                    <w:keepNext w:val="0"/>
                    <w:keepLines w:val="0"/>
                    <w:pageBreakBefore w:val="0"/>
                    <w:kinsoku/>
                    <w:wordWrap/>
                    <w:overflowPunct/>
                    <w:topLinePunct w:val="0"/>
                    <w:autoSpaceDE/>
                    <w:autoSpaceDN/>
                    <w:bidi w:val="0"/>
                    <w:adjustRightInd/>
                    <w:snapToGrid/>
                    <w:spacing w:beforeLines="0" w:afterLines="0" w:line="320" w:lineRule="exact"/>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LAS</w:t>
                  </w:r>
                </w:p>
              </w:tc>
              <w:tc>
                <w:tcPr>
                  <w:tcW w:w="153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0.0017</w:t>
                  </w:r>
                </w:p>
              </w:tc>
            </w:tr>
          </w:tbl>
          <w:p>
            <w:pPr>
              <w:pStyle w:val="3"/>
              <w:keepNext w:val="0"/>
              <w:keepLines w:val="0"/>
              <w:pageBreakBefore w:val="0"/>
              <w:widowControl w:val="0"/>
              <w:numPr>
                <w:ilvl w:val="2"/>
                <w:numId w:val="0"/>
              </w:numPr>
              <w:kinsoku/>
              <w:wordWrap/>
              <w:overflowPunct/>
              <w:topLinePunct w:val="0"/>
              <w:autoSpaceDE/>
              <w:autoSpaceDN/>
              <w:bidi w:val="0"/>
              <w:adjustRightInd/>
              <w:snapToGrid/>
              <w:spacing w:before="0" w:after="0" w:line="360" w:lineRule="auto"/>
              <w:ind w:leftChars="0" w:right="0" w:rightChars="0" w:firstLine="406" w:firstLineChars="200"/>
              <w:textAlignment w:val="auto"/>
              <w:rPr>
                <w:rFonts w:hint="default" w:ascii="Times New Roman" w:hAnsi="Times New Roman" w:cs="Times New Roman"/>
                <w:b/>
                <w:bCs w:val="0"/>
                <w:color w:val="auto"/>
                <w:spacing w:val="-4"/>
                <w:sz w:val="21"/>
                <w:szCs w:val="21"/>
                <w:highlight w:val="none"/>
                <w:lang w:eastAsia="zh-CN"/>
              </w:rPr>
            </w:pPr>
            <w:r>
              <w:rPr>
                <w:rFonts w:hint="default" w:ascii="Times New Roman" w:hAnsi="Times New Roman" w:cs="Times New Roman"/>
                <w:b/>
                <w:bCs w:val="0"/>
                <w:color w:val="auto"/>
                <w:spacing w:val="-4"/>
                <w:sz w:val="21"/>
                <w:szCs w:val="21"/>
                <w:highlight w:val="none"/>
                <w:lang w:eastAsia="zh-CN"/>
              </w:rPr>
              <w:t>（</w:t>
            </w:r>
            <w:r>
              <w:rPr>
                <w:rFonts w:hint="default" w:ascii="Times New Roman" w:hAnsi="Times New Roman" w:cs="Times New Roman"/>
                <w:b/>
                <w:bCs w:val="0"/>
                <w:color w:val="auto"/>
                <w:spacing w:val="-4"/>
                <w:sz w:val="21"/>
                <w:szCs w:val="21"/>
                <w:highlight w:val="none"/>
                <w:lang w:val="en-US" w:eastAsia="zh-CN"/>
              </w:rPr>
              <w:t>7</w:t>
            </w:r>
            <w:r>
              <w:rPr>
                <w:rFonts w:hint="default" w:ascii="Times New Roman" w:hAnsi="Times New Roman" w:cs="Times New Roman"/>
                <w:b/>
                <w:bCs w:val="0"/>
                <w:color w:val="auto"/>
                <w:spacing w:val="-4"/>
                <w:sz w:val="21"/>
                <w:szCs w:val="21"/>
                <w:highlight w:val="none"/>
                <w:lang w:eastAsia="zh-CN"/>
              </w:rPr>
              <w:t>）监测要求</w:t>
            </w:r>
          </w:p>
          <w:p>
            <w:pPr>
              <w:pStyle w:val="3"/>
              <w:keepNext w:val="0"/>
              <w:keepLines w:val="0"/>
              <w:pageBreakBefore w:val="0"/>
              <w:widowControl w:val="0"/>
              <w:numPr>
                <w:ilvl w:val="2"/>
                <w:numId w:val="0"/>
              </w:numPr>
              <w:kinsoku/>
              <w:wordWrap/>
              <w:overflowPunct/>
              <w:topLinePunct w:val="0"/>
              <w:autoSpaceDE/>
              <w:autoSpaceDN/>
              <w:bidi w:val="0"/>
              <w:adjustRightInd/>
              <w:snapToGrid/>
              <w:spacing w:before="0" w:after="0" w:line="360" w:lineRule="auto"/>
              <w:ind w:leftChars="0" w:right="0" w:rightChars="0" w:firstLine="420" w:firstLineChars="200"/>
              <w:textAlignment w:val="auto"/>
              <w:rPr>
                <w:rFonts w:hint="default" w:ascii="Times New Roman" w:hAnsi="Times New Roman" w:cs="Times New Roman"/>
                <w:b w:val="0"/>
                <w:bCs/>
                <w:color w:val="auto"/>
                <w:spacing w:val="-4"/>
                <w:sz w:val="21"/>
                <w:szCs w:val="21"/>
                <w:highlight w:val="none"/>
                <w:lang w:eastAsia="zh-CN"/>
              </w:rPr>
            </w:pPr>
            <w:r>
              <w:rPr>
                <w:rFonts w:hint="default" w:ascii="Times New Roman" w:hAnsi="Times New Roman" w:eastAsia="宋体" w:cs="Times New Roman"/>
                <w:b w:val="0"/>
                <w:bCs w:val="0"/>
                <w:color w:val="auto"/>
                <w:sz w:val="21"/>
                <w:szCs w:val="21"/>
                <w:highlight w:val="none"/>
                <w:vertAlign w:val="baseline"/>
                <w:lang w:eastAsia="zh-CN"/>
              </w:rPr>
              <w:t>参</w:t>
            </w:r>
            <w:r>
              <w:rPr>
                <w:rFonts w:hint="default" w:ascii="Times New Roman" w:hAnsi="Times New Roman" w:eastAsia="宋体" w:cs="Times New Roman"/>
                <w:b w:val="0"/>
                <w:bCs w:val="0"/>
                <w:color w:val="auto"/>
                <w:spacing w:val="4"/>
                <w:kern w:val="2"/>
                <w:sz w:val="21"/>
                <w:szCs w:val="21"/>
                <w:highlight w:val="none"/>
                <w:lang w:val="en-US" w:eastAsia="zh-CN" w:bidi="ar-SA"/>
              </w:rPr>
              <w:t>考</w:t>
            </w:r>
            <w:r>
              <w:rPr>
                <w:rFonts w:hint="default" w:ascii="Times New Roman" w:hAnsi="Times New Roman" w:eastAsia="宋体" w:cs="Times New Roman"/>
                <w:b w:val="0"/>
                <w:bCs w:val="0"/>
                <w:color w:val="auto"/>
                <w:sz w:val="21"/>
                <w:szCs w:val="21"/>
                <w:highlight w:val="none"/>
                <w:vertAlign w:val="baseline"/>
                <w:lang w:val="en-US" w:eastAsia="zh-CN"/>
              </w:rPr>
              <w:t>《排污单位自行监测技术指南</w:t>
            </w:r>
            <w:r>
              <w:rPr>
                <w:rFonts w:hint="default" w:ascii="Times New Roman" w:hAnsi="Times New Roman"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总则》（HJ 819-2017）</w:t>
            </w:r>
            <w:r>
              <w:rPr>
                <w:rFonts w:hint="default" w:ascii="Times New Roman" w:hAnsi="Times New Roman" w:eastAsia="宋体" w:cs="Times New Roman"/>
                <w:b w:val="0"/>
                <w:bCs w:val="0"/>
                <w:color w:val="auto"/>
                <w:spacing w:val="4"/>
                <w:kern w:val="2"/>
                <w:sz w:val="21"/>
                <w:szCs w:val="21"/>
                <w:highlight w:val="none"/>
                <w:lang w:val="en-US" w:eastAsia="zh-CN" w:bidi="ar-SA"/>
              </w:rPr>
              <w:t>相</w:t>
            </w:r>
            <w:r>
              <w:rPr>
                <w:rFonts w:hint="default" w:ascii="Times New Roman" w:hAnsi="Times New Roman" w:eastAsia="宋体" w:cs="Times New Roman"/>
                <w:b w:val="0"/>
                <w:bCs w:val="0"/>
                <w:color w:val="auto"/>
                <w:sz w:val="21"/>
                <w:szCs w:val="21"/>
                <w:highlight w:val="none"/>
                <w:vertAlign w:val="baseline"/>
                <w:lang w:eastAsia="zh-CN"/>
              </w:rPr>
              <w:t>关要求，</w:t>
            </w:r>
            <w:r>
              <w:rPr>
                <w:rFonts w:hint="default" w:ascii="Times New Roman" w:hAnsi="Times New Roman" w:cs="Times New Roman"/>
                <w:b w:val="0"/>
                <w:bCs/>
                <w:color w:val="auto"/>
                <w:spacing w:val="-4"/>
                <w:sz w:val="21"/>
                <w:szCs w:val="21"/>
                <w:highlight w:val="none"/>
                <w:lang w:eastAsia="zh-CN"/>
              </w:rPr>
              <w:t>项目废水监测要求如下：</w:t>
            </w:r>
          </w:p>
          <w:p>
            <w:pPr>
              <w:rPr>
                <w:rFonts w:hint="default"/>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 xml:space="preserve"> 废水监测计划表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229"/>
              <w:gridCol w:w="1786"/>
              <w:gridCol w:w="944"/>
              <w:gridCol w:w="28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eastAsia" w:cs="Times New Roman"/>
                      <w:color w:val="auto"/>
                      <w:kern w:val="0"/>
                      <w:sz w:val="18"/>
                      <w:szCs w:val="18"/>
                      <w:highlight w:val="none"/>
                      <w:lang w:eastAsia="zh-CN"/>
                    </w:rPr>
                    <w:t>编号</w:t>
                  </w:r>
                </w:p>
              </w:tc>
              <w:tc>
                <w:tcPr>
                  <w:tcW w:w="789"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eastAsia="zh-CN"/>
                    </w:rPr>
                  </w:pPr>
                  <w:r>
                    <w:rPr>
                      <w:rFonts w:hint="eastAsia" w:cs="Times New Roman"/>
                      <w:color w:val="auto"/>
                      <w:kern w:val="0"/>
                      <w:sz w:val="18"/>
                      <w:szCs w:val="18"/>
                      <w:highlight w:val="none"/>
                      <w:lang w:eastAsia="zh-CN"/>
                    </w:rPr>
                    <w:t>监测点位</w:t>
                  </w:r>
                </w:p>
              </w:tc>
              <w:tc>
                <w:tcPr>
                  <w:tcW w:w="114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监测</w:t>
                  </w:r>
                  <w:r>
                    <w:rPr>
                      <w:rFonts w:hint="default" w:ascii="Times New Roman" w:hAnsi="Times New Roman" w:cs="Times New Roman"/>
                      <w:color w:val="auto"/>
                      <w:kern w:val="0"/>
                      <w:sz w:val="18"/>
                      <w:szCs w:val="18"/>
                      <w:highlight w:val="none"/>
                      <w:lang w:eastAsia="zh-CN"/>
                    </w:rPr>
                    <w:t>项目</w:t>
                  </w:r>
                </w:p>
              </w:tc>
              <w:tc>
                <w:tcPr>
                  <w:tcW w:w="60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监测频次</w:t>
                  </w:r>
                </w:p>
              </w:tc>
              <w:tc>
                <w:tcPr>
                  <w:tcW w:w="184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0"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DW001</w:t>
                  </w:r>
                </w:p>
              </w:tc>
              <w:tc>
                <w:tcPr>
                  <w:tcW w:w="789"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Cs/>
                      <w:color w:val="auto"/>
                      <w:sz w:val="18"/>
                      <w:szCs w:val="18"/>
                      <w:highlight w:val="none"/>
                      <w:lang w:eastAsia="zh-CN"/>
                    </w:rPr>
                  </w:pPr>
                  <w:r>
                    <w:rPr>
                      <w:rFonts w:hint="eastAsia" w:cs="Times New Roman"/>
                      <w:bCs/>
                      <w:color w:val="auto"/>
                      <w:sz w:val="18"/>
                      <w:szCs w:val="18"/>
                      <w:highlight w:val="none"/>
                      <w:lang w:eastAsia="zh-CN"/>
                    </w:rPr>
                    <w:t>厂区总排口</w:t>
                  </w:r>
                </w:p>
              </w:tc>
              <w:tc>
                <w:tcPr>
                  <w:tcW w:w="114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pH、COD、BOD</w:t>
                  </w:r>
                  <w:r>
                    <w:rPr>
                      <w:rFonts w:hint="default" w:ascii="Times New Roman" w:hAnsi="Times New Roman" w:cs="Times New Roman"/>
                      <w:color w:val="auto"/>
                      <w:kern w:val="0"/>
                      <w:sz w:val="18"/>
                      <w:szCs w:val="18"/>
                      <w:highlight w:val="none"/>
                      <w:vertAlign w:val="subscript"/>
                      <w:lang w:val="en-US" w:eastAsia="zh-CN"/>
                    </w:rPr>
                    <w:t>5</w:t>
                  </w:r>
                  <w:r>
                    <w:rPr>
                      <w:rFonts w:hint="default" w:ascii="Times New Roman" w:hAnsi="Times New Roman" w:cs="Times New Roman"/>
                      <w:color w:val="auto"/>
                      <w:kern w:val="0"/>
                      <w:sz w:val="18"/>
                      <w:szCs w:val="18"/>
                      <w:highlight w:val="none"/>
                      <w:lang w:val="en-US" w:eastAsia="zh-CN"/>
                    </w:rPr>
                    <w:t>、SS、NH</w:t>
                  </w:r>
                  <w:r>
                    <w:rPr>
                      <w:rFonts w:hint="default" w:ascii="Times New Roman" w:hAnsi="Times New Roman" w:cs="Times New Roman"/>
                      <w:color w:val="auto"/>
                      <w:kern w:val="0"/>
                      <w:sz w:val="18"/>
                      <w:szCs w:val="18"/>
                      <w:highlight w:val="none"/>
                      <w:vertAlign w:val="subscript"/>
                      <w:lang w:val="en-US" w:eastAsia="zh-CN"/>
                    </w:rPr>
                    <w:t>3</w:t>
                  </w:r>
                  <w:r>
                    <w:rPr>
                      <w:rFonts w:hint="default" w:ascii="Times New Roman" w:hAnsi="Times New Roman" w:cs="Times New Roman"/>
                      <w:color w:val="auto"/>
                      <w:kern w:val="0"/>
                      <w:sz w:val="18"/>
                      <w:szCs w:val="18"/>
                      <w:highlight w:val="none"/>
                      <w:lang w:val="en-US" w:eastAsia="zh-CN"/>
                    </w:rPr>
                    <w:t>-N、TP、LAS</w:t>
                  </w:r>
                </w:p>
              </w:tc>
              <w:tc>
                <w:tcPr>
                  <w:tcW w:w="606"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w:t>
                  </w:r>
                  <w:r>
                    <w:rPr>
                      <w:rFonts w:hint="default" w:ascii="Times New Roman" w:hAnsi="Times New Roman" w:cs="Times New Roman"/>
                      <w:color w:val="auto"/>
                      <w:kern w:val="0"/>
                      <w:sz w:val="18"/>
                      <w:szCs w:val="18"/>
                      <w:highlight w:val="none"/>
                      <w:lang w:eastAsia="zh-CN"/>
                    </w:rPr>
                    <w:t>次</w:t>
                  </w:r>
                  <w:r>
                    <w:rPr>
                      <w:rFonts w:hint="default" w:ascii="Times New Roman" w:hAnsi="Times New Roman" w:cs="Times New Roman"/>
                      <w:color w:val="auto"/>
                      <w:kern w:val="0"/>
                      <w:sz w:val="18"/>
                      <w:szCs w:val="18"/>
                      <w:highlight w:val="none"/>
                      <w:lang w:val="en-US" w:eastAsia="zh-CN"/>
                    </w:rPr>
                    <w:t>/半年</w:t>
                  </w:r>
                </w:p>
              </w:tc>
              <w:tc>
                <w:tcPr>
                  <w:tcW w:w="1846"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Cs/>
                      <w:color w:val="auto"/>
                      <w:sz w:val="18"/>
                      <w:szCs w:val="18"/>
                      <w:highlight w:val="none"/>
                      <w:lang w:val="zh-CN"/>
                    </w:rPr>
                  </w:pPr>
                  <w:r>
                    <w:rPr>
                      <w:rFonts w:hint="default" w:ascii="Times New Roman" w:hAnsi="Times New Roman" w:cs="Times New Roman"/>
                      <w:b w:val="0"/>
                      <w:bCs w:val="0"/>
                      <w:color w:val="auto"/>
                      <w:sz w:val="18"/>
                      <w:szCs w:val="18"/>
                      <w:highlight w:val="none"/>
                      <w:lang w:eastAsia="zh-CN"/>
                    </w:rPr>
                    <w:t>《污水综合排放标准》（</w:t>
                  </w:r>
                  <w:r>
                    <w:rPr>
                      <w:rFonts w:hint="default" w:ascii="Times New Roman" w:hAnsi="Times New Roman" w:cs="Times New Roman"/>
                      <w:b w:val="0"/>
                      <w:bCs w:val="0"/>
                      <w:color w:val="auto"/>
                      <w:sz w:val="18"/>
                      <w:szCs w:val="18"/>
                      <w:highlight w:val="none"/>
                      <w:lang w:val="en-US" w:eastAsia="zh-CN"/>
                    </w:rPr>
                    <w:t>GB8978-1996</w:t>
                  </w:r>
                  <w:r>
                    <w:rPr>
                      <w:rFonts w:hint="default" w:ascii="Times New Roman" w:hAnsi="Times New Roman" w:cs="Times New Roman"/>
                      <w:b w:val="0"/>
                      <w:bCs w:val="0"/>
                      <w:color w:val="auto"/>
                      <w:sz w:val="18"/>
                      <w:szCs w:val="18"/>
                      <w:highlight w:val="none"/>
                      <w:lang w:eastAsia="zh-CN"/>
                    </w:rPr>
                    <w:t>）表</w:t>
                  </w:r>
                  <w:r>
                    <w:rPr>
                      <w:rFonts w:hint="default" w:ascii="Times New Roman" w:hAnsi="Times New Roman" w:cs="Times New Roman"/>
                      <w:b w:val="0"/>
                      <w:bCs w:val="0"/>
                      <w:color w:val="auto"/>
                      <w:sz w:val="18"/>
                      <w:szCs w:val="18"/>
                      <w:highlight w:val="none"/>
                      <w:lang w:val="en-US" w:eastAsia="zh-CN"/>
                    </w:rPr>
                    <w:t>4</w:t>
                  </w:r>
                  <w:r>
                    <w:rPr>
                      <w:rFonts w:hint="default" w:ascii="Times New Roman" w:hAnsi="Times New Roman" w:cs="Times New Roman"/>
                      <w:b w:val="0"/>
                      <w:bCs w:val="0"/>
                      <w:color w:val="auto"/>
                      <w:sz w:val="18"/>
                      <w:szCs w:val="18"/>
                      <w:highlight w:val="none"/>
                      <w:lang w:eastAsia="zh-CN"/>
                    </w:rPr>
                    <w:t>三级标准</w:t>
                  </w:r>
                  <w:r>
                    <w:rPr>
                      <w:rFonts w:hint="default" w:ascii="Times New Roman" w:hAnsi="Times New Roman" w:cs="Times New Roman"/>
                      <w:bCs/>
                      <w:color w:val="auto"/>
                      <w:sz w:val="18"/>
                      <w:szCs w:val="18"/>
                      <w:highlight w:val="none"/>
                      <w:lang w:val="zh-CN"/>
                    </w:rPr>
                    <w:t>、新乡县综合污水处理厂收水标准</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val="en-US" w:eastAsia="zh-CN"/>
              </w:rPr>
              <w:t>2、</w:t>
            </w:r>
            <w:r>
              <w:rPr>
                <w:rFonts w:hint="default" w:ascii="Times New Roman" w:hAnsi="Times New Roman" w:cs="Times New Roman"/>
                <w:b/>
                <w:color w:val="auto"/>
                <w:kern w:val="0"/>
                <w:sz w:val="21"/>
                <w:szCs w:val="21"/>
                <w:highlight w:val="none"/>
              </w:rPr>
              <w:t>噪声</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2" w:firstLineChars="200"/>
              <w:textAlignment w:val="auto"/>
              <w:rPr>
                <w:rFonts w:hint="default" w:ascii="Times New Roman" w:hAnsi="Times New Roman" w:cs="Times New Roman"/>
                <w:bCs/>
                <w:color w:val="auto"/>
                <w:kern w:val="0"/>
                <w:sz w:val="21"/>
                <w:szCs w:val="21"/>
                <w:highlight w:val="none"/>
              </w:rPr>
            </w:pPr>
            <w:r>
              <w:rPr>
                <w:rFonts w:hint="eastAsia" w:cs="Times New Roman"/>
                <w:b/>
                <w:bCs/>
                <w:color w:val="auto"/>
                <w:kern w:val="0"/>
                <w:sz w:val="21"/>
                <w:szCs w:val="21"/>
                <w:highlight w:val="none"/>
                <w:lang w:val="en-US" w:eastAsia="zh-CN"/>
              </w:rPr>
              <w:t>2.1</w:t>
            </w:r>
            <w:r>
              <w:rPr>
                <w:rFonts w:hint="default" w:ascii="Times New Roman" w:hAnsi="Times New Roman" w:cs="Times New Roman"/>
                <w:b/>
                <w:bCs/>
                <w:color w:val="auto"/>
                <w:kern w:val="0"/>
                <w:sz w:val="21"/>
                <w:szCs w:val="21"/>
                <w:highlight w:val="none"/>
              </w:rPr>
              <w:t>噪声污染源及治理措施</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textAlignment w:val="auto"/>
              <w:rPr>
                <w:rFonts w:hint="default" w:ascii="Times New Roman" w:hAnsi="Times New Roman" w:eastAsia="宋体" w:cs="Times New Roman"/>
                <w:color w:val="auto"/>
                <w:kern w:val="0"/>
                <w:sz w:val="18"/>
                <w:szCs w:val="20"/>
                <w:highlight w:val="none"/>
                <w:vertAlign w:val="baseline"/>
                <w:lang w:val="en-US" w:eastAsia="zh-CN" w:bidi="ar-SA"/>
              </w:rPr>
            </w:pPr>
            <w:r>
              <w:rPr>
                <w:rFonts w:hint="eastAsia" w:cs="Times New Roman"/>
                <w:bCs/>
                <w:color w:val="auto"/>
                <w:kern w:val="0"/>
                <w:sz w:val="21"/>
                <w:szCs w:val="21"/>
                <w:highlight w:val="none"/>
                <w:lang w:eastAsia="zh-CN"/>
              </w:rPr>
              <w:t>本次技改后新增</w:t>
            </w:r>
            <w:r>
              <w:rPr>
                <w:rFonts w:hint="default" w:ascii="Times New Roman" w:hAnsi="Times New Roman" w:cs="Times New Roman"/>
                <w:bCs/>
                <w:color w:val="auto"/>
                <w:kern w:val="0"/>
                <w:sz w:val="21"/>
                <w:szCs w:val="21"/>
                <w:highlight w:val="none"/>
              </w:rPr>
              <w:t>噪声主要来自</w:t>
            </w:r>
            <w:r>
              <w:rPr>
                <w:rFonts w:hint="eastAsia" w:cs="Times New Roman"/>
                <w:bCs/>
                <w:color w:val="auto"/>
                <w:kern w:val="0"/>
                <w:sz w:val="21"/>
                <w:szCs w:val="21"/>
                <w:highlight w:val="none"/>
                <w:lang w:eastAsia="zh-CN"/>
              </w:rPr>
              <w:t>新增</w:t>
            </w:r>
            <w:r>
              <w:rPr>
                <w:rFonts w:hint="default" w:ascii="Times New Roman" w:hAnsi="Times New Roman" w:cs="Times New Roman"/>
                <w:bCs/>
                <w:color w:val="auto"/>
                <w:kern w:val="0"/>
                <w:sz w:val="21"/>
                <w:szCs w:val="21"/>
                <w:highlight w:val="none"/>
                <w:lang w:eastAsia="zh-CN"/>
              </w:rPr>
              <w:t>抛光机、</w:t>
            </w:r>
            <w:r>
              <w:rPr>
                <w:rFonts w:hint="eastAsia" w:cs="Times New Roman"/>
                <w:bCs/>
                <w:color w:val="auto"/>
                <w:kern w:val="0"/>
                <w:sz w:val="21"/>
                <w:szCs w:val="21"/>
                <w:highlight w:val="none"/>
                <w:lang w:eastAsia="zh-CN"/>
              </w:rPr>
              <w:t>高速抛光机、</w:t>
            </w:r>
            <w:r>
              <w:rPr>
                <w:rFonts w:hint="default" w:ascii="Times New Roman" w:hAnsi="Times New Roman" w:cs="Times New Roman"/>
                <w:bCs/>
                <w:color w:val="auto"/>
                <w:kern w:val="0"/>
                <w:sz w:val="21"/>
                <w:szCs w:val="21"/>
                <w:highlight w:val="none"/>
                <w:lang w:eastAsia="zh-CN"/>
              </w:rPr>
              <w:t>磨</w:t>
            </w:r>
            <w:r>
              <w:rPr>
                <w:rFonts w:hint="eastAsia" w:cs="Times New Roman"/>
                <w:bCs/>
                <w:color w:val="auto"/>
                <w:kern w:val="0"/>
                <w:sz w:val="21"/>
                <w:szCs w:val="21"/>
                <w:highlight w:val="none"/>
                <w:lang w:eastAsia="zh-CN"/>
              </w:rPr>
              <w:t>砂</w:t>
            </w:r>
            <w:r>
              <w:rPr>
                <w:rFonts w:hint="default" w:ascii="Times New Roman" w:hAnsi="Times New Roman" w:cs="Times New Roman"/>
                <w:bCs/>
                <w:color w:val="auto"/>
                <w:kern w:val="0"/>
                <w:sz w:val="21"/>
                <w:szCs w:val="21"/>
                <w:highlight w:val="none"/>
                <w:lang w:eastAsia="zh-CN"/>
              </w:rPr>
              <w:t>机、</w:t>
            </w:r>
            <w:r>
              <w:rPr>
                <w:rFonts w:hint="eastAsia" w:cs="Times New Roman"/>
                <w:bCs/>
                <w:color w:val="auto"/>
                <w:kern w:val="0"/>
                <w:sz w:val="21"/>
                <w:szCs w:val="21"/>
                <w:highlight w:val="none"/>
                <w:lang w:eastAsia="zh-CN"/>
              </w:rPr>
              <w:t>灯杯数控机、灯杯</w:t>
            </w:r>
            <w:r>
              <w:rPr>
                <w:rFonts w:hint="default" w:ascii="Times New Roman" w:hAnsi="Times New Roman" w:cs="Times New Roman"/>
                <w:bCs/>
                <w:color w:val="auto"/>
                <w:kern w:val="0"/>
                <w:sz w:val="21"/>
                <w:szCs w:val="21"/>
                <w:highlight w:val="none"/>
                <w:lang w:eastAsia="zh-CN"/>
              </w:rPr>
              <w:t>抛光机、</w:t>
            </w:r>
            <w:r>
              <w:rPr>
                <w:rFonts w:hint="eastAsia" w:cs="Times New Roman"/>
                <w:bCs/>
                <w:color w:val="auto"/>
                <w:kern w:val="0"/>
                <w:sz w:val="21"/>
                <w:szCs w:val="21"/>
                <w:highlight w:val="none"/>
                <w:lang w:eastAsia="zh-CN"/>
              </w:rPr>
              <w:t>内圆切割机及泵机</w:t>
            </w:r>
            <w:r>
              <w:rPr>
                <w:rFonts w:hint="default" w:ascii="Times New Roman" w:hAnsi="Times New Roman" w:cs="Times New Roman"/>
                <w:bCs/>
                <w:color w:val="auto"/>
                <w:kern w:val="0"/>
                <w:sz w:val="21"/>
                <w:szCs w:val="21"/>
                <w:highlight w:val="none"/>
                <w:lang w:eastAsia="zh-CN"/>
              </w:rPr>
              <w:t>等</w:t>
            </w:r>
            <w:r>
              <w:rPr>
                <w:rFonts w:hint="default" w:ascii="Times New Roman" w:hAnsi="Times New Roman" w:cs="Times New Roman"/>
                <w:bCs/>
                <w:color w:val="auto"/>
                <w:kern w:val="0"/>
                <w:sz w:val="21"/>
                <w:szCs w:val="21"/>
                <w:highlight w:val="none"/>
              </w:rPr>
              <w:t>高噪声设备运行产生的噪声。通过设置减振基础和厂房隔声等措施，可将噪声削减</w:t>
            </w:r>
            <w:r>
              <w:rPr>
                <w:rFonts w:hint="default" w:ascii="Times New Roman" w:hAnsi="Times New Roman" w:cs="Times New Roman"/>
                <w:bCs/>
                <w:color w:val="auto"/>
                <w:kern w:val="0"/>
                <w:sz w:val="21"/>
                <w:szCs w:val="21"/>
                <w:highlight w:val="none"/>
                <w:lang w:val="en-US" w:eastAsia="zh-CN"/>
              </w:rPr>
              <w:t>20</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val="en-US" w:eastAsia="zh-CN"/>
              </w:rPr>
              <w:t>30</w:t>
            </w:r>
            <w:r>
              <w:rPr>
                <w:rFonts w:hint="default" w:ascii="Times New Roman" w:hAnsi="Times New Roman" w:cs="Times New Roman"/>
                <w:bCs/>
                <w:color w:val="auto"/>
                <w:kern w:val="0"/>
                <w:sz w:val="21"/>
                <w:szCs w:val="21"/>
                <w:highlight w:val="none"/>
              </w:rPr>
              <w:t>dB（A）。本次工程主要设备的噪声值及经过降噪措施处理后的噪声值见下表。</w:t>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r>
              <w:rPr>
                <w:rFonts w:hint="default" w:ascii="Times New Roman" w:hAnsi="Times New Roman" w:cs="Times New Roman"/>
                <w:bCs/>
                <w:color w:val="auto"/>
                <w:kern w:val="0"/>
                <w:sz w:val="21"/>
                <w:szCs w:val="21"/>
                <w:highlight w:val="none"/>
              </w:rPr>
              <w:br w:type="textWrapping"/>
            </w:r>
          </w:p>
        </w:tc>
      </w:tr>
    </w:tbl>
    <w:p>
      <w:pPr>
        <w:rPr>
          <w:rFonts w:hint="default" w:ascii="Times New Roman" w:hAnsi="Times New Roman" w:cs="Times New Roman"/>
          <w:color w:val="auto"/>
          <w:highlight w:val="cyan"/>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6" w:type="dxa"/>
          </w:tcPr>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主要噪声源强及治理情况一览表</w:t>
            </w:r>
          </w:p>
          <w:tbl>
            <w:tblPr>
              <w:tblStyle w:val="23"/>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06"/>
              <w:gridCol w:w="570"/>
              <w:gridCol w:w="1466"/>
              <w:gridCol w:w="1166"/>
              <w:gridCol w:w="742"/>
              <w:gridCol w:w="1166"/>
              <w:gridCol w:w="745"/>
              <w:gridCol w:w="745"/>
              <w:gridCol w:w="745"/>
              <w:gridCol w:w="830"/>
              <w:gridCol w:w="830"/>
              <w:gridCol w:w="1211"/>
              <w:gridCol w:w="875"/>
              <w:gridCol w:w="811"/>
              <w:gridCol w:w="82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191"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eastAsia="zh-CN"/>
                    </w:rPr>
                  </w:pPr>
                  <w:r>
                    <w:rPr>
                      <w:rFonts w:hint="default" w:ascii="Times New Roman" w:hAnsi="Times New Roman" w:eastAsia="宋体" w:cs="Times New Roman"/>
                      <w:b w:val="0"/>
                      <w:bCs/>
                      <w:color w:val="auto"/>
                      <w:kern w:val="0"/>
                      <w:sz w:val="18"/>
                      <w:szCs w:val="18"/>
                      <w:vertAlign w:val="baseline"/>
                      <w:lang w:eastAsia="zh-CN"/>
                    </w:rPr>
                    <w:t>序号</w:t>
                  </w:r>
                </w:p>
              </w:tc>
              <w:tc>
                <w:tcPr>
                  <w:tcW w:w="215"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eastAsia="zh-CN"/>
                    </w:rPr>
                  </w:pPr>
                  <w:r>
                    <w:rPr>
                      <w:rFonts w:hint="default" w:ascii="Times New Roman" w:hAnsi="Times New Roman" w:eastAsia="宋体" w:cs="Times New Roman"/>
                      <w:b w:val="0"/>
                      <w:bCs/>
                      <w:color w:val="auto"/>
                      <w:kern w:val="0"/>
                      <w:sz w:val="18"/>
                      <w:szCs w:val="18"/>
                      <w:vertAlign w:val="baseline"/>
                      <w:lang w:eastAsia="zh-CN"/>
                    </w:rPr>
                    <w:t>建筑物名称</w:t>
                  </w:r>
                </w:p>
              </w:tc>
              <w:tc>
                <w:tcPr>
                  <w:tcW w:w="553"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eastAsia="zh-CN"/>
                    </w:rPr>
                  </w:pPr>
                  <w:r>
                    <w:rPr>
                      <w:rFonts w:hint="default" w:ascii="Times New Roman" w:hAnsi="Times New Roman" w:eastAsia="宋体" w:cs="Times New Roman"/>
                      <w:b w:val="0"/>
                      <w:bCs/>
                      <w:color w:val="auto"/>
                      <w:kern w:val="0"/>
                      <w:sz w:val="18"/>
                      <w:szCs w:val="18"/>
                      <w:vertAlign w:val="baseline"/>
                      <w:lang w:eastAsia="zh-CN"/>
                    </w:rPr>
                    <w:t>声源名称</w:t>
                  </w:r>
                </w:p>
              </w:tc>
              <w:tc>
                <w:tcPr>
                  <w:tcW w:w="440"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eastAsia="zh-CN"/>
                    </w:rPr>
                  </w:pPr>
                  <w:r>
                    <w:rPr>
                      <w:rFonts w:hint="default" w:ascii="Times New Roman" w:hAnsi="Times New Roman" w:eastAsia="宋体" w:cs="Times New Roman"/>
                      <w:b w:val="0"/>
                      <w:bCs/>
                      <w:color w:val="auto"/>
                      <w:kern w:val="0"/>
                      <w:sz w:val="18"/>
                      <w:szCs w:val="18"/>
                      <w:vertAlign w:val="baseline"/>
                      <w:lang w:eastAsia="zh-CN"/>
                    </w:rPr>
                    <w:t>型号</w:t>
                  </w:r>
                </w:p>
              </w:tc>
              <w:tc>
                <w:tcPr>
                  <w:tcW w:w="280"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default" w:ascii="Times New Roman" w:hAnsi="Times New Roman" w:eastAsia="宋体" w:cs="Times New Roman"/>
                      <w:b w:val="0"/>
                      <w:bCs/>
                      <w:color w:val="auto"/>
                      <w:kern w:val="0"/>
                      <w:sz w:val="18"/>
                      <w:szCs w:val="18"/>
                      <w:vertAlign w:val="baseline"/>
                      <w:lang w:eastAsia="zh-CN"/>
                    </w:rPr>
                    <w:t>声功率级</w:t>
                  </w:r>
                  <w:r>
                    <w:rPr>
                      <w:rFonts w:hint="default" w:ascii="Times New Roman" w:hAnsi="Times New Roman" w:eastAsia="宋体" w:cs="Times New Roman"/>
                      <w:b w:val="0"/>
                      <w:bCs/>
                      <w:color w:val="auto"/>
                      <w:kern w:val="0"/>
                      <w:sz w:val="18"/>
                      <w:szCs w:val="18"/>
                      <w:vertAlign w:val="baseline"/>
                      <w:lang w:val="en-US" w:eastAsia="zh-CN"/>
                    </w:rPr>
                    <w:t>/dB（A）</w:t>
                  </w:r>
                </w:p>
              </w:tc>
              <w:tc>
                <w:tcPr>
                  <w:tcW w:w="440"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eastAsia="zh-CN"/>
                    </w:rPr>
                  </w:pPr>
                  <w:r>
                    <w:rPr>
                      <w:rFonts w:hint="default" w:ascii="Times New Roman" w:hAnsi="Times New Roman" w:eastAsia="宋体" w:cs="Times New Roman"/>
                      <w:b w:val="0"/>
                      <w:bCs/>
                      <w:color w:val="auto"/>
                      <w:kern w:val="0"/>
                      <w:sz w:val="18"/>
                      <w:szCs w:val="18"/>
                      <w:vertAlign w:val="baseline"/>
                      <w:lang w:eastAsia="zh-CN"/>
                    </w:rPr>
                    <w:t>声源控制措施</w:t>
                  </w:r>
                </w:p>
              </w:tc>
              <w:tc>
                <w:tcPr>
                  <w:tcW w:w="843" w:type="pct"/>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eastAsia="zh-CN"/>
                    </w:rPr>
                    <w:t>空间相对位置</w:t>
                  </w:r>
                  <w:r>
                    <w:rPr>
                      <w:rFonts w:hint="default" w:ascii="Times New Roman" w:hAnsi="Times New Roman" w:eastAsia="宋体" w:cs="Times New Roman"/>
                      <w:b w:val="0"/>
                      <w:bCs/>
                      <w:color w:val="auto"/>
                      <w:kern w:val="0"/>
                      <w:sz w:val="18"/>
                      <w:szCs w:val="18"/>
                      <w:highlight w:val="none"/>
                      <w:vertAlign w:val="baseline"/>
                      <w:lang w:val="en-US" w:eastAsia="zh-CN"/>
                    </w:rPr>
                    <w:t>/m</w:t>
                  </w:r>
                </w:p>
              </w:tc>
              <w:tc>
                <w:tcPr>
                  <w:tcW w:w="313"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highlight w:val="none"/>
                      <w:vertAlign w:val="baseline"/>
                      <w:lang w:val="en-US" w:eastAsia="zh-CN"/>
                    </w:rPr>
                  </w:pPr>
                  <w:r>
                    <w:rPr>
                      <w:rFonts w:hint="default" w:ascii="Times New Roman" w:hAnsi="Times New Roman" w:eastAsia="宋体" w:cs="Times New Roman"/>
                      <w:b w:val="0"/>
                      <w:bCs/>
                      <w:color w:val="auto"/>
                      <w:kern w:val="0"/>
                      <w:sz w:val="18"/>
                      <w:szCs w:val="18"/>
                      <w:highlight w:val="none"/>
                      <w:vertAlign w:val="baseline"/>
                      <w:lang w:eastAsia="zh-CN"/>
                    </w:rPr>
                    <w:t>距室内边界距离</w:t>
                  </w:r>
                  <w:r>
                    <w:rPr>
                      <w:rFonts w:hint="default" w:ascii="Times New Roman" w:hAnsi="Times New Roman" w:eastAsia="宋体" w:cs="Times New Roman"/>
                      <w:b w:val="0"/>
                      <w:bCs/>
                      <w:color w:val="auto"/>
                      <w:kern w:val="0"/>
                      <w:sz w:val="18"/>
                      <w:szCs w:val="18"/>
                      <w:highlight w:val="none"/>
                      <w:vertAlign w:val="baseline"/>
                      <w:lang w:val="en-US" w:eastAsia="zh-CN"/>
                    </w:rPr>
                    <w:t>/m</w:t>
                  </w:r>
                </w:p>
              </w:tc>
              <w:tc>
                <w:tcPr>
                  <w:tcW w:w="313"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室内边界声级</w:t>
                  </w:r>
                  <w:r>
                    <w:rPr>
                      <w:rFonts w:hint="default" w:ascii="Times New Roman" w:hAnsi="Times New Roman" w:eastAsia="宋体" w:cs="Times New Roman"/>
                      <w:b w:val="0"/>
                      <w:bCs/>
                      <w:color w:val="auto"/>
                      <w:kern w:val="0"/>
                      <w:sz w:val="18"/>
                      <w:szCs w:val="18"/>
                      <w:highlight w:val="none"/>
                      <w:vertAlign w:val="baseline"/>
                      <w:lang w:val="en-US" w:eastAsia="zh-CN"/>
                    </w:rPr>
                    <w:t>/dB（A）</w:t>
                  </w:r>
                </w:p>
              </w:tc>
              <w:tc>
                <w:tcPr>
                  <w:tcW w:w="457"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highlight w:val="none"/>
                      <w:vertAlign w:val="baseline"/>
                      <w:lang w:eastAsia="zh-CN"/>
                    </w:rPr>
                  </w:pPr>
                  <w:r>
                    <w:rPr>
                      <w:rFonts w:hint="default" w:ascii="Times New Roman" w:hAnsi="Times New Roman" w:eastAsia="宋体" w:cs="Times New Roman"/>
                      <w:b w:val="0"/>
                      <w:bCs/>
                      <w:color w:val="auto"/>
                      <w:kern w:val="0"/>
                      <w:sz w:val="18"/>
                      <w:szCs w:val="18"/>
                      <w:highlight w:val="none"/>
                      <w:vertAlign w:val="baseline"/>
                      <w:lang w:eastAsia="zh-CN"/>
                    </w:rPr>
                    <w:t>运行时段</w:t>
                  </w:r>
                </w:p>
              </w:tc>
              <w:tc>
                <w:tcPr>
                  <w:tcW w:w="330"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default" w:ascii="Times New Roman" w:hAnsi="Times New Roman" w:eastAsia="宋体" w:cs="Times New Roman"/>
                      <w:b w:val="0"/>
                      <w:bCs/>
                      <w:color w:val="auto"/>
                      <w:kern w:val="0"/>
                      <w:sz w:val="18"/>
                      <w:szCs w:val="18"/>
                      <w:vertAlign w:val="baseline"/>
                      <w:lang w:eastAsia="zh-CN"/>
                    </w:rPr>
                    <w:t>建筑物插入损失</w:t>
                  </w:r>
                  <w:r>
                    <w:rPr>
                      <w:rFonts w:hint="default" w:ascii="Times New Roman" w:hAnsi="Times New Roman" w:eastAsia="宋体" w:cs="Times New Roman"/>
                      <w:b w:val="0"/>
                      <w:bCs/>
                      <w:color w:val="auto"/>
                      <w:kern w:val="0"/>
                      <w:sz w:val="18"/>
                      <w:szCs w:val="18"/>
                      <w:vertAlign w:val="baseline"/>
                      <w:lang w:val="en-US" w:eastAsia="zh-CN"/>
                    </w:rPr>
                    <w:t>/dB（A）</w:t>
                  </w:r>
                </w:p>
              </w:tc>
              <w:tc>
                <w:tcPr>
                  <w:tcW w:w="617" w:type="pct"/>
                  <w:gridSpan w:val="2"/>
                  <w:tcBorders>
                    <w:bottom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eastAsia="zh-CN"/>
                    </w:rPr>
                  </w:pPr>
                  <w:r>
                    <w:rPr>
                      <w:rFonts w:hint="default" w:ascii="Times New Roman" w:hAnsi="Times New Roman" w:eastAsia="宋体" w:cs="Times New Roman"/>
                      <w:b w:val="0"/>
                      <w:bCs/>
                      <w:color w:val="auto"/>
                      <w:kern w:val="0"/>
                      <w:sz w:val="18"/>
                      <w:szCs w:val="18"/>
                      <w:vertAlign w:val="baseline"/>
                      <w:lang w:eastAsia="zh-CN"/>
                    </w:rPr>
                    <w:t>建筑物外噪声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19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eastAsia="zh-CN"/>
                    </w:rPr>
                  </w:pPr>
                </w:p>
              </w:tc>
              <w:tc>
                <w:tcPr>
                  <w:tcW w:w="21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eastAsia="zh-CN"/>
                    </w:rPr>
                  </w:pPr>
                </w:p>
              </w:tc>
              <w:tc>
                <w:tcPr>
                  <w:tcW w:w="553"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eastAsia="zh-CN"/>
                    </w:rPr>
                  </w:pPr>
                </w:p>
              </w:tc>
              <w:tc>
                <w:tcPr>
                  <w:tcW w:w="44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eastAsia="zh-CN"/>
                    </w:rPr>
                  </w:pPr>
                </w:p>
              </w:tc>
              <w:tc>
                <w:tcPr>
                  <w:tcW w:w="28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eastAsia="zh-CN"/>
                    </w:rPr>
                  </w:pPr>
                </w:p>
              </w:tc>
              <w:tc>
                <w:tcPr>
                  <w:tcW w:w="44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eastAsia="zh-CN"/>
                    </w:rPr>
                  </w:pPr>
                </w:p>
              </w:tc>
              <w:tc>
                <w:tcPr>
                  <w:tcW w:w="28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default" w:ascii="Times New Roman" w:hAnsi="Times New Roman" w:eastAsia="宋体" w:cs="Times New Roman"/>
                      <w:b w:val="0"/>
                      <w:bCs/>
                      <w:color w:val="auto"/>
                      <w:kern w:val="0"/>
                      <w:sz w:val="18"/>
                      <w:szCs w:val="18"/>
                      <w:vertAlign w:val="baseline"/>
                      <w:lang w:val="en-US" w:eastAsia="zh-CN"/>
                    </w:rPr>
                    <w:t>X</w:t>
                  </w:r>
                </w:p>
              </w:tc>
              <w:tc>
                <w:tcPr>
                  <w:tcW w:w="28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Y</w:t>
                  </w:r>
                </w:p>
              </w:tc>
              <w:tc>
                <w:tcPr>
                  <w:tcW w:w="28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lang w:val="en-US" w:eastAsia="zh-CN"/>
                    </w:rPr>
                  </w:pPr>
                  <w:r>
                    <w:rPr>
                      <w:rFonts w:hint="default" w:ascii="Times New Roman" w:hAnsi="Times New Roman" w:eastAsia="宋体" w:cs="Times New Roman"/>
                      <w:b w:val="0"/>
                      <w:bCs/>
                      <w:color w:val="auto"/>
                      <w:kern w:val="0"/>
                      <w:sz w:val="18"/>
                      <w:szCs w:val="18"/>
                      <w:lang w:val="en-US" w:eastAsia="zh-CN"/>
                    </w:rPr>
                    <w:t>Z</w:t>
                  </w:r>
                </w:p>
              </w:tc>
              <w:tc>
                <w:tcPr>
                  <w:tcW w:w="313"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eastAsia="zh-CN"/>
                    </w:rPr>
                  </w:pPr>
                </w:p>
              </w:tc>
              <w:tc>
                <w:tcPr>
                  <w:tcW w:w="313"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eastAsia="zh-CN"/>
                    </w:rPr>
                  </w:pPr>
                </w:p>
              </w:tc>
              <w:tc>
                <w:tcPr>
                  <w:tcW w:w="457"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eastAsia="zh-CN"/>
                    </w:rPr>
                  </w:pPr>
                </w:p>
              </w:tc>
              <w:tc>
                <w:tcPr>
                  <w:tcW w:w="33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eastAsia="zh-CN"/>
                    </w:rPr>
                  </w:pPr>
                </w:p>
              </w:tc>
              <w:tc>
                <w:tcPr>
                  <w:tcW w:w="306" w:type="pct"/>
                  <w:tcBorders>
                    <w:top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default" w:ascii="Times New Roman" w:hAnsi="Times New Roman" w:eastAsia="宋体" w:cs="Times New Roman"/>
                      <w:b w:val="0"/>
                      <w:bCs/>
                      <w:color w:val="auto"/>
                      <w:kern w:val="0"/>
                      <w:sz w:val="18"/>
                      <w:szCs w:val="18"/>
                      <w:vertAlign w:val="baseline"/>
                      <w:lang w:eastAsia="zh-CN"/>
                    </w:rPr>
                    <w:t>声压级</w:t>
                  </w:r>
                  <w:r>
                    <w:rPr>
                      <w:rFonts w:hint="default" w:ascii="Times New Roman" w:hAnsi="Times New Roman" w:eastAsia="宋体" w:cs="Times New Roman"/>
                      <w:b w:val="0"/>
                      <w:bCs/>
                      <w:color w:val="auto"/>
                      <w:kern w:val="0"/>
                      <w:sz w:val="18"/>
                      <w:szCs w:val="18"/>
                      <w:vertAlign w:val="baseline"/>
                      <w:lang w:val="en-US" w:eastAsia="zh-CN"/>
                    </w:rPr>
                    <w:t>/dB（A）</w:t>
                  </w:r>
                </w:p>
              </w:tc>
              <w:tc>
                <w:tcPr>
                  <w:tcW w:w="311" w:type="pct"/>
                  <w:tcBorders>
                    <w:top w:val="single" w:color="000000" w:sz="4" w:space="0"/>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default" w:ascii="Times New Roman" w:hAnsi="Times New Roman" w:eastAsia="宋体" w:cs="Times New Roman"/>
                      <w:b w:val="0"/>
                      <w:bCs/>
                      <w:color w:val="auto"/>
                      <w:kern w:val="0"/>
                      <w:sz w:val="18"/>
                      <w:szCs w:val="18"/>
                      <w:vertAlign w:val="baseline"/>
                      <w:lang w:val="en-US" w:eastAsia="zh-CN"/>
                    </w:rPr>
                    <w:t>建筑物外距离/m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default" w:ascii="Times New Roman" w:hAnsi="Times New Roman" w:eastAsia="宋体" w:cs="Times New Roman"/>
                      <w:b w:val="0"/>
                      <w:bCs/>
                      <w:color w:val="auto"/>
                      <w:kern w:val="0"/>
                      <w:sz w:val="18"/>
                      <w:szCs w:val="18"/>
                      <w:vertAlign w:val="baseline"/>
                      <w:lang w:val="en-US" w:eastAsia="zh-CN"/>
                    </w:rPr>
                    <w:t>1</w:t>
                  </w:r>
                </w:p>
              </w:tc>
              <w:tc>
                <w:tcPr>
                  <w:tcW w:w="215"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2#</w:t>
                  </w:r>
                  <w:r>
                    <w:rPr>
                      <w:rFonts w:hint="default" w:ascii="Times New Roman" w:hAnsi="Times New Roman" w:eastAsia="宋体" w:cs="Times New Roman"/>
                      <w:b w:val="0"/>
                      <w:bCs/>
                      <w:color w:val="auto"/>
                      <w:kern w:val="0"/>
                      <w:sz w:val="18"/>
                      <w:szCs w:val="18"/>
                      <w:vertAlign w:val="baseline"/>
                      <w:lang w:val="en-US" w:eastAsia="zh-CN"/>
                    </w:rPr>
                    <w:t>生产</w:t>
                  </w:r>
                </w:p>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default" w:ascii="Times New Roman" w:hAnsi="Times New Roman" w:eastAsia="宋体" w:cs="Times New Roman"/>
                      <w:b w:val="0"/>
                      <w:bCs/>
                      <w:color w:val="auto"/>
                      <w:kern w:val="0"/>
                      <w:sz w:val="18"/>
                      <w:szCs w:val="18"/>
                      <w:vertAlign w:val="baseline"/>
                      <w:lang w:val="en-US" w:eastAsia="zh-CN"/>
                    </w:rPr>
                    <w:t>车间</w:t>
                  </w:r>
                </w:p>
              </w:tc>
              <w:tc>
                <w:tcPr>
                  <w:tcW w:w="5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抛光机</w:t>
                  </w:r>
                </w:p>
              </w:tc>
              <w:tc>
                <w:tcPr>
                  <w:tcW w:w="44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BHZZ</w:t>
                  </w:r>
                </w:p>
              </w:tc>
              <w:tc>
                <w:tcPr>
                  <w:tcW w:w="28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90</w:t>
                  </w:r>
                </w:p>
              </w:tc>
              <w:tc>
                <w:tcPr>
                  <w:tcW w:w="440"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val="0"/>
                      <w:bCs/>
                      <w:color w:val="auto"/>
                      <w:kern w:val="0"/>
                      <w:sz w:val="18"/>
                      <w:szCs w:val="18"/>
                      <w:highlight w:val="none"/>
                      <w:vertAlign w:val="baseline"/>
                    </w:rPr>
                  </w:pPr>
                  <w:r>
                    <w:rPr>
                      <w:rFonts w:hint="default" w:ascii="Times New Roman" w:hAnsi="Times New Roman" w:cs="Times New Roman"/>
                      <w:color w:val="auto"/>
                      <w:sz w:val="18"/>
                      <w:szCs w:val="18"/>
                      <w:highlight w:val="none"/>
                      <w:lang w:eastAsia="zh-CN"/>
                    </w:rPr>
                    <w:t>室内布置、</w:t>
                  </w:r>
                  <w:r>
                    <w:rPr>
                      <w:rFonts w:hint="default" w:ascii="Times New Roman" w:hAnsi="Times New Roman" w:cs="Times New Roman"/>
                      <w:color w:val="auto"/>
                      <w:sz w:val="18"/>
                      <w:szCs w:val="18"/>
                      <w:highlight w:val="none"/>
                    </w:rPr>
                    <w:t>基础减振、厂房隔声</w:t>
                  </w:r>
                </w:p>
              </w:tc>
              <w:tc>
                <w:tcPr>
                  <w:tcW w:w="281"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30</w:t>
                  </w:r>
                </w:p>
              </w:tc>
              <w:tc>
                <w:tcPr>
                  <w:tcW w:w="281"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10</w:t>
                  </w:r>
                </w:p>
              </w:tc>
              <w:tc>
                <w:tcPr>
                  <w:tcW w:w="281"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0.8</w:t>
                  </w:r>
                </w:p>
              </w:tc>
              <w:tc>
                <w:tcPr>
                  <w:tcW w:w="31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5</w:t>
                  </w:r>
                </w:p>
              </w:tc>
              <w:tc>
                <w:tcPr>
                  <w:tcW w:w="31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76.02</w:t>
                  </w:r>
                </w:p>
              </w:tc>
              <w:tc>
                <w:tcPr>
                  <w:tcW w:w="45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8:00~18:00</w:t>
                  </w:r>
                </w:p>
              </w:tc>
              <w:tc>
                <w:tcPr>
                  <w:tcW w:w="330"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15</w:t>
                  </w:r>
                </w:p>
              </w:tc>
              <w:tc>
                <w:tcPr>
                  <w:tcW w:w="306" w:type="pct"/>
                  <w:vMerge w:val="restar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62.61</w:t>
                  </w:r>
                </w:p>
              </w:tc>
              <w:tc>
                <w:tcPr>
                  <w:tcW w:w="311" w:type="pct"/>
                  <w:vMerge w:val="restar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61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21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5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olor w:val="auto"/>
                      <w:kern w:val="2"/>
                      <w:sz w:val="18"/>
                      <w:szCs w:val="18"/>
                      <w:highlight w:val="none"/>
                      <w:lang w:val="zh-CN" w:eastAsia="en-US"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高速抛光机</w:t>
                  </w:r>
                </w:p>
              </w:tc>
              <w:tc>
                <w:tcPr>
                  <w:tcW w:w="44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JPS030.4</w:t>
                  </w:r>
                </w:p>
              </w:tc>
              <w:tc>
                <w:tcPr>
                  <w:tcW w:w="28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95</w:t>
                  </w:r>
                </w:p>
              </w:tc>
              <w:tc>
                <w:tcPr>
                  <w:tcW w:w="44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highlight w:val="none"/>
                    </w:rPr>
                  </w:pPr>
                </w:p>
              </w:tc>
              <w:tc>
                <w:tcPr>
                  <w:tcW w:w="281"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30</w:t>
                  </w:r>
                </w:p>
              </w:tc>
              <w:tc>
                <w:tcPr>
                  <w:tcW w:w="281"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5</w:t>
                  </w:r>
                </w:p>
              </w:tc>
              <w:tc>
                <w:tcPr>
                  <w:tcW w:w="281"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0.8</w:t>
                  </w:r>
                </w:p>
              </w:tc>
              <w:tc>
                <w:tcPr>
                  <w:tcW w:w="31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7</w:t>
                  </w:r>
                </w:p>
              </w:tc>
              <w:tc>
                <w:tcPr>
                  <w:tcW w:w="31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78.1</w:t>
                  </w:r>
                </w:p>
              </w:tc>
              <w:tc>
                <w:tcPr>
                  <w:tcW w:w="45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8:00~18:00</w:t>
                  </w:r>
                </w:p>
              </w:tc>
              <w:tc>
                <w:tcPr>
                  <w:tcW w:w="33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306"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311"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21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5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olor w:val="auto"/>
                      <w:kern w:val="2"/>
                      <w:sz w:val="18"/>
                      <w:szCs w:val="18"/>
                      <w:highlight w:val="none"/>
                      <w:lang w:val="zh-CN" w:eastAsia="en-US" w:bidi="ar-SA"/>
                    </w:rPr>
                  </w:pPr>
                  <w:r>
                    <w:rPr>
                      <w:rFonts w:hint="default" w:ascii="Times New Roman" w:hAnsi="Times New Roman" w:cs="Times New Roman"/>
                      <w:b w:val="0"/>
                      <w:bCs w:val="0"/>
                      <w:i w:val="0"/>
                      <w:iCs w:val="0"/>
                      <w:color w:val="auto"/>
                      <w:kern w:val="0"/>
                      <w:sz w:val="18"/>
                      <w:szCs w:val="18"/>
                      <w:highlight w:val="none"/>
                      <w:u w:val="none"/>
                      <w:lang w:val="en-US" w:eastAsia="zh-CN" w:bidi="ar"/>
                    </w:rPr>
                    <w:t>磨砂机</w:t>
                  </w:r>
                </w:p>
              </w:tc>
              <w:tc>
                <w:tcPr>
                  <w:tcW w:w="44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BHZZ</w:t>
                  </w:r>
                </w:p>
              </w:tc>
              <w:tc>
                <w:tcPr>
                  <w:tcW w:w="28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85</w:t>
                  </w:r>
                </w:p>
              </w:tc>
              <w:tc>
                <w:tcPr>
                  <w:tcW w:w="44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highlight w:val="none"/>
                    </w:rPr>
                  </w:pPr>
                </w:p>
              </w:tc>
              <w:tc>
                <w:tcPr>
                  <w:tcW w:w="281"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15</w:t>
                  </w:r>
                </w:p>
              </w:tc>
              <w:tc>
                <w:tcPr>
                  <w:tcW w:w="281"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5</w:t>
                  </w:r>
                </w:p>
              </w:tc>
              <w:tc>
                <w:tcPr>
                  <w:tcW w:w="281"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1.5</w:t>
                  </w:r>
                </w:p>
              </w:tc>
              <w:tc>
                <w:tcPr>
                  <w:tcW w:w="31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5</w:t>
                  </w:r>
                </w:p>
              </w:tc>
              <w:tc>
                <w:tcPr>
                  <w:tcW w:w="31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71.02</w:t>
                  </w:r>
                </w:p>
              </w:tc>
              <w:tc>
                <w:tcPr>
                  <w:tcW w:w="45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8:00~18:00</w:t>
                  </w:r>
                </w:p>
              </w:tc>
              <w:tc>
                <w:tcPr>
                  <w:tcW w:w="33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306"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311"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21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5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olor w:val="auto"/>
                      <w:kern w:val="0"/>
                      <w:sz w:val="18"/>
                      <w:szCs w:val="18"/>
                      <w:highlight w:val="none"/>
                      <w:lang w:val="zh-CN" w:eastAsia="en-US"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灯杯数控机</w:t>
                  </w:r>
                </w:p>
              </w:tc>
              <w:tc>
                <w:tcPr>
                  <w:tcW w:w="440" w:type="pct"/>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BHWXJG</w:t>
                  </w:r>
                </w:p>
              </w:tc>
              <w:tc>
                <w:tcPr>
                  <w:tcW w:w="28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90</w:t>
                  </w:r>
                </w:p>
              </w:tc>
              <w:tc>
                <w:tcPr>
                  <w:tcW w:w="44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highlight w:val="none"/>
                    </w:rPr>
                  </w:pPr>
                </w:p>
              </w:tc>
              <w:tc>
                <w:tcPr>
                  <w:tcW w:w="281"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10</w:t>
                  </w:r>
                </w:p>
              </w:tc>
              <w:tc>
                <w:tcPr>
                  <w:tcW w:w="281"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5</w:t>
                  </w:r>
                </w:p>
              </w:tc>
              <w:tc>
                <w:tcPr>
                  <w:tcW w:w="281"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1.5</w:t>
                  </w:r>
                </w:p>
              </w:tc>
              <w:tc>
                <w:tcPr>
                  <w:tcW w:w="31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3</w:t>
                  </w:r>
                </w:p>
              </w:tc>
              <w:tc>
                <w:tcPr>
                  <w:tcW w:w="31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80.46</w:t>
                  </w:r>
                </w:p>
              </w:tc>
              <w:tc>
                <w:tcPr>
                  <w:tcW w:w="45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8:00~18:00</w:t>
                  </w:r>
                </w:p>
              </w:tc>
              <w:tc>
                <w:tcPr>
                  <w:tcW w:w="33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306"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311"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21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5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olor w:val="auto"/>
                      <w:kern w:val="2"/>
                      <w:sz w:val="18"/>
                      <w:szCs w:val="18"/>
                      <w:highlight w:val="none"/>
                      <w:lang w:val="zh-CN" w:eastAsia="en-US"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灯杯抛光机</w:t>
                  </w:r>
                </w:p>
              </w:tc>
              <w:tc>
                <w:tcPr>
                  <w:tcW w:w="440" w:type="pct"/>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line="320" w:lineRule="exact"/>
                    <w:jc w:val="center"/>
                    <w:textAlignment w:val="center"/>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BHZZ</w:t>
                  </w:r>
                </w:p>
              </w:tc>
              <w:tc>
                <w:tcPr>
                  <w:tcW w:w="28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90</w:t>
                  </w:r>
                </w:p>
              </w:tc>
              <w:tc>
                <w:tcPr>
                  <w:tcW w:w="44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highlight w:val="none"/>
                    </w:rPr>
                  </w:pPr>
                </w:p>
              </w:tc>
              <w:tc>
                <w:tcPr>
                  <w:tcW w:w="281"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12</w:t>
                  </w:r>
                </w:p>
              </w:tc>
              <w:tc>
                <w:tcPr>
                  <w:tcW w:w="281"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10</w:t>
                  </w:r>
                </w:p>
              </w:tc>
              <w:tc>
                <w:tcPr>
                  <w:tcW w:w="281"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1.5</w:t>
                  </w:r>
                </w:p>
              </w:tc>
              <w:tc>
                <w:tcPr>
                  <w:tcW w:w="31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3</w:t>
                  </w:r>
                </w:p>
              </w:tc>
              <w:tc>
                <w:tcPr>
                  <w:tcW w:w="31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80.46</w:t>
                  </w:r>
                </w:p>
              </w:tc>
              <w:tc>
                <w:tcPr>
                  <w:tcW w:w="45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8:00~18:00</w:t>
                  </w:r>
                </w:p>
              </w:tc>
              <w:tc>
                <w:tcPr>
                  <w:tcW w:w="33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306"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311"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21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5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olor w:val="auto"/>
                      <w:kern w:val="2"/>
                      <w:sz w:val="18"/>
                      <w:szCs w:val="18"/>
                      <w:highlight w:val="none"/>
                      <w:lang w:val="zh-CN" w:eastAsia="en-US"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内圆切割机</w:t>
                  </w:r>
                </w:p>
              </w:tc>
              <w:tc>
                <w:tcPr>
                  <w:tcW w:w="44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eastAsia" w:ascii="Times New Roman" w:hAnsi="Times New Roman" w:eastAsia="宋体" w:cs="Times New Roman"/>
                      <w:b w:val="0"/>
                      <w:bCs w:val="0"/>
                      <w:color w:val="auto"/>
                      <w:kern w:val="0"/>
                      <w:sz w:val="18"/>
                      <w:szCs w:val="18"/>
                      <w:highlight w:val="none"/>
                      <w:vertAlign w:val="baseline"/>
                      <w:lang w:val="en-US" w:eastAsia="zh-CN"/>
                    </w:rPr>
                    <w:t>/</w:t>
                  </w:r>
                </w:p>
              </w:tc>
              <w:tc>
                <w:tcPr>
                  <w:tcW w:w="28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95</w:t>
                  </w:r>
                </w:p>
              </w:tc>
              <w:tc>
                <w:tcPr>
                  <w:tcW w:w="44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highlight w:val="none"/>
                    </w:rPr>
                  </w:pPr>
                </w:p>
              </w:tc>
              <w:tc>
                <w:tcPr>
                  <w:tcW w:w="281"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3</w:t>
                  </w:r>
                </w:p>
              </w:tc>
              <w:tc>
                <w:tcPr>
                  <w:tcW w:w="281"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5</w:t>
                  </w:r>
                </w:p>
              </w:tc>
              <w:tc>
                <w:tcPr>
                  <w:tcW w:w="281"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1.2</w:t>
                  </w:r>
                </w:p>
              </w:tc>
              <w:tc>
                <w:tcPr>
                  <w:tcW w:w="31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5</w:t>
                  </w:r>
                </w:p>
              </w:tc>
              <w:tc>
                <w:tcPr>
                  <w:tcW w:w="31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85.46</w:t>
                  </w:r>
                </w:p>
              </w:tc>
              <w:tc>
                <w:tcPr>
                  <w:tcW w:w="45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8:00~18:00</w:t>
                  </w:r>
                </w:p>
              </w:tc>
              <w:tc>
                <w:tcPr>
                  <w:tcW w:w="33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306"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311"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1"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21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rPr>
                  </w:pPr>
                </w:p>
              </w:tc>
              <w:tc>
                <w:tcPr>
                  <w:tcW w:w="5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kern w:val="2"/>
                      <w:sz w:val="18"/>
                      <w:szCs w:val="18"/>
                      <w:highlight w:val="none"/>
                      <w:lang w:val="en-US" w:eastAsia="zh-CN" w:bidi="ar-SA"/>
                    </w:rPr>
                    <w:t>泵机</w:t>
                  </w:r>
                </w:p>
              </w:tc>
              <w:tc>
                <w:tcPr>
                  <w:tcW w:w="440"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val="0"/>
                      <w:color w:val="auto"/>
                      <w:kern w:val="0"/>
                      <w:sz w:val="18"/>
                      <w:szCs w:val="18"/>
                      <w:highlight w:val="none"/>
                      <w:vertAlign w:val="baseline"/>
                      <w:lang w:val="en-US" w:eastAsia="zh-CN"/>
                    </w:rPr>
                  </w:pPr>
                  <w:r>
                    <w:rPr>
                      <w:rFonts w:hint="eastAsia" w:ascii="Times New Roman" w:hAnsi="Times New Roman" w:eastAsia="宋体" w:cs="Times New Roman"/>
                      <w:b w:val="0"/>
                      <w:bCs w:val="0"/>
                      <w:color w:val="auto"/>
                      <w:kern w:val="0"/>
                      <w:sz w:val="18"/>
                      <w:szCs w:val="18"/>
                      <w:highlight w:val="none"/>
                      <w:vertAlign w:val="baseline"/>
                      <w:lang w:val="en-US" w:eastAsia="zh-CN"/>
                    </w:rPr>
                    <w:t>/</w:t>
                  </w:r>
                </w:p>
              </w:tc>
              <w:tc>
                <w:tcPr>
                  <w:tcW w:w="28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rPr>
                    <w:t>95</w:t>
                  </w:r>
                </w:p>
              </w:tc>
              <w:tc>
                <w:tcPr>
                  <w:tcW w:w="44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 w:val="0"/>
                      <w:bCs/>
                      <w:color w:val="auto"/>
                      <w:kern w:val="0"/>
                      <w:sz w:val="18"/>
                      <w:szCs w:val="18"/>
                      <w:highlight w:val="none"/>
                      <w:vertAlign w:val="baseline"/>
                    </w:rPr>
                  </w:pPr>
                  <w:r>
                    <w:rPr>
                      <w:rFonts w:hint="default" w:ascii="Times New Roman" w:hAnsi="Times New Roman" w:cs="Times New Roman"/>
                      <w:color w:val="auto"/>
                      <w:sz w:val="18"/>
                      <w:szCs w:val="18"/>
                      <w:highlight w:val="none"/>
                      <w:lang w:eastAsia="zh-CN"/>
                    </w:rPr>
                    <w:t>室内布置、安装隔声罩</w:t>
                  </w:r>
                </w:p>
              </w:tc>
              <w:tc>
                <w:tcPr>
                  <w:tcW w:w="281" w:type="pct"/>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281" w:type="pct"/>
                  <w:tcBorders>
                    <w:left w:val="single" w:color="000000" w:sz="4" w:space="0"/>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281" w:type="pct"/>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ascii="Times New Roman" w:hAnsi="Times New Roman" w:eastAsia="宋体" w:cs="Times New Roman"/>
                      <w:b w:val="0"/>
                      <w:bCs/>
                      <w:color w:val="auto"/>
                      <w:kern w:val="0"/>
                      <w:sz w:val="18"/>
                      <w:szCs w:val="18"/>
                      <w:vertAlign w:val="baseline"/>
                      <w:lang w:val="en-US" w:eastAsia="zh-CN"/>
                    </w:rPr>
                    <w:t>0.3</w:t>
                  </w:r>
                </w:p>
              </w:tc>
              <w:tc>
                <w:tcPr>
                  <w:tcW w:w="31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5</w:t>
                  </w:r>
                </w:p>
              </w:tc>
              <w:tc>
                <w:tcPr>
                  <w:tcW w:w="31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r>
                    <w:rPr>
                      <w:rFonts w:hint="eastAsia" w:eastAsia="宋体" w:cs="Times New Roman"/>
                      <w:b w:val="0"/>
                      <w:bCs/>
                      <w:color w:val="auto"/>
                      <w:kern w:val="0"/>
                      <w:sz w:val="18"/>
                      <w:szCs w:val="18"/>
                      <w:vertAlign w:val="baseline"/>
                      <w:lang w:val="en-US" w:eastAsia="zh-CN"/>
                    </w:rPr>
                    <w:t>81.02</w:t>
                  </w:r>
                </w:p>
              </w:tc>
              <w:tc>
                <w:tcPr>
                  <w:tcW w:w="457"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8:00~18:00</w:t>
                  </w:r>
                </w:p>
              </w:tc>
              <w:tc>
                <w:tcPr>
                  <w:tcW w:w="330"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306" w:type="pct"/>
                  <w:vMerge w:val="continue"/>
                  <w:tcBorders>
                    <w:righ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lang w:val="en-US" w:eastAsia="zh-CN"/>
                    </w:rPr>
                  </w:pPr>
                </w:p>
              </w:tc>
              <w:tc>
                <w:tcPr>
                  <w:tcW w:w="311" w:type="pct"/>
                  <w:vMerge w:val="continue"/>
                  <w:tcBorders>
                    <w:left w:val="single" w:color="000000" w:sz="4"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before="0" w:after="0" w:line="320" w:lineRule="exact"/>
                    <w:ind w:left="0" w:firstLine="0"/>
                    <w:jc w:val="center"/>
                    <w:textAlignment w:val="auto"/>
                    <w:rPr>
                      <w:rFonts w:hint="default" w:ascii="Times New Roman" w:hAnsi="Times New Roman" w:eastAsia="宋体" w:cs="Times New Roman"/>
                      <w:b w:val="0"/>
                      <w:bCs/>
                      <w:color w:val="auto"/>
                      <w:kern w:val="0"/>
                      <w:sz w:val="18"/>
                      <w:szCs w:val="18"/>
                      <w:vertAlign w:val="baseline"/>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olor w:val="auto"/>
                <w:vertAlign w:val="baseline"/>
                <w:lang w:eastAsia="zh-CN"/>
              </w:rPr>
            </w:pPr>
            <w:r>
              <w:rPr>
                <w:rFonts w:hint="eastAsia"/>
                <w:color w:val="auto"/>
                <w:vertAlign w:val="baseline"/>
                <w:lang w:eastAsia="zh-CN"/>
              </w:rPr>
              <w:br w:type="textWrapping"/>
            </w:r>
            <w:r>
              <w:rPr>
                <w:rFonts w:hint="eastAsia"/>
                <w:color w:val="auto"/>
                <w:vertAlign w:val="baseline"/>
                <w:lang w:eastAsia="zh-CN"/>
              </w:rPr>
              <w:br w:type="textWrapping"/>
            </w:r>
            <w:r>
              <w:rPr>
                <w:rFonts w:hint="eastAsia"/>
                <w:color w:val="auto"/>
                <w:vertAlign w:val="baseline"/>
                <w:lang w:eastAsia="zh-CN"/>
              </w:rPr>
              <w:br w:type="textWrapping"/>
            </w:r>
            <w:r>
              <w:rPr>
                <w:rFonts w:hint="eastAsia"/>
                <w:color w:val="auto"/>
                <w:vertAlign w:val="baseline"/>
                <w:lang w:eastAsia="zh-CN"/>
              </w:rPr>
              <w:br w:type="textWrapping"/>
            </w:r>
            <w:r>
              <w:rPr>
                <w:rFonts w:hint="eastAsia"/>
                <w:color w:val="auto"/>
                <w:vertAlign w:val="baseline"/>
                <w:lang w:eastAsia="zh-CN"/>
              </w:rPr>
              <w:br w:type="textWrapping"/>
            </w:r>
            <w:r>
              <w:rPr>
                <w:rFonts w:hint="eastAsia"/>
                <w:color w:val="auto"/>
                <w:vertAlign w:val="baseline"/>
                <w:lang w:eastAsia="zh-CN"/>
              </w:rPr>
              <w:br w:type="textWrapping"/>
            </w:r>
            <w:r>
              <w:rPr>
                <w:rFonts w:hint="eastAsia"/>
                <w:color w:val="auto"/>
                <w:vertAlign w:val="baseline"/>
                <w:lang w:eastAsia="zh-CN"/>
              </w:rPr>
              <w:br w:type="textWrapping"/>
            </w:r>
          </w:p>
        </w:tc>
      </w:tr>
    </w:tbl>
    <w:p>
      <w:pPr>
        <w:rPr>
          <w:rFonts w:hint="default"/>
          <w:color w:val="auto"/>
        </w:rPr>
        <w:sectPr>
          <w:pgSz w:w="16840" w:h="11907" w:orient="landscape"/>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olor w:val="auto"/>
                <w:vertAlign w:val="baseline"/>
              </w:rPr>
            </w:pPr>
            <w:r>
              <w:rPr>
                <w:rFonts w:hint="default" w:ascii="Times New Roman" w:hAnsi="Times New Roman" w:cs="Times New Roman"/>
                <w:bCs/>
                <w:color w:val="auto"/>
                <w:szCs w:val="21"/>
                <w:highlight w:val="none"/>
              </w:rPr>
              <w:t>措施</w:t>
            </w:r>
          </w:p>
        </w:tc>
        <w:tc>
          <w:tcPr>
            <w:tcW w:w="7803"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382" w:firstLineChars="200"/>
              <w:rPr>
                <w:rFonts w:hint="default" w:ascii="Times New Roman" w:hAnsi="Times New Roman" w:cs="Times New Roman"/>
                <w:b/>
                <w:bCs/>
                <w:color w:val="auto"/>
                <w:spacing w:val="-10"/>
                <w:szCs w:val="21"/>
                <w:highlight w:val="none"/>
              </w:rPr>
            </w:pPr>
            <w:r>
              <w:rPr>
                <w:rFonts w:hint="eastAsia" w:cs="Times New Roman"/>
                <w:b/>
                <w:bCs/>
                <w:color w:val="auto"/>
                <w:spacing w:val="-10"/>
                <w:szCs w:val="21"/>
                <w:highlight w:val="none"/>
                <w:lang w:val="en-US" w:eastAsia="zh-CN"/>
              </w:rPr>
              <w:t>2.2</w:t>
            </w:r>
            <w:r>
              <w:rPr>
                <w:rFonts w:hint="default" w:ascii="Times New Roman" w:hAnsi="Times New Roman" w:cs="Times New Roman"/>
                <w:b/>
                <w:bCs/>
                <w:color w:val="auto"/>
                <w:spacing w:val="-10"/>
                <w:szCs w:val="21"/>
                <w:highlight w:val="none"/>
              </w:rPr>
              <w:t>噪声环境影响分析</w:t>
            </w:r>
          </w:p>
          <w:p>
            <w:pPr>
              <w:pStyle w:val="7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（1）预测范围及点位 </w:t>
            </w:r>
          </w:p>
          <w:p>
            <w:pPr>
              <w:pStyle w:val="7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①噪声预测范围为：预测各厂界外1m及厂界外50m范围内声环境敏感点； </w:t>
            </w:r>
          </w:p>
          <w:p>
            <w:pPr>
              <w:pStyle w:val="7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②预测点位：东、南、西、北四厂界噪声和</w:t>
            </w:r>
            <w:r>
              <w:rPr>
                <w:rFonts w:hint="default" w:ascii="Times New Roman" w:hAnsi="Times New Roman" w:cs="Times New Roman"/>
                <w:color w:val="auto"/>
                <w:sz w:val="21"/>
                <w:szCs w:val="21"/>
                <w:lang w:eastAsia="zh-CN"/>
              </w:rPr>
              <w:t>北侧赵楼村</w:t>
            </w:r>
            <w:r>
              <w:rPr>
                <w:rFonts w:hint="default" w:ascii="Times New Roman" w:hAnsi="Times New Roman" w:cs="Times New Roman"/>
                <w:color w:val="auto"/>
                <w:sz w:val="21"/>
                <w:szCs w:val="21"/>
              </w:rPr>
              <w:t>。</w:t>
            </w:r>
          </w:p>
          <w:p>
            <w:pPr>
              <w:pStyle w:val="7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（2）预测因子</w:t>
            </w:r>
          </w:p>
          <w:p>
            <w:pPr>
              <w:pStyle w:val="7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场界噪声预测因子：等效连续A声级。</w:t>
            </w:r>
          </w:p>
          <w:p>
            <w:pPr>
              <w:pStyle w:val="7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（3）预测模式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模式采用《环境影响评价技术导则——声环境》(HJ2.4-2021)中推荐的模型。噪声在传播过程中受到多种因素的干扰，使其产生衰减，根据建设项目噪声源和环境特征，预测过程中考虑了建筑物的屏障作用、空气吸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室内声源采用等效室外声源声功率级法进行计算，设靠近开口处（或窗户）室内、室外某倍频带的声压级或A声级分比为</w:t>
            </w:r>
            <w:r>
              <w:rPr>
                <w:rFonts w:hint="default" w:ascii="Times New Roman" w:hAnsi="Times New Roman" w:cs="Times New Roman"/>
                <w:i/>
                <w:iCs/>
                <w:color w:val="auto"/>
                <w:sz w:val="21"/>
                <w:szCs w:val="21"/>
              </w:rPr>
              <w:t>L</w:t>
            </w:r>
            <w:r>
              <w:rPr>
                <w:rFonts w:hint="default" w:ascii="Times New Roman" w:hAnsi="Times New Roman" w:cs="Times New Roman"/>
                <w:i/>
                <w:iCs/>
                <w:color w:val="auto"/>
                <w:sz w:val="21"/>
                <w:szCs w:val="21"/>
                <w:vertAlign w:val="subscript"/>
              </w:rPr>
              <w:t>p1</w:t>
            </w:r>
            <w:r>
              <w:rPr>
                <w:rFonts w:hint="default" w:ascii="Times New Roman" w:hAnsi="Times New Roman" w:cs="Times New Roman"/>
                <w:color w:val="auto"/>
                <w:sz w:val="21"/>
                <w:szCs w:val="21"/>
              </w:rPr>
              <w:t>和</w:t>
            </w:r>
            <w:r>
              <w:rPr>
                <w:rFonts w:hint="default" w:ascii="Times New Roman" w:hAnsi="Times New Roman" w:cs="Times New Roman"/>
                <w:i/>
                <w:iCs/>
                <w:color w:val="auto"/>
                <w:sz w:val="21"/>
                <w:szCs w:val="21"/>
              </w:rPr>
              <w:t>L</w:t>
            </w:r>
            <w:r>
              <w:rPr>
                <w:rFonts w:hint="default" w:ascii="Times New Roman" w:hAnsi="Times New Roman" w:cs="Times New Roman"/>
                <w:i/>
                <w:iCs/>
                <w:color w:val="auto"/>
                <w:sz w:val="21"/>
                <w:szCs w:val="21"/>
                <w:vertAlign w:val="subscript"/>
              </w:rPr>
              <w:t>p2</w:t>
            </w:r>
            <w:r>
              <w:rPr>
                <w:rFonts w:hint="default" w:ascii="Times New Roman" w:hAnsi="Times New Roman" w:cs="Times New Roman"/>
                <w:color w:val="auto"/>
                <w:sz w:val="21"/>
                <w:szCs w:val="21"/>
              </w:rPr>
              <w:t>。若声源所在室内声场为近似扩散声场，则室外的倍频带声压级可按下式近似求出：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i/>
                <w:iCs/>
                <w:color w:val="auto"/>
                <w:sz w:val="21"/>
                <w:szCs w:val="21"/>
              </w:rPr>
            </w:pPr>
            <w:r>
              <w:rPr>
                <w:rFonts w:hint="default" w:ascii="Times New Roman" w:hAnsi="Times New Roman" w:cs="Times New Roman"/>
                <w:i/>
                <w:iCs/>
                <w:color w:val="auto"/>
                <w:sz w:val="21"/>
                <w:szCs w:val="21"/>
              </w:rPr>
              <w:t>L</w:t>
            </w:r>
            <w:r>
              <w:rPr>
                <w:rFonts w:hint="default" w:ascii="Times New Roman" w:hAnsi="Times New Roman" w:cs="Times New Roman"/>
                <w:i/>
                <w:iCs/>
                <w:color w:val="auto"/>
                <w:sz w:val="21"/>
                <w:szCs w:val="21"/>
                <w:vertAlign w:val="subscript"/>
              </w:rPr>
              <w:t>p2=</w:t>
            </w:r>
            <w:r>
              <w:rPr>
                <w:rFonts w:hint="default" w:ascii="Times New Roman" w:hAnsi="Times New Roman" w:cs="Times New Roman"/>
                <w:i/>
                <w:iCs/>
                <w:color w:val="auto"/>
                <w:sz w:val="21"/>
                <w:szCs w:val="21"/>
              </w:rPr>
              <w:t xml:space="preserve"> L</w:t>
            </w:r>
            <w:r>
              <w:rPr>
                <w:rFonts w:hint="default" w:ascii="Times New Roman" w:hAnsi="Times New Roman" w:cs="Times New Roman"/>
                <w:i/>
                <w:iCs/>
                <w:color w:val="auto"/>
                <w:sz w:val="21"/>
                <w:szCs w:val="21"/>
                <w:vertAlign w:val="subscript"/>
              </w:rPr>
              <w:t>p1</w:t>
            </w:r>
            <w:r>
              <w:rPr>
                <w:rFonts w:hint="default" w:ascii="Times New Roman" w:hAnsi="Times New Roman" w:cs="Times New Roman"/>
                <w:i/>
                <w:iCs/>
                <w:color w:val="auto"/>
                <w:sz w:val="21"/>
                <w:szCs w:val="21"/>
              </w:rPr>
              <w:t>-（TL+6）</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w:t>
            </w:r>
            <w:r>
              <w:rPr>
                <w:rFonts w:hint="default" w:ascii="Times New Roman" w:hAnsi="Times New Roman" w:cs="Times New Roman"/>
                <w:i/>
                <w:iCs/>
                <w:color w:val="auto"/>
                <w:sz w:val="21"/>
                <w:szCs w:val="21"/>
              </w:rPr>
              <w:t>L</w:t>
            </w:r>
            <w:r>
              <w:rPr>
                <w:rFonts w:hint="default" w:ascii="Times New Roman" w:hAnsi="Times New Roman" w:cs="Times New Roman"/>
                <w:i/>
                <w:iCs/>
                <w:color w:val="auto"/>
                <w:sz w:val="21"/>
                <w:szCs w:val="21"/>
                <w:vertAlign w:val="subscript"/>
              </w:rPr>
              <w:t>p1</w:t>
            </w:r>
            <w:r>
              <w:rPr>
                <w:rFonts w:hint="default" w:ascii="Times New Roman" w:hAnsi="Times New Roman" w:cs="Times New Roman"/>
                <w:color w:val="auto"/>
                <w:sz w:val="21"/>
                <w:szCs w:val="21"/>
              </w:rPr>
              <w:t>——靠近开口处（或窗户）室内某倍频带的声压级或A声级，dB；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i/>
                <w:iCs/>
                <w:color w:val="auto"/>
                <w:sz w:val="21"/>
                <w:szCs w:val="21"/>
              </w:rPr>
              <w:t>L</w:t>
            </w:r>
            <w:r>
              <w:rPr>
                <w:rFonts w:hint="default" w:ascii="Times New Roman" w:hAnsi="Times New Roman" w:cs="Times New Roman"/>
                <w:i/>
                <w:iCs/>
                <w:color w:val="auto"/>
                <w:sz w:val="21"/>
                <w:szCs w:val="21"/>
                <w:vertAlign w:val="subscript"/>
              </w:rPr>
              <w:t>p2</w:t>
            </w:r>
            <w:r>
              <w:rPr>
                <w:rFonts w:hint="default" w:ascii="Times New Roman" w:hAnsi="Times New Roman" w:cs="Times New Roman"/>
                <w:color w:val="auto"/>
                <w:sz w:val="21"/>
                <w:szCs w:val="21"/>
              </w:rPr>
              <w:t>——靠近开口处（或窗户）室外某倍频带的声压级或A声级，dB；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i/>
                <w:iCs/>
                <w:color w:val="auto"/>
                <w:sz w:val="21"/>
                <w:szCs w:val="21"/>
              </w:rPr>
              <w:t>TL</w:t>
            </w:r>
            <w:r>
              <w:rPr>
                <w:rFonts w:hint="default" w:ascii="Times New Roman" w:hAnsi="Times New Roman" w:cs="Times New Roman"/>
                <w:color w:val="auto"/>
                <w:sz w:val="21"/>
                <w:szCs w:val="21"/>
              </w:rPr>
              <w:t>——隔墙（或窗户）倍频带或A声级的隔音量，dB。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如下图所示。</w:t>
            </w:r>
          </w:p>
          <w:p>
            <w:pPr>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2867025" cy="1409700"/>
                  <wp:effectExtent l="0" t="0" r="9525" b="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27"/>
                          <a:stretch>
                            <a:fillRect/>
                          </a:stretch>
                        </pic:blipFill>
                        <pic:spPr>
                          <a:xfrm>
                            <a:off x="0" y="0"/>
                            <a:ext cx="2867025" cy="1409700"/>
                          </a:xfrm>
                          <a:prstGeom prst="rect">
                            <a:avLst/>
                          </a:prstGeom>
                          <a:noFill/>
                          <a:ln>
                            <a:noFill/>
                          </a:ln>
                        </pic:spPr>
                      </pic:pic>
                    </a:graphicData>
                  </a:graphic>
                </wp:inline>
              </w:drawing>
            </w:r>
          </w:p>
          <w:p>
            <w:pPr>
              <w:pStyle w:val="28"/>
              <w:keepNext w:val="0"/>
              <w:keepLines w:val="0"/>
              <w:pageBreakBefore w:val="0"/>
              <w:widowControl w:val="0"/>
              <w:numPr>
                <w:ilvl w:val="0"/>
                <w:numId w:val="18"/>
              </w:numPr>
              <w:kinsoku/>
              <w:wordWrap/>
              <w:overflowPunct/>
              <w:topLinePunct w:val="0"/>
              <w:bidi w:val="0"/>
              <w:adjustRightInd/>
              <w:snapToGrid/>
              <w:spacing w:line="360" w:lineRule="auto"/>
              <w:ind w:left="0" w:leftChars="0" w:hanging="420" w:firstLineChars="0"/>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室内声源等效为室外声源图例</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 xml:space="preserve">●室外点声源利用点源衰减公式 </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lang w:val="it-IT"/>
              </w:rPr>
            </w:pPr>
            <w:r>
              <w:rPr>
                <w:rFonts w:hint="default" w:ascii="Times New Roman" w:hAnsi="Times New Roman" w:cs="Times New Roman"/>
                <w:color w:val="auto"/>
                <w:kern w:val="0"/>
                <w:sz w:val="21"/>
                <w:szCs w:val="21"/>
                <w:lang w:val="it-IT"/>
              </w:rPr>
              <w:t>LA（r）=LA(r</w:t>
            </w:r>
            <w:r>
              <w:rPr>
                <w:rFonts w:hint="default" w:ascii="Times New Roman" w:hAnsi="Times New Roman" w:cs="Times New Roman"/>
                <w:color w:val="auto"/>
                <w:kern w:val="0"/>
                <w:sz w:val="21"/>
                <w:szCs w:val="21"/>
                <w:vertAlign w:val="subscript"/>
                <w:lang w:val="it-IT"/>
              </w:rPr>
              <w:t>0</w:t>
            </w:r>
            <w:r>
              <w:rPr>
                <w:rFonts w:hint="default" w:ascii="Times New Roman" w:hAnsi="Times New Roman" w:cs="Times New Roman"/>
                <w:color w:val="auto"/>
                <w:kern w:val="0"/>
                <w:sz w:val="21"/>
                <w:szCs w:val="21"/>
                <w:lang w:val="it-IT"/>
              </w:rPr>
              <w:t>)</w:t>
            </w:r>
            <w:r>
              <w:rPr>
                <w:rFonts w:hint="default" w:ascii="Times New Roman" w:hAnsi="Times New Roman" w:cs="Times New Roman"/>
                <w:color w:val="auto"/>
                <w:kern w:val="0"/>
                <w:sz w:val="21"/>
                <w:szCs w:val="21"/>
              </w:rPr>
              <w:sym w:font="Symbol" w:char="F02D"/>
            </w:r>
            <w:r>
              <w:rPr>
                <w:rFonts w:hint="default" w:ascii="Times New Roman" w:hAnsi="Times New Roman" w:cs="Times New Roman"/>
                <w:color w:val="auto"/>
                <w:kern w:val="0"/>
                <w:sz w:val="21"/>
                <w:szCs w:val="21"/>
                <w:lang w:val="it-IT"/>
              </w:rPr>
              <w:t>20lgr/r</w:t>
            </w:r>
            <w:r>
              <w:rPr>
                <w:rFonts w:hint="default" w:ascii="Times New Roman" w:hAnsi="Times New Roman" w:cs="Times New Roman"/>
                <w:color w:val="auto"/>
                <w:kern w:val="0"/>
                <w:sz w:val="21"/>
                <w:szCs w:val="21"/>
              </w:rPr>
              <w:sym w:font="Symbol" w:char="F02D"/>
            </w:r>
            <w:r>
              <w:rPr>
                <w:rFonts w:hint="default" w:ascii="Times New Roman" w:hAnsi="Times New Roman" w:cs="Times New Roman"/>
                <w:color w:val="auto"/>
                <w:kern w:val="0"/>
                <w:sz w:val="21"/>
                <w:szCs w:val="21"/>
                <w:lang w:val="it-IT"/>
              </w:rPr>
              <w:t>8</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式中LA(r)、LA(r</w:t>
            </w:r>
            <w:r>
              <w:rPr>
                <w:rFonts w:hint="default" w:ascii="Times New Roman" w:hAnsi="Times New Roman" w:cs="Times New Roman"/>
                <w:color w:val="auto"/>
                <w:kern w:val="0"/>
                <w:sz w:val="21"/>
                <w:szCs w:val="21"/>
                <w:vertAlign w:val="subscript"/>
              </w:rPr>
              <w:t>0</w:t>
            </w:r>
            <w:r>
              <w:rPr>
                <w:rFonts w:hint="default" w:ascii="Times New Roman" w:hAnsi="Times New Roman" w:cs="Times New Roman"/>
                <w:color w:val="auto"/>
                <w:kern w:val="0"/>
                <w:sz w:val="21"/>
                <w:szCs w:val="21"/>
              </w:rPr>
              <w:t>)分别是距声源、r</w:t>
            </w:r>
            <w:r>
              <w:rPr>
                <w:rFonts w:hint="default" w:ascii="Times New Roman" w:hAnsi="Times New Roman" w:cs="Times New Roman"/>
                <w:color w:val="auto"/>
                <w:kern w:val="0"/>
                <w:sz w:val="21"/>
                <w:szCs w:val="21"/>
                <w:vertAlign w:val="subscript"/>
              </w:rPr>
              <w:t>0</w:t>
            </w:r>
            <w:r>
              <w:rPr>
                <w:rFonts w:hint="default" w:ascii="Times New Roman" w:hAnsi="Times New Roman" w:cs="Times New Roman"/>
                <w:color w:val="auto"/>
                <w:kern w:val="0"/>
                <w:sz w:val="21"/>
                <w:szCs w:val="21"/>
              </w:rPr>
              <w:t>处的A声级值。</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●户外建筑物的声屏障效应</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声屏障的隔声效应与声源和接收点、屏障位置、屏障高度和屏障长度及结构性质有关，评价根据它们之间的距离、声音的频率（一般取500HZ）算出菲涅尔系数，然后再查表找出相对应的衰减值（dB）。菲涅尔系数的计算方法如下：</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N=2（A+B+d）</w:t>
            </w:r>
            <w:r>
              <w:rPr>
                <w:rFonts w:hint="default" w:ascii="Times New Roman" w:hAnsi="Times New Roman" w:cs="Times New Roman"/>
                <w:color w:val="auto"/>
                <w:kern w:val="0"/>
                <w:sz w:val="21"/>
                <w:szCs w:val="21"/>
              </w:rPr>
              <w:sym w:font="Symbol" w:char="F06C"/>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式中：A—是声源与屏障顶端的距离；</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B—是接收点与屏障顶端的距离；</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d—是声源与接收点间的距离；</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sym w:font="Symbol" w:char="F06C"/>
            </w:r>
            <w:r>
              <w:rPr>
                <w:rFonts w:hint="default" w:ascii="Times New Roman" w:hAnsi="Times New Roman" w:cs="Times New Roman"/>
                <w:color w:val="auto"/>
                <w:kern w:val="0"/>
                <w:sz w:val="21"/>
                <w:szCs w:val="21"/>
              </w:rPr>
              <w:t>—波长。</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●空气吸收引起的衰减（Aatm）</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空气吸收引起的衰减按以下公式计算：</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Aatm=a（r</w:t>
            </w:r>
            <w:r>
              <w:rPr>
                <w:rFonts w:hint="default" w:ascii="Times New Roman" w:hAnsi="Times New Roman" w:cs="Times New Roman"/>
                <w:color w:val="auto"/>
                <w:kern w:val="0"/>
                <w:sz w:val="21"/>
                <w:szCs w:val="21"/>
              </w:rPr>
              <w:sym w:font="Symbol" w:char="F02D"/>
            </w:r>
            <w:r>
              <w:rPr>
                <w:rFonts w:hint="default" w:ascii="Times New Roman" w:hAnsi="Times New Roman" w:cs="Times New Roman"/>
                <w:color w:val="auto"/>
                <w:kern w:val="0"/>
                <w:sz w:val="21"/>
                <w:szCs w:val="21"/>
              </w:rPr>
              <w:t xml:space="preserve"> r</w:t>
            </w:r>
            <w:r>
              <w:rPr>
                <w:rFonts w:hint="default" w:ascii="Times New Roman" w:hAnsi="Times New Roman" w:cs="Times New Roman"/>
                <w:color w:val="auto"/>
                <w:kern w:val="0"/>
                <w:sz w:val="21"/>
                <w:szCs w:val="21"/>
                <w:vertAlign w:val="subscript"/>
              </w:rPr>
              <w:t>0</w:t>
            </w:r>
            <w:r>
              <w:rPr>
                <w:rFonts w:hint="default" w:ascii="Times New Roman" w:hAnsi="Times New Roman" w:cs="Times New Roman"/>
                <w:color w:val="auto"/>
                <w:kern w:val="0"/>
                <w:sz w:val="21"/>
                <w:szCs w:val="21"/>
              </w:rPr>
              <w:t>）1000</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式中：a为温度、湿度和声波频率的函数，预测计算中一般根据建设项目所处区域常年平均气温和湿度选择相应的空气吸收系数</w:t>
            </w:r>
            <w:r>
              <w:rPr>
                <w:rFonts w:hint="default" w:ascii="Times New Roman" w:hAnsi="Times New Roman" w:cs="Times New Roman"/>
                <w:color w:val="auto"/>
                <w:kern w:val="0"/>
                <w:sz w:val="21"/>
                <w:szCs w:val="21"/>
                <w:lang w:eastAsia="zh-CN"/>
              </w:rPr>
              <w:t>，见下表</w:t>
            </w:r>
            <w:r>
              <w:rPr>
                <w:rFonts w:hint="default" w:ascii="Times New Roman" w:hAnsi="Times New Roman" w:cs="Times New Roman"/>
                <w:color w:val="auto"/>
                <w:kern w:val="0"/>
                <w:sz w:val="21"/>
                <w:szCs w:val="21"/>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倍频带噪声的大气吸收衰减系数</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013"/>
              <w:gridCol w:w="967"/>
              <w:gridCol w:w="934"/>
              <w:gridCol w:w="1019"/>
              <w:gridCol w:w="934"/>
              <w:gridCol w:w="935"/>
              <w:gridCol w:w="8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温度</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相对湿度</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374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大气吸收衰减系数a，dB/km，倍频带中心频率Hz</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66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63</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250</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500</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1000</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1.9</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3.1</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7.4</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0.6</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8.2</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4.2</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6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w:t>
                  </w:r>
                </w:p>
              </w:tc>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4.1</w:t>
                  </w:r>
                </w:p>
              </w:tc>
              <w:tc>
                <w:tcPr>
                  <w:tcW w:w="5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8.3</w:t>
                  </w:r>
                </w:p>
              </w:tc>
            </w:tr>
          </w:tbl>
          <w:p>
            <w:pPr>
              <w:keepNext w:val="0"/>
              <w:keepLines w:val="0"/>
              <w:pageBreakBefore w:val="0"/>
              <w:widowControl/>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（4）参数选取</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项目</w:t>
            </w:r>
            <w:r>
              <w:rPr>
                <w:rFonts w:hint="default" w:ascii="Times New Roman" w:hAnsi="Times New Roman" w:cs="Times New Roman"/>
                <w:color w:val="auto"/>
                <w:kern w:val="0"/>
                <w:sz w:val="21"/>
                <w:szCs w:val="21"/>
                <w:highlight w:val="none"/>
                <w:lang w:eastAsia="zh-CN"/>
              </w:rPr>
              <w:t>位于新乡市红旗区洪门镇，</w:t>
            </w:r>
            <w:r>
              <w:rPr>
                <w:rFonts w:hint="default" w:ascii="Times New Roman" w:hAnsi="Times New Roman" w:cs="Times New Roman"/>
                <w:color w:val="auto"/>
                <w:kern w:val="0"/>
                <w:sz w:val="21"/>
                <w:szCs w:val="21"/>
                <w:highlight w:val="none"/>
              </w:rPr>
              <w:t>所在区域的年平均温度为</w:t>
            </w:r>
            <w:r>
              <w:rPr>
                <w:rFonts w:hint="default" w:ascii="Times New Roman" w:hAnsi="Times New Roman" w:cs="Times New Roman"/>
                <w:color w:val="auto"/>
                <w:kern w:val="0"/>
                <w:sz w:val="21"/>
                <w:szCs w:val="21"/>
                <w:highlight w:val="none"/>
                <w:lang w:val="en-US" w:eastAsia="zh-CN"/>
              </w:rPr>
              <w:t>15.8</w:t>
            </w:r>
            <w:r>
              <w:rPr>
                <w:rFonts w:hint="default" w:ascii="Times New Roman" w:hAnsi="Times New Roman" w:cs="Times New Roman"/>
                <w:color w:val="auto"/>
                <w:kern w:val="0"/>
                <w:sz w:val="21"/>
                <w:szCs w:val="21"/>
                <w:highlight w:val="none"/>
              </w:rPr>
              <w:t>℃，湿度为6</w:t>
            </w:r>
            <w:r>
              <w:rPr>
                <w:rFonts w:hint="default" w:ascii="Times New Roman" w:hAnsi="Times New Roman" w:cs="Times New Roman"/>
                <w:color w:val="auto"/>
                <w:kern w:val="0"/>
                <w:sz w:val="21"/>
                <w:szCs w:val="21"/>
                <w:highlight w:val="none"/>
                <w:lang w:val="en-US" w:eastAsia="zh-CN"/>
              </w:rPr>
              <w:t>8</w:t>
            </w:r>
            <w:r>
              <w:rPr>
                <w:rFonts w:hint="default" w:ascii="Times New Roman" w:hAnsi="Times New Roman" w:cs="Times New Roman"/>
                <w:color w:val="auto"/>
                <w:kern w:val="0"/>
                <w:sz w:val="21"/>
                <w:szCs w:val="21"/>
                <w:highlight w:val="none"/>
              </w:rPr>
              <w:t>%。计算过程考虑了建筑物的屏障作用和室内源向室外的传播。</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jc w:val="left"/>
              <w:textAlignment w:val="auto"/>
              <w:rPr>
                <w:rFonts w:hint="default" w:ascii="Times New Roman" w:hAnsi="Times New Roman" w:cs="Times New Roman"/>
                <w:b/>
                <w:bCs w:val="0"/>
                <w:color w:val="auto"/>
                <w:highlight w:val="none"/>
              </w:rPr>
            </w:pPr>
            <w:r>
              <w:rPr>
                <w:rFonts w:hint="eastAsia" w:cs="Times New Roman"/>
                <w:b/>
                <w:bCs w:val="0"/>
                <w:color w:val="auto"/>
                <w:szCs w:val="21"/>
                <w:highlight w:val="none"/>
                <w:lang w:eastAsia="zh-CN"/>
              </w:rPr>
              <w:t>（</w:t>
            </w:r>
            <w:r>
              <w:rPr>
                <w:rFonts w:hint="eastAsia" w:cs="Times New Roman"/>
                <w:b/>
                <w:bCs w:val="0"/>
                <w:color w:val="auto"/>
                <w:szCs w:val="21"/>
                <w:highlight w:val="none"/>
                <w:lang w:val="en-US" w:eastAsia="zh-CN"/>
              </w:rPr>
              <w:t>5</w:t>
            </w:r>
            <w:r>
              <w:rPr>
                <w:rFonts w:hint="eastAsia" w:cs="Times New Roman"/>
                <w:b/>
                <w:bCs w:val="0"/>
                <w:color w:val="auto"/>
                <w:szCs w:val="21"/>
                <w:highlight w:val="none"/>
                <w:lang w:eastAsia="zh-CN"/>
              </w:rPr>
              <w:t>）</w:t>
            </w:r>
            <w:r>
              <w:rPr>
                <w:rFonts w:hint="default" w:ascii="Times New Roman" w:hAnsi="Times New Roman" w:cs="Times New Roman"/>
                <w:b/>
                <w:bCs w:val="0"/>
                <w:color w:val="auto"/>
                <w:szCs w:val="21"/>
                <w:highlight w:val="none"/>
              </w:rPr>
              <w:t>预测结果及评价</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各厂界昼间噪声预测结果</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876"/>
              <w:gridCol w:w="929"/>
              <w:gridCol w:w="929"/>
              <w:gridCol w:w="929"/>
              <w:gridCol w:w="930"/>
              <w:gridCol w:w="962"/>
              <w:gridCol w:w="9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7" w:type="pct"/>
                  <w:vMerge w:val="restar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mc:AlternateContent>
                      <mc:Choice Requires="wpsCustomData">
                        <wpsCustomData:diagonalParaType/>
                      </mc:Choice>
                    </mc:AlternateContent>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边界</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项目</w:t>
                  </w:r>
                </w:p>
              </w:tc>
              <w:tc>
                <w:tcPr>
                  <w:tcW w:w="57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贡献值</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dB（A）</w:t>
                  </w:r>
                </w:p>
              </w:tc>
              <w:tc>
                <w:tcPr>
                  <w:tcW w:w="12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背景值dB（A）</w:t>
                  </w:r>
                </w:p>
              </w:tc>
              <w:tc>
                <w:tcPr>
                  <w:tcW w:w="12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预测值dB（A）</w:t>
                  </w:r>
                </w:p>
              </w:tc>
              <w:tc>
                <w:tcPr>
                  <w:tcW w:w="63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标准</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dB（A）</w:t>
                  </w:r>
                </w:p>
              </w:tc>
              <w:tc>
                <w:tcPr>
                  <w:tcW w:w="64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697" w:type="pct"/>
                  <w:vMerge w:val="continue"/>
                  <w:noWrap w:val="0"/>
                  <w:vAlign w:val="bottom"/>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18"/>
                      <w:szCs w:val="18"/>
                      <w:highlight w:val="none"/>
                      <w:lang w:eastAsia="zh-CN"/>
                    </w:rPr>
                  </w:pPr>
                </w:p>
              </w:tc>
              <w:tc>
                <w:tcPr>
                  <w:tcW w:w="57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昼间</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夜间</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昼间</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夜间</w:t>
                  </w:r>
                </w:p>
              </w:tc>
              <w:tc>
                <w:tcPr>
                  <w:tcW w:w="63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64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东厂界</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48.63</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54</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42</w:t>
                  </w:r>
                </w:p>
              </w:tc>
              <w:tc>
                <w:tcPr>
                  <w:tcW w:w="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55.11</w:t>
                  </w:r>
                </w:p>
              </w:tc>
              <w:tc>
                <w:tcPr>
                  <w:tcW w:w="9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49.48</w:t>
                  </w:r>
                </w:p>
              </w:tc>
              <w:tc>
                <w:tcPr>
                  <w:tcW w:w="63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昼间</w:t>
                  </w:r>
                  <w:r>
                    <w:rPr>
                      <w:rFonts w:hint="default" w:ascii="Times New Roman" w:hAnsi="Times New Roman" w:eastAsia="宋体" w:cs="Times New Roman"/>
                      <w:color w:val="auto"/>
                      <w:sz w:val="18"/>
                      <w:szCs w:val="18"/>
                      <w:highlight w:val="none"/>
                      <w:lang w:val="en-US" w:eastAsia="zh-CN"/>
                    </w:rPr>
                    <w:t>60</w:t>
                  </w:r>
                </w:p>
                <w:p>
                  <w:pPr>
                    <w:pStyle w:val="21"/>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18"/>
                      <w:szCs w:val="18"/>
                      <w:highlight w:val="none"/>
                      <w:lang w:val="en-US" w:eastAsia="zh-CN"/>
                    </w:rPr>
                    <w:t>夜间50</w:t>
                  </w: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西厂界</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27.05</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54</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42</w:t>
                  </w:r>
                </w:p>
              </w:tc>
              <w:tc>
                <w:tcPr>
                  <w:tcW w:w="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54.01</w:t>
                  </w:r>
                </w:p>
              </w:tc>
              <w:tc>
                <w:tcPr>
                  <w:tcW w:w="9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42.14</w:t>
                  </w:r>
                </w:p>
              </w:tc>
              <w:tc>
                <w:tcPr>
                  <w:tcW w:w="63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南厂界</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26.9</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54</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42</w:t>
                  </w:r>
                </w:p>
              </w:tc>
              <w:tc>
                <w:tcPr>
                  <w:tcW w:w="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54.01</w:t>
                  </w:r>
                </w:p>
              </w:tc>
              <w:tc>
                <w:tcPr>
                  <w:tcW w:w="9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42.13</w:t>
                  </w:r>
                </w:p>
              </w:tc>
              <w:tc>
                <w:tcPr>
                  <w:tcW w:w="63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北厂界</w:t>
                  </w:r>
                </w:p>
              </w:tc>
              <w:tc>
                <w:tcPr>
                  <w:tcW w:w="57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26.76</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54</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42</w:t>
                  </w:r>
                </w:p>
              </w:tc>
              <w:tc>
                <w:tcPr>
                  <w:tcW w:w="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54.01</w:t>
                  </w:r>
                </w:p>
              </w:tc>
              <w:tc>
                <w:tcPr>
                  <w:tcW w:w="93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42.13</w:t>
                  </w:r>
                </w:p>
              </w:tc>
              <w:tc>
                <w:tcPr>
                  <w:tcW w:w="63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p>
              </w:tc>
              <w:tc>
                <w:tcPr>
                  <w:tcW w:w="64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rPr>
                <w:rFonts w:hint="default"/>
                <w:color w:val="auto"/>
              </w:rPr>
            </w:pPr>
            <w:r>
              <w:rPr>
                <w:rFonts w:hint="default" w:ascii="Times New Roman" w:hAnsi="Times New Roman" w:cs="Times New Roman"/>
                <w:color w:val="auto"/>
                <w:szCs w:val="21"/>
                <w:highlight w:val="none"/>
                <w:lang w:eastAsia="zh-CN"/>
              </w:rPr>
              <w:t>项目厂界</w:t>
            </w:r>
            <w:r>
              <w:rPr>
                <w:rFonts w:hint="default" w:ascii="Times New Roman" w:hAnsi="Times New Roman" w:cs="Times New Roman"/>
                <w:color w:val="auto"/>
                <w:szCs w:val="21"/>
                <w:highlight w:val="none"/>
              </w:rPr>
              <w:t>周围</w:t>
            </w:r>
            <w:r>
              <w:rPr>
                <w:rFonts w:hint="default" w:ascii="Times New Roman" w:hAnsi="Times New Roman" w:cs="Times New Roman"/>
                <w:color w:val="auto"/>
                <w:szCs w:val="21"/>
                <w:highlight w:val="none"/>
                <w:lang w:val="en-US" w:eastAsia="zh-CN"/>
              </w:rPr>
              <w:t>50</w:t>
            </w:r>
            <w:r>
              <w:rPr>
                <w:rFonts w:hint="default" w:ascii="Times New Roman" w:hAnsi="Times New Roman" w:cs="Times New Roman"/>
                <w:color w:val="auto"/>
                <w:szCs w:val="21"/>
                <w:highlight w:val="none"/>
              </w:rPr>
              <w:t>m范围内的环境敏感点为南侧</w:t>
            </w:r>
            <w:r>
              <w:rPr>
                <w:rFonts w:hint="default" w:ascii="Times New Roman" w:hAnsi="Times New Roman" w:cs="Times New Roman"/>
                <w:color w:val="auto"/>
                <w:szCs w:val="21"/>
                <w:highlight w:val="none"/>
                <w:lang w:val="en-US" w:eastAsia="zh-CN"/>
              </w:rPr>
              <w:t>25m处隆府花园小区居民楼</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项目厂界</w:t>
            </w:r>
            <w:r>
              <w:rPr>
                <w:rFonts w:hint="default" w:ascii="Times New Roman" w:hAnsi="Times New Roman" w:cs="Times New Roman"/>
                <w:color w:val="auto"/>
                <w:szCs w:val="21"/>
                <w:highlight w:val="none"/>
              </w:rPr>
              <w:t>距离</w:t>
            </w:r>
            <w:r>
              <w:rPr>
                <w:rFonts w:hint="default" w:ascii="Times New Roman" w:hAnsi="Times New Roman" w:cs="Times New Roman"/>
                <w:color w:val="auto"/>
                <w:szCs w:val="21"/>
                <w:highlight w:val="none"/>
                <w:lang w:eastAsia="zh-CN"/>
              </w:rPr>
              <w:t>该敏感点</w:t>
            </w:r>
            <w:r>
              <w:rPr>
                <w:rFonts w:hint="default" w:ascii="Times New Roman" w:hAnsi="Times New Roman" w:cs="Times New Roman"/>
                <w:color w:val="auto"/>
                <w:szCs w:val="21"/>
                <w:highlight w:val="none"/>
              </w:rPr>
              <w:t>较近，</w:t>
            </w:r>
            <w:r>
              <w:rPr>
                <w:rFonts w:hint="default" w:ascii="Times New Roman" w:hAnsi="Times New Roman" w:cs="Times New Roman"/>
                <w:color w:val="auto"/>
                <w:szCs w:val="21"/>
                <w:highlight w:val="none"/>
                <w:lang w:eastAsia="zh-CN"/>
              </w:rPr>
              <w:t>但本次技改车间距离该敏感点较远（约</w:t>
            </w:r>
            <w:r>
              <w:rPr>
                <w:rFonts w:hint="default" w:ascii="Times New Roman" w:hAnsi="Times New Roman" w:cs="Times New Roman"/>
                <w:color w:val="auto"/>
                <w:szCs w:val="21"/>
                <w:highlight w:val="none"/>
                <w:lang w:val="en-US" w:eastAsia="zh-CN"/>
              </w:rPr>
              <w:t>85m</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为进一步降低项目生产过程中产生的噪声对周围环境敏感点的影响，评价要求企业</w:t>
            </w:r>
            <w:r>
              <w:rPr>
                <w:rFonts w:hint="default" w:ascii="Times New Roman" w:hAnsi="Times New Roman" w:cs="Times New Roman"/>
                <w:color w:val="auto"/>
                <w:szCs w:val="21"/>
                <w:highlight w:val="none"/>
                <w:lang w:eastAsia="zh-CN"/>
              </w:rPr>
              <w:t>规范日产生产，合理安排生产时间，将高噪声加工工序尽量安排再昼间加工</w:t>
            </w:r>
            <w:r>
              <w:rPr>
                <w:rFonts w:hint="default" w:ascii="Times New Roman" w:hAnsi="Times New Roman" w:cs="Times New Roman"/>
                <w:color w:val="auto"/>
                <w:szCs w:val="21"/>
                <w:highlight w:val="none"/>
              </w:rPr>
              <w:t>，通过采取上述措施，再经距离衰减后，项目噪声对周围敏感点贡献值如下：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周围敏感点噪声预测结果一览表</w:t>
            </w:r>
          </w:p>
          <w:tbl>
            <w:tblPr>
              <w:tblStyle w:val="22"/>
              <w:tblpPr w:leftFromText="180" w:rightFromText="180" w:vertAnchor="text" w:tblpX="1" w:tblpY="1"/>
              <w:tblOverlap w:val="never"/>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1143"/>
              <w:gridCol w:w="884"/>
              <w:gridCol w:w="695"/>
              <w:gridCol w:w="698"/>
              <w:gridCol w:w="695"/>
              <w:gridCol w:w="699"/>
              <w:gridCol w:w="19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源强</w:t>
                  </w:r>
                </w:p>
              </w:tc>
              <w:tc>
                <w:tcPr>
                  <w:tcW w:w="753"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监测点</w:t>
                  </w:r>
                </w:p>
              </w:tc>
              <w:tc>
                <w:tcPr>
                  <w:tcW w:w="582"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贡献值</w:t>
                  </w:r>
                </w:p>
              </w:tc>
              <w:tc>
                <w:tcPr>
                  <w:tcW w:w="91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rPr>
                    <w:t>背景值dB（A）</w:t>
                  </w:r>
                </w:p>
              </w:tc>
              <w:tc>
                <w:tcPr>
                  <w:tcW w:w="91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rPr>
                    <w:t>预测值dB（A）</w:t>
                  </w:r>
                </w:p>
              </w:tc>
              <w:tc>
                <w:tcPr>
                  <w:tcW w:w="1264" w:type="pct"/>
                  <w:vMerge w:val="restar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cs="Times New Roman" w:eastAsiaTheme="minorEastAsia"/>
                      <w:color w:val="auto"/>
                      <w:sz w:val="18"/>
                      <w:szCs w:val="18"/>
                      <w:highlight w:val="none"/>
                    </w:rPr>
                  </w:pPr>
                </w:p>
              </w:tc>
              <w:tc>
                <w:tcPr>
                  <w:tcW w:w="753"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cs="Times New Roman" w:eastAsiaTheme="minorEastAsia"/>
                      <w:color w:val="auto"/>
                      <w:sz w:val="18"/>
                      <w:szCs w:val="18"/>
                      <w:highlight w:val="none"/>
                    </w:rPr>
                  </w:pPr>
                </w:p>
              </w:tc>
              <w:tc>
                <w:tcPr>
                  <w:tcW w:w="582"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cs="Times New Roman" w:eastAsiaTheme="minorEastAsia"/>
                      <w:color w:val="auto"/>
                      <w:sz w:val="18"/>
                      <w:szCs w:val="18"/>
                      <w:highlight w:val="none"/>
                    </w:rPr>
                  </w:pP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rPr>
                    <w:t>昼间</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lang w:eastAsia="zh-CN"/>
                    </w:rPr>
                    <w:t>夜间</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rPr>
                    <w:t>昼间</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lang w:eastAsia="zh-CN"/>
                    </w:rPr>
                    <w:t>夜间</w:t>
                  </w:r>
                </w:p>
              </w:tc>
              <w:tc>
                <w:tcPr>
                  <w:tcW w:w="1264" w:type="pct"/>
                  <w:vMerge w:val="continue"/>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cs="Times New Roman" w:eastAsiaTheme="minorEastAsia"/>
                      <w:color w:val="auto"/>
                      <w:sz w:val="18"/>
                      <w:szCs w:val="18"/>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pct"/>
                  <w:noWrap w:val="0"/>
                  <w:vAlign w:val="center"/>
                </w:tcPr>
                <w:p>
                  <w:pPr>
                    <w:pStyle w:val="28"/>
                    <w:keepNext w:val="0"/>
                    <w:keepLines w:val="0"/>
                    <w:pageBreakBefore w:val="0"/>
                    <w:widowControl w:val="0"/>
                    <w:kinsoku/>
                    <w:wordWrap/>
                    <w:overflowPunct/>
                    <w:topLinePunct w:val="0"/>
                    <w:bidi w:val="0"/>
                    <w:adjustRightInd/>
                    <w:snapToGrid/>
                    <w:spacing w:line="320" w:lineRule="exact"/>
                    <w:textAlignment w:val="auto"/>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eastAsia="zh-CN"/>
                    </w:rPr>
                    <w:t>机械设备噪声</w:t>
                  </w:r>
                </w:p>
              </w:tc>
              <w:tc>
                <w:tcPr>
                  <w:tcW w:w="753" w:type="pct"/>
                  <w:noWrap w:val="0"/>
                  <w:vAlign w:val="center"/>
                </w:tcPr>
                <w:p>
                  <w:pPr>
                    <w:keepNext w:val="0"/>
                    <w:keepLines w:val="0"/>
                    <w:pageBreakBefore w:val="0"/>
                    <w:widowControl w:val="0"/>
                    <w:kinsoku/>
                    <w:wordWrap/>
                    <w:overflowPunct/>
                    <w:topLinePunct w:val="0"/>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隆府花园小区（S，25m）</w:t>
                  </w:r>
                </w:p>
              </w:tc>
              <w:tc>
                <w:tcPr>
                  <w:tcW w:w="58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eastAsiaTheme="majorEastAsia"/>
                      <w:bCs/>
                      <w:color w:val="auto"/>
                      <w:sz w:val="18"/>
                      <w:szCs w:val="18"/>
                      <w:highlight w:val="none"/>
                      <w:lang w:val="en-US" w:eastAsia="zh-CN" w:bidi="ar-SA"/>
                    </w:rPr>
                  </w:pPr>
                  <w:r>
                    <w:rPr>
                      <w:rFonts w:hint="default" w:ascii="Times New Roman" w:hAnsi="Times New Roman" w:cs="Times New Roman" w:eastAsiaTheme="majorEastAsia"/>
                      <w:bCs/>
                      <w:color w:val="auto"/>
                      <w:sz w:val="18"/>
                      <w:szCs w:val="18"/>
                      <w:highlight w:val="none"/>
                      <w:lang w:val="en-US" w:eastAsia="zh-CN" w:bidi="ar-SA"/>
                    </w:rPr>
                    <w:t>26.41</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eastAsiaTheme="majorEastAsia"/>
                      <w:bCs/>
                      <w:color w:val="auto"/>
                      <w:sz w:val="18"/>
                      <w:szCs w:val="18"/>
                      <w:highlight w:val="none"/>
                      <w:lang w:val="en-US" w:eastAsia="zh-CN" w:bidi="ar-SA"/>
                    </w:rPr>
                  </w:pPr>
                  <w:r>
                    <w:rPr>
                      <w:rFonts w:hint="default" w:ascii="Times New Roman" w:hAnsi="Times New Roman" w:cs="Times New Roman" w:eastAsiaTheme="majorEastAsia"/>
                      <w:bCs/>
                      <w:color w:val="auto"/>
                      <w:sz w:val="18"/>
                      <w:szCs w:val="18"/>
                      <w:highlight w:val="none"/>
                      <w:lang w:val="en-US" w:eastAsia="zh-CN" w:bidi="ar-SA"/>
                    </w:rPr>
                    <w:t>54</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default" w:ascii="Times New Roman" w:hAnsi="Times New Roman" w:cs="Times New Roman" w:eastAsiaTheme="majorEastAsia"/>
                      <w:bCs/>
                      <w:color w:val="auto"/>
                      <w:sz w:val="18"/>
                      <w:szCs w:val="18"/>
                      <w:highlight w:val="none"/>
                      <w:lang w:val="en-US" w:eastAsia="zh-CN" w:bidi="ar-SA"/>
                    </w:rPr>
                  </w:pPr>
                  <w:r>
                    <w:rPr>
                      <w:rFonts w:hint="default" w:ascii="Times New Roman" w:hAnsi="Times New Roman" w:cs="Times New Roman" w:eastAsiaTheme="majorEastAsia"/>
                      <w:bCs/>
                      <w:color w:val="auto"/>
                      <w:sz w:val="18"/>
                      <w:szCs w:val="18"/>
                      <w:highlight w:val="none"/>
                      <w:lang w:val="en-US" w:eastAsia="zh-CN" w:bidi="ar-SA"/>
                    </w:rPr>
                    <w:t>43</w:t>
                  </w:r>
                </w:p>
              </w:tc>
              <w:tc>
                <w:tcPr>
                  <w:tcW w:w="458" w:type="pct"/>
                  <w:noWrap w:val="0"/>
                  <w:vAlign w:val="center"/>
                </w:tcPr>
                <w:p>
                  <w:pPr>
                    <w:keepNext w:val="0"/>
                    <w:keepLines w:val="0"/>
                    <w:pageBreakBefore w:val="0"/>
                    <w:widowControl/>
                    <w:suppressLineNumbers w:val="0"/>
                    <w:kinsoku/>
                    <w:overflowPunct/>
                    <w:topLinePunct w:val="0"/>
                    <w:bidi w:val="0"/>
                    <w:adjustRightInd/>
                    <w:snapToGrid/>
                    <w:spacing w:line="320" w:lineRule="exact"/>
                    <w:jc w:val="center"/>
                    <w:textAlignment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54.01</w:t>
                  </w:r>
                </w:p>
              </w:tc>
              <w:tc>
                <w:tcPr>
                  <w:tcW w:w="460" w:type="pct"/>
                  <w:noWrap w:val="0"/>
                  <w:vAlign w:val="center"/>
                </w:tcPr>
                <w:p>
                  <w:pPr>
                    <w:keepNext w:val="0"/>
                    <w:keepLines w:val="0"/>
                    <w:pageBreakBefore w:val="0"/>
                    <w:widowControl/>
                    <w:suppressLineNumbers w:val="0"/>
                    <w:kinsoku/>
                    <w:overflowPunct/>
                    <w:topLinePunct w:val="0"/>
                    <w:bidi w:val="0"/>
                    <w:adjustRightInd/>
                    <w:snapToGrid/>
                    <w:spacing w:line="320" w:lineRule="exact"/>
                    <w:jc w:val="center"/>
                    <w:textAlignment w:val="center"/>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43.09</w:t>
                  </w:r>
                </w:p>
              </w:tc>
              <w:tc>
                <w:tcPr>
                  <w:tcW w:w="1264" w:type="pct"/>
                  <w:noWrap w:val="0"/>
                  <w:vAlign w:val="center"/>
                </w:tcPr>
                <w:p>
                  <w:pPr>
                    <w:pStyle w:val="28"/>
                    <w:keepNext w:val="0"/>
                    <w:keepLines w:val="0"/>
                    <w:pageBreakBefore w:val="0"/>
                    <w:widowControl w:val="0"/>
                    <w:kinsoku/>
                    <w:wordWrap w:val="0"/>
                    <w:overflowPunct/>
                    <w:topLinePunct w:val="0"/>
                    <w:autoSpaceDE w:val="0"/>
                    <w:autoSpaceDN w:val="0"/>
                    <w:bidi w:val="0"/>
                    <w:adjustRightInd/>
                    <w:snapToGrid/>
                    <w:spacing w:line="320" w:lineRule="exact"/>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（昼间≤60dB（A）</w:t>
                  </w:r>
                  <w:r>
                    <w:rPr>
                      <w:rFonts w:hint="default" w:ascii="Times New Roman" w:hAnsi="Times New Roman" w:cs="Times New Roman" w:eastAsiaTheme="minorEastAsia"/>
                      <w:color w:val="auto"/>
                      <w:sz w:val="18"/>
                      <w:szCs w:val="18"/>
                      <w:highlight w:val="none"/>
                      <w:lang w:eastAsia="zh-CN"/>
                    </w:rPr>
                    <w:t>，夜间</w:t>
                  </w:r>
                  <w:r>
                    <w:rPr>
                      <w:rFonts w:hint="default" w:ascii="Times New Roman" w:hAnsi="Times New Roman" w:cs="Times New Roman" w:eastAsiaTheme="minorEastAsia"/>
                      <w:color w:val="auto"/>
                      <w:sz w:val="18"/>
                      <w:szCs w:val="18"/>
                      <w:highlight w:val="none"/>
                    </w:rPr>
                    <w:t>≤</w:t>
                  </w:r>
                  <w:r>
                    <w:rPr>
                      <w:rFonts w:hint="default" w:ascii="Times New Roman" w:hAnsi="Times New Roman" w:cs="Times New Roman" w:eastAsiaTheme="minorEastAsia"/>
                      <w:color w:val="auto"/>
                      <w:sz w:val="18"/>
                      <w:szCs w:val="18"/>
                      <w:highlight w:val="none"/>
                      <w:lang w:val="en-US" w:eastAsia="zh-CN"/>
                    </w:rPr>
                    <w:t>5</w:t>
                  </w:r>
                  <w:r>
                    <w:rPr>
                      <w:rFonts w:hint="default" w:ascii="Times New Roman" w:hAnsi="Times New Roman" w:cs="Times New Roman" w:eastAsiaTheme="minorEastAsia"/>
                      <w:color w:val="auto"/>
                      <w:sz w:val="18"/>
                      <w:szCs w:val="18"/>
                      <w:highlight w:val="none"/>
                    </w:rPr>
                    <w:t>0dB（A））</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由上表</w:t>
            </w:r>
            <w:r>
              <w:rPr>
                <w:rFonts w:hint="default" w:ascii="Times New Roman" w:hAnsi="Times New Roman" w:cs="Times New Roman"/>
                <w:color w:val="auto"/>
                <w:szCs w:val="21"/>
                <w:highlight w:val="none"/>
                <w:lang w:val="en-US" w:eastAsia="zh-CN"/>
              </w:rPr>
              <w:t>可知</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项目产生的噪声经加装减振基础、再经建筑物隔音、距离衰减后，运营期间厂界噪声昼间和夜间预测值均能满足《工业企业厂界环境噪声排放标准》（GB12348-2008）</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类标准要求</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昼间≤60dB（A）</w:t>
            </w:r>
            <w:r>
              <w:rPr>
                <w:rFonts w:hint="default" w:ascii="Times New Roman" w:hAnsi="Times New Roman" w:cs="Times New Roman"/>
                <w:color w:val="auto"/>
                <w:szCs w:val="21"/>
                <w:highlight w:val="none"/>
                <w:lang w:eastAsia="zh-CN"/>
              </w:rPr>
              <w:t>，夜间</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0dB（A）</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由上表</w:t>
            </w:r>
            <w:r>
              <w:rPr>
                <w:rFonts w:hint="default" w:ascii="Times New Roman" w:hAnsi="Times New Roman" w:cs="Times New Roman"/>
                <w:color w:val="auto"/>
                <w:szCs w:val="21"/>
                <w:highlight w:val="none"/>
                <w:lang w:val="en-US" w:eastAsia="zh-CN"/>
              </w:rPr>
              <w:t>3</w:t>
            </w:r>
            <w:r>
              <w:rPr>
                <w:rFonts w:hint="eastAsia" w:cs="Times New Roman"/>
                <w:color w:val="auto"/>
                <w:szCs w:val="21"/>
                <w:highlight w:val="none"/>
                <w:lang w:val="en-US" w:eastAsia="zh-CN"/>
              </w:rPr>
              <w:t>9</w:t>
            </w:r>
            <w:r>
              <w:rPr>
                <w:rFonts w:hint="default" w:ascii="Times New Roman" w:hAnsi="Times New Roman" w:cs="Times New Roman"/>
                <w:color w:val="auto"/>
                <w:szCs w:val="21"/>
                <w:highlight w:val="none"/>
                <w:lang w:val="en-US" w:eastAsia="zh-CN"/>
              </w:rPr>
              <w:t>可知</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工程噪声对敏感点处贡献值均较小，</w:t>
            </w:r>
            <w:r>
              <w:rPr>
                <w:rFonts w:hint="default" w:ascii="Times New Roman" w:hAnsi="Times New Roman" w:cs="Times New Roman"/>
                <w:color w:val="auto"/>
                <w:szCs w:val="21"/>
                <w:highlight w:val="none"/>
                <w:lang w:eastAsia="zh-CN"/>
              </w:rPr>
              <w:t>经预测敏感点处噪声</w:t>
            </w:r>
            <w:r>
              <w:rPr>
                <w:rFonts w:hint="default" w:ascii="Times New Roman" w:hAnsi="Times New Roman" w:cs="Times New Roman"/>
                <w:color w:val="auto"/>
                <w:szCs w:val="21"/>
                <w:highlight w:val="none"/>
              </w:rPr>
              <w:t>能够满足《声环境质量标准》（GB3096-2008）2类标准（昼间≤60dB（A）</w:t>
            </w:r>
            <w:r>
              <w:rPr>
                <w:rFonts w:hint="default" w:ascii="Times New Roman" w:hAnsi="Times New Roman" w:cs="Times New Roman"/>
                <w:color w:val="auto"/>
                <w:szCs w:val="21"/>
                <w:highlight w:val="none"/>
                <w:lang w:eastAsia="zh-CN"/>
              </w:rPr>
              <w:t>，夜间</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0dB（A））。</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w:t>
            </w:r>
            <w:r>
              <w:rPr>
                <w:rFonts w:hint="eastAsia" w:cs="Times New Roman"/>
                <w:b/>
                <w:bCs/>
                <w:color w:val="auto"/>
                <w:szCs w:val="21"/>
                <w:highlight w:val="none"/>
                <w:lang w:val="en-US" w:eastAsia="zh-CN"/>
              </w:rPr>
              <w:t>6</w:t>
            </w:r>
            <w:r>
              <w:rPr>
                <w:rFonts w:hint="default" w:ascii="Times New Roman" w:hAnsi="Times New Roman" w:cs="Times New Roman"/>
                <w:b/>
                <w:bCs/>
                <w:color w:val="auto"/>
                <w:szCs w:val="21"/>
                <w:highlight w:val="none"/>
              </w:rPr>
              <w:t>）监测计划</w:t>
            </w:r>
          </w:p>
          <w:p>
            <w:pPr>
              <w:pStyle w:val="3"/>
              <w:keepNext w:val="0"/>
              <w:keepLines w:val="0"/>
              <w:pageBreakBefore w:val="0"/>
              <w:widowControl w:val="0"/>
              <w:numPr>
                <w:ilvl w:val="2"/>
                <w:numId w:val="0"/>
              </w:numPr>
              <w:kinsoku/>
              <w:wordWrap/>
              <w:overflowPunct/>
              <w:topLinePunct w:val="0"/>
              <w:autoSpaceDE/>
              <w:autoSpaceDN/>
              <w:bidi w:val="0"/>
              <w:adjustRightInd/>
              <w:snapToGrid/>
              <w:spacing w:before="0" w:after="0" w:line="360" w:lineRule="auto"/>
              <w:ind w:right="0" w:rightChars="0" w:firstLine="420" w:firstLineChars="200"/>
              <w:textAlignment w:val="auto"/>
              <w:rPr>
                <w:rFonts w:hint="default"/>
                <w:color w:val="auto"/>
                <w:lang w:eastAsia="zh-CN"/>
              </w:rPr>
            </w:pPr>
            <w:r>
              <w:rPr>
                <w:rFonts w:hint="default" w:ascii="Times New Roman" w:hAnsi="Times New Roman" w:eastAsia="宋体" w:cs="Times New Roman"/>
                <w:b w:val="0"/>
                <w:bCs w:val="0"/>
                <w:color w:val="auto"/>
                <w:sz w:val="21"/>
                <w:szCs w:val="21"/>
                <w:highlight w:val="none"/>
                <w:vertAlign w:val="baseline"/>
                <w:lang w:eastAsia="zh-CN"/>
              </w:rPr>
              <w:t>参考</w:t>
            </w:r>
            <w:r>
              <w:rPr>
                <w:rFonts w:hint="default" w:ascii="Times New Roman" w:hAnsi="Times New Roman" w:eastAsia="宋体" w:cs="Times New Roman"/>
                <w:b w:val="0"/>
                <w:bCs w:val="0"/>
                <w:color w:val="auto"/>
                <w:sz w:val="21"/>
                <w:szCs w:val="21"/>
                <w:highlight w:val="none"/>
                <w:vertAlign w:val="baseline"/>
                <w:lang w:val="en-US" w:eastAsia="zh-CN"/>
              </w:rPr>
              <w:t>《排污单位自行监测技术指南</w:t>
            </w:r>
            <w:r>
              <w:rPr>
                <w:rFonts w:hint="default" w:ascii="Times New Roman" w:hAnsi="Times New Roman" w:cs="Times New Roman"/>
                <w:b w:val="0"/>
                <w:bCs w:val="0"/>
                <w:color w:val="auto"/>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总则》（HJ 819-2017）</w:t>
            </w:r>
            <w:r>
              <w:rPr>
                <w:rFonts w:hint="default" w:ascii="Times New Roman" w:hAnsi="Times New Roman" w:eastAsia="宋体" w:cs="Times New Roman"/>
                <w:b w:val="0"/>
                <w:bCs w:val="0"/>
                <w:color w:val="auto"/>
                <w:sz w:val="21"/>
                <w:szCs w:val="21"/>
                <w:highlight w:val="none"/>
                <w:vertAlign w:val="baseline"/>
                <w:lang w:eastAsia="zh-CN"/>
              </w:rPr>
              <w:t>相关要求，</w:t>
            </w:r>
            <w:r>
              <w:rPr>
                <w:rFonts w:hint="default" w:ascii="Times New Roman" w:hAnsi="Times New Roman" w:cs="Times New Roman"/>
                <w:b w:val="0"/>
                <w:bCs/>
                <w:color w:val="auto"/>
                <w:spacing w:val="-4"/>
                <w:sz w:val="21"/>
                <w:szCs w:val="21"/>
                <w:highlight w:val="none"/>
                <w:lang w:eastAsia="zh-CN"/>
              </w:rPr>
              <w:t>项目噪声监测要求如下：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噪声监测计划表</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1169"/>
              <w:gridCol w:w="1966"/>
              <w:gridCol w:w="1011"/>
              <w:gridCol w:w="24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监测内容</w:t>
                  </w:r>
                </w:p>
              </w:tc>
              <w:tc>
                <w:tcPr>
                  <w:tcW w:w="77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监测</w:t>
                  </w:r>
                  <w:r>
                    <w:rPr>
                      <w:rFonts w:hint="default" w:ascii="Times New Roman" w:hAnsi="Times New Roman" w:cs="Times New Roman"/>
                      <w:color w:val="auto"/>
                      <w:kern w:val="0"/>
                      <w:sz w:val="18"/>
                      <w:szCs w:val="18"/>
                      <w:highlight w:val="none"/>
                      <w:lang w:eastAsia="zh-CN"/>
                    </w:rPr>
                    <w:t>项目</w:t>
                  </w:r>
                </w:p>
              </w:tc>
              <w:tc>
                <w:tcPr>
                  <w:tcW w:w="129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监测点位</w:t>
                  </w:r>
                </w:p>
              </w:tc>
              <w:tc>
                <w:tcPr>
                  <w:tcW w:w="666"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监测频次</w:t>
                  </w:r>
                </w:p>
              </w:tc>
              <w:tc>
                <w:tcPr>
                  <w:tcW w:w="162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bCs/>
                      <w:color w:val="auto"/>
                      <w:sz w:val="18"/>
                      <w:szCs w:val="18"/>
                      <w:highlight w:val="none"/>
                      <w:lang w:eastAsia="zh-CN"/>
                    </w:rPr>
                    <w:t>噪声</w:t>
                  </w:r>
                </w:p>
              </w:tc>
              <w:tc>
                <w:tcPr>
                  <w:tcW w:w="77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昼间和夜间</w:t>
                  </w:r>
                  <w:r>
                    <w:rPr>
                      <w:rFonts w:hint="default" w:ascii="Times New Roman" w:hAnsi="Times New Roman" w:cs="Times New Roman"/>
                      <w:color w:val="auto"/>
                      <w:kern w:val="0"/>
                      <w:sz w:val="18"/>
                      <w:szCs w:val="18"/>
                      <w:highlight w:val="none"/>
                      <w:lang w:val="en-US" w:eastAsia="zh-CN"/>
                    </w:rPr>
                    <w:t>等效A声级</w:t>
                  </w:r>
                </w:p>
              </w:tc>
              <w:tc>
                <w:tcPr>
                  <w:tcW w:w="1295"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厂界外1m出，东、西、南、北各1个点位</w:t>
                  </w:r>
                </w:p>
              </w:tc>
              <w:tc>
                <w:tcPr>
                  <w:tcW w:w="666"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w:t>
                  </w:r>
                  <w:r>
                    <w:rPr>
                      <w:rFonts w:hint="default" w:ascii="Times New Roman" w:hAnsi="Times New Roman" w:cs="Times New Roman"/>
                      <w:color w:val="auto"/>
                      <w:kern w:val="0"/>
                      <w:sz w:val="18"/>
                      <w:szCs w:val="18"/>
                      <w:highlight w:val="none"/>
                      <w:lang w:eastAsia="zh-CN"/>
                    </w:rPr>
                    <w:t>次</w:t>
                  </w:r>
                  <w:r>
                    <w:rPr>
                      <w:rFonts w:hint="default" w:ascii="Times New Roman" w:hAnsi="Times New Roman" w:cs="Times New Roman"/>
                      <w:color w:val="auto"/>
                      <w:kern w:val="0"/>
                      <w:sz w:val="18"/>
                      <w:szCs w:val="18"/>
                      <w:highlight w:val="none"/>
                      <w:lang w:val="en-US" w:eastAsia="zh-CN"/>
                    </w:rPr>
                    <w:t>/季度</w:t>
                  </w:r>
                </w:p>
              </w:tc>
              <w:tc>
                <w:tcPr>
                  <w:tcW w:w="1624" w:type="pct"/>
                  <w:noWrap w:val="0"/>
                  <w:vAlign w:val="center"/>
                </w:tcPr>
                <w:p>
                  <w:pPr>
                    <w:keepNext w:val="0"/>
                    <w:keepLines w:val="0"/>
                    <w:pageBreakBefore w:val="0"/>
                    <w:widowControl w:val="0"/>
                    <w:kinsoku/>
                    <w:wordWrap/>
                    <w:overflowPunct/>
                    <w:topLinePunct w:val="0"/>
                    <w:bidi w:val="0"/>
                    <w:adjustRightInd/>
                    <w:snapToGrid/>
                    <w:spacing w:line="320" w:lineRule="exact"/>
                    <w:ind w:firstLine="0" w:firstLineChars="0"/>
                    <w:jc w:val="center"/>
                    <w:textAlignment w:val="auto"/>
                    <w:rPr>
                      <w:rFonts w:hint="default" w:ascii="Times New Roman" w:hAnsi="Times New Roman" w:cs="Times New Roman"/>
                      <w:bCs/>
                      <w:color w:val="auto"/>
                      <w:sz w:val="18"/>
                      <w:szCs w:val="18"/>
                      <w:highlight w:val="none"/>
                      <w:lang w:val="zh-CN"/>
                    </w:rPr>
                  </w:pPr>
                  <w:r>
                    <w:rPr>
                      <w:rFonts w:hint="default" w:ascii="Times New Roman" w:hAnsi="Times New Roman" w:eastAsia="宋体" w:cs="Times New Roman"/>
                      <w:color w:val="auto"/>
                      <w:sz w:val="18"/>
                      <w:szCs w:val="18"/>
                      <w:highlight w:val="none"/>
                    </w:rPr>
                    <w:t>《工业企业厂界环境噪声排放标准》（GB12348-2008）中的2类标准</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jc w:val="both"/>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val="en-US" w:eastAsia="zh-CN"/>
              </w:rPr>
              <w:t>3、</w:t>
            </w:r>
            <w:r>
              <w:rPr>
                <w:rFonts w:hint="default" w:ascii="Times New Roman" w:hAnsi="Times New Roman" w:cs="Times New Roman"/>
                <w:b/>
                <w:color w:val="auto"/>
                <w:kern w:val="0"/>
                <w:sz w:val="21"/>
                <w:szCs w:val="21"/>
                <w:highlight w:val="none"/>
              </w:rPr>
              <w:t>固体废物</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22" w:firstLineChars="200"/>
              <w:jc w:val="both"/>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
                <w:bCs/>
                <w:color w:val="auto"/>
                <w:kern w:val="0"/>
                <w:sz w:val="21"/>
                <w:szCs w:val="21"/>
                <w:highlight w:val="none"/>
              </w:rPr>
              <w:t>（1）固体废物污染源及治理措施</w:t>
            </w:r>
          </w:p>
          <w:p>
            <w:pPr>
              <w:keepNext w:val="0"/>
              <w:keepLines w:val="0"/>
              <w:pageBreakBefore w:val="0"/>
              <w:widowControl w:val="0"/>
              <w:kinsoku/>
              <w:wordWrap/>
              <w:overflowPunct/>
              <w:topLinePunct w:val="0"/>
              <w:bidi w:val="0"/>
              <w:adjustRightInd/>
              <w:snapToGrid/>
              <w:spacing w:line="360" w:lineRule="auto"/>
              <w:ind w:left="0" w:leftChars="0" w:firstLine="420" w:firstLineChars="200"/>
              <w:jc w:val="both"/>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根据《建设项目危险废物环境影响评价指南》（环保部公告2017年第43号）、《固体废物鉴别标准通则》（GB34330-2017）等文件要求对项目的固体废物污染源强进行分析核算。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val="0"/>
                <w:color w:val="auto"/>
                <w:kern w:val="0"/>
                <w:sz w:val="21"/>
                <w:szCs w:val="21"/>
                <w:highlight w:val="none"/>
                <w:lang w:val="de-DE"/>
              </w:rPr>
              <w:fldChar w:fldCharType="begin"/>
            </w:r>
            <w:r>
              <w:rPr>
                <w:rFonts w:hint="default" w:ascii="Times New Roman" w:hAnsi="Times New Roman" w:cs="Times New Roman"/>
                <w:b/>
                <w:bCs w:val="0"/>
                <w:color w:val="auto"/>
                <w:kern w:val="0"/>
                <w:sz w:val="21"/>
                <w:szCs w:val="21"/>
                <w:highlight w:val="none"/>
                <w:lang w:val="de-DE"/>
              </w:rPr>
              <w:instrText xml:space="preserve">=1\*GB3</w:instrText>
            </w:r>
            <w:r>
              <w:rPr>
                <w:rFonts w:hint="default" w:ascii="Times New Roman" w:hAnsi="Times New Roman" w:cs="Times New Roman"/>
                <w:b/>
                <w:bCs w:val="0"/>
                <w:color w:val="auto"/>
                <w:kern w:val="0"/>
                <w:sz w:val="21"/>
                <w:szCs w:val="21"/>
                <w:highlight w:val="none"/>
                <w:lang w:val="de-DE"/>
              </w:rPr>
              <w:fldChar w:fldCharType="separate"/>
            </w:r>
            <w:r>
              <w:rPr>
                <w:rFonts w:hint="default" w:ascii="Times New Roman" w:hAnsi="Times New Roman" w:cs="Times New Roman"/>
                <w:b/>
                <w:bCs w:val="0"/>
                <w:color w:val="auto"/>
                <w:kern w:val="0"/>
                <w:sz w:val="21"/>
                <w:szCs w:val="21"/>
                <w:highlight w:val="none"/>
                <w:lang w:val="de-DE"/>
              </w:rPr>
              <w:t>①</w:t>
            </w:r>
            <w:r>
              <w:rPr>
                <w:rFonts w:hint="default" w:ascii="Times New Roman" w:hAnsi="Times New Roman" w:cs="Times New Roman"/>
                <w:b/>
                <w:bCs w:val="0"/>
                <w:color w:val="auto"/>
                <w:kern w:val="0"/>
                <w:sz w:val="21"/>
                <w:szCs w:val="21"/>
                <w:highlight w:val="none"/>
                <w:lang w:val="de-DE"/>
              </w:rPr>
              <w:fldChar w:fldCharType="end"/>
            </w:r>
            <w:r>
              <w:rPr>
                <w:rFonts w:hint="default" w:ascii="Times New Roman" w:hAnsi="Times New Roman" w:cs="Times New Roman"/>
                <w:b/>
                <w:bCs/>
                <w:color w:val="auto"/>
                <w:kern w:val="0"/>
                <w:sz w:val="21"/>
                <w:szCs w:val="21"/>
                <w:highlight w:val="none"/>
                <w:lang w:eastAsia="zh-CN"/>
              </w:rPr>
              <w:t>废包装</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项目原辅材料使用后会产生废包装，主要为废纸箱、废缓冲泡沫、废打包带、废编织袋和废塑料桶等，均属于一般固废，根据企业提供资料，项目每批次购进原料玻璃（每批约</w:t>
            </w:r>
            <w:r>
              <w:rPr>
                <w:rFonts w:hint="default" w:ascii="Times New Roman" w:hAnsi="Times New Roman" w:cs="Times New Roman"/>
                <w:color w:val="auto"/>
                <w:sz w:val="21"/>
                <w:szCs w:val="21"/>
                <w:highlight w:val="none"/>
                <w:lang w:val="en-US" w:eastAsia="zh-CN"/>
              </w:rPr>
              <w:t>500kg</w:t>
            </w:r>
            <w:r>
              <w:rPr>
                <w:rFonts w:hint="default" w:ascii="Times New Roman" w:hAnsi="Times New Roman" w:cs="Times New Roman"/>
                <w:color w:val="auto"/>
                <w:sz w:val="21"/>
                <w:szCs w:val="21"/>
                <w:highlight w:val="none"/>
                <w:lang w:eastAsia="zh-CN"/>
              </w:rPr>
              <w:t>）拆包后产生的废包装（纸箱、缓冲泡沫、打包带）量约为</w:t>
            </w:r>
            <w:r>
              <w:rPr>
                <w:rFonts w:hint="default" w:ascii="Times New Roman" w:hAnsi="Times New Roman" w:cs="Times New Roman"/>
                <w:color w:val="auto"/>
                <w:sz w:val="21"/>
                <w:szCs w:val="21"/>
                <w:highlight w:val="none"/>
                <w:lang w:val="en-US" w:eastAsia="zh-CN"/>
              </w:rPr>
              <w:t>5kg</w:t>
            </w:r>
            <w:r>
              <w:rPr>
                <w:rFonts w:hint="default" w:ascii="Times New Roman" w:hAnsi="Times New Roman" w:cs="Times New Roman"/>
                <w:color w:val="auto"/>
                <w:sz w:val="21"/>
                <w:szCs w:val="21"/>
                <w:highlight w:val="none"/>
                <w:lang w:eastAsia="zh-CN"/>
              </w:rPr>
              <w:t>，每批次购进镀膜原料（根据客户订单购买对应镀膜料，每批次约</w:t>
            </w:r>
            <w:r>
              <w:rPr>
                <w:rFonts w:hint="default" w:ascii="Times New Roman" w:hAnsi="Times New Roman" w:cs="Times New Roman"/>
                <w:color w:val="auto"/>
                <w:sz w:val="21"/>
                <w:szCs w:val="21"/>
                <w:highlight w:val="none"/>
                <w:lang w:val="en-US" w:eastAsia="zh-CN"/>
              </w:rPr>
              <w:t>5kg</w:t>
            </w:r>
            <w:r>
              <w:rPr>
                <w:rFonts w:hint="default" w:ascii="Times New Roman" w:hAnsi="Times New Roman" w:cs="Times New Roman"/>
                <w:color w:val="auto"/>
                <w:sz w:val="21"/>
                <w:szCs w:val="21"/>
                <w:highlight w:val="none"/>
                <w:lang w:eastAsia="zh-CN"/>
              </w:rPr>
              <w:t>）使用后产生的废塑料桶量约</w:t>
            </w:r>
            <w:r>
              <w:rPr>
                <w:rFonts w:hint="default" w:ascii="Times New Roman" w:hAnsi="Times New Roman" w:cs="Times New Roman"/>
                <w:color w:val="auto"/>
                <w:sz w:val="21"/>
                <w:szCs w:val="21"/>
                <w:highlight w:val="none"/>
                <w:lang w:val="en-US" w:eastAsia="zh-CN"/>
              </w:rPr>
              <w:t>5kg</w:t>
            </w:r>
            <w:r>
              <w:rPr>
                <w:rFonts w:hint="default" w:ascii="Times New Roman" w:hAnsi="Times New Roman" w:cs="Times New Roman"/>
                <w:color w:val="auto"/>
                <w:sz w:val="21"/>
                <w:szCs w:val="21"/>
                <w:highlight w:val="none"/>
                <w:lang w:eastAsia="zh-CN"/>
              </w:rPr>
              <w:t>，每批次购进金刚砂（每批次约</w:t>
            </w:r>
            <w:r>
              <w:rPr>
                <w:rFonts w:hint="default" w:ascii="Times New Roman" w:hAnsi="Times New Roman" w:cs="Times New Roman"/>
                <w:color w:val="auto"/>
                <w:sz w:val="21"/>
                <w:szCs w:val="21"/>
                <w:highlight w:val="none"/>
                <w:lang w:val="en-US" w:eastAsia="zh-CN"/>
              </w:rPr>
              <w:t>50kg</w:t>
            </w:r>
            <w:r>
              <w:rPr>
                <w:rFonts w:hint="default" w:ascii="Times New Roman" w:hAnsi="Times New Roman" w:cs="Times New Roman"/>
                <w:color w:val="auto"/>
                <w:sz w:val="21"/>
                <w:szCs w:val="21"/>
                <w:highlight w:val="none"/>
                <w:lang w:eastAsia="zh-CN"/>
              </w:rPr>
              <w:t>）使用后产生的废编织袋约</w:t>
            </w:r>
            <w:r>
              <w:rPr>
                <w:rFonts w:hint="default" w:ascii="Times New Roman" w:hAnsi="Times New Roman" w:cs="Times New Roman"/>
                <w:color w:val="auto"/>
                <w:sz w:val="21"/>
                <w:szCs w:val="21"/>
                <w:highlight w:val="none"/>
                <w:lang w:val="en-US" w:eastAsia="zh-CN"/>
              </w:rPr>
              <w:t>1kg</w:t>
            </w:r>
            <w:r>
              <w:rPr>
                <w:rFonts w:hint="default" w:ascii="Times New Roman" w:hAnsi="Times New Roman" w:cs="Times New Roman"/>
                <w:color w:val="auto"/>
                <w:sz w:val="21"/>
                <w:szCs w:val="21"/>
                <w:highlight w:val="none"/>
                <w:lang w:eastAsia="zh-CN"/>
              </w:rPr>
              <w:t>，项目原料玻璃年用量共计</w:t>
            </w:r>
            <w:r>
              <w:rPr>
                <w:rFonts w:hint="default" w:ascii="Times New Roman" w:hAnsi="Times New Roman" w:cs="Times New Roman"/>
                <w:color w:val="auto"/>
                <w:sz w:val="21"/>
                <w:szCs w:val="21"/>
                <w:highlight w:val="none"/>
                <w:lang w:val="en-US" w:eastAsia="zh-CN"/>
              </w:rPr>
              <w:t>10t，各镀膜材料用量共计28.5kg，金刚砂用量500kg，经计算各类废包装产生量共计为0.1385t/a</w:t>
            </w:r>
            <w:r>
              <w:rPr>
                <w:rFonts w:hint="default" w:ascii="Times New Roman" w:hAnsi="Times New Roman" w:cs="Times New Roman"/>
                <w:color w:val="auto"/>
                <w:sz w:val="21"/>
                <w:szCs w:val="21"/>
                <w:highlight w:val="none"/>
                <w:lang w:eastAsia="zh-CN"/>
              </w:rPr>
              <w:t>，均</w:t>
            </w:r>
            <w:r>
              <w:rPr>
                <w:rFonts w:hint="default" w:ascii="Times New Roman" w:hAnsi="Times New Roman" w:cs="Times New Roman"/>
                <w:bCs/>
                <w:color w:val="auto"/>
                <w:kern w:val="0"/>
                <w:sz w:val="21"/>
                <w:szCs w:val="21"/>
                <w:highlight w:val="none"/>
                <w:lang w:eastAsia="zh-CN"/>
              </w:rPr>
              <w:t>经设置的</w:t>
            </w:r>
            <w:r>
              <w:rPr>
                <w:rFonts w:hint="default" w:ascii="Times New Roman" w:hAnsi="Times New Roman" w:cs="Times New Roman"/>
                <w:bCs/>
                <w:color w:val="auto"/>
                <w:kern w:val="0"/>
                <w:sz w:val="21"/>
                <w:szCs w:val="21"/>
                <w:highlight w:val="none"/>
              </w:rPr>
              <w:t>一般固废暂存区域</w:t>
            </w:r>
            <w:r>
              <w:rPr>
                <w:rFonts w:hint="default" w:ascii="Times New Roman" w:hAnsi="Times New Roman" w:cs="Times New Roman"/>
                <w:bCs/>
                <w:color w:val="auto"/>
                <w:kern w:val="0"/>
                <w:sz w:val="21"/>
                <w:szCs w:val="21"/>
                <w:highlight w:val="none"/>
                <w:lang w:eastAsia="zh-CN"/>
              </w:rPr>
              <w:t>分类</w:t>
            </w:r>
            <w:r>
              <w:rPr>
                <w:rFonts w:hint="default" w:ascii="Times New Roman" w:hAnsi="Times New Roman" w:cs="Times New Roman"/>
                <w:bCs/>
                <w:color w:val="auto"/>
                <w:kern w:val="0"/>
                <w:sz w:val="21"/>
                <w:szCs w:val="21"/>
                <w:highlight w:val="none"/>
              </w:rPr>
              <w:t>暂存</w:t>
            </w:r>
            <w:r>
              <w:rPr>
                <w:rFonts w:hint="default" w:ascii="Times New Roman" w:hAnsi="Times New Roman" w:cs="Times New Roman"/>
                <w:bCs/>
                <w:color w:val="auto"/>
                <w:kern w:val="0"/>
                <w:sz w:val="21"/>
                <w:szCs w:val="21"/>
                <w:highlight w:val="none"/>
                <w:lang w:eastAsia="zh-CN"/>
              </w:rPr>
              <w:t>后，定期外售综合利用</w:t>
            </w:r>
            <w:r>
              <w:rPr>
                <w:rFonts w:hint="default" w:ascii="Times New Roman" w:hAnsi="Times New Roman" w:cs="Times New Roman"/>
                <w:bCs/>
                <w:color w:val="auto"/>
                <w:ker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rPr>
              <w:fldChar w:fldCharType="begin"/>
            </w:r>
            <w:r>
              <w:rPr>
                <w:rFonts w:hint="default" w:ascii="Times New Roman" w:hAnsi="Times New Roman" w:cs="Times New Roman"/>
                <w:b/>
                <w:bCs/>
                <w:color w:val="auto"/>
                <w:kern w:val="0"/>
                <w:sz w:val="21"/>
                <w:szCs w:val="21"/>
                <w:highlight w:val="none"/>
              </w:rPr>
              <w:instrText xml:space="preserve">=2\*GB3\*MERGEFORMAT</w:instrText>
            </w:r>
            <w:r>
              <w:rPr>
                <w:rFonts w:hint="default" w:ascii="Times New Roman" w:hAnsi="Times New Roman" w:cs="Times New Roman"/>
                <w:b/>
                <w:bCs/>
                <w:color w:val="auto"/>
                <w:kern w:val="0"/>
                <w:sz w:val="21"/>
                <w:szCs w:val="21"/>
                <w:highlight w:val="none"/>
              </w:rPr>
              <w:fldChar w:fldCharType="separate"/>
            </w:r>
            <w:r>
              <w:rPr>
                <w:rFonts w:hint="default" w:ascii="Times New Roman" w:hAnsi="Times New Roman" w:cs="Times New Roman"/>
                <w:b/>
                <w:bCs/>
                <w:color w:val="auto"/>
                <w:sz w:val="21"/>
                <w:szCs w:val="21"/>
                <w:highlight w:val="none"/>
              </w:rPr>
              <w:t>②</w:t>
            </w:r>
            <w:r>
              <w:rPr>
                <w:rFonts w:hint="default" w:ascii="Times New Roman" w:hAnsi="Times New Roman" w:cs="Times New Roman"/>
                <w:b/>
                <w:bCs/>
                <w:color w:val="auto"/>
                <w:kern w:val="0"/>
                <w:sz w:val="21"/>
                <w:szCs w:val="21"/>
                <w:highlight w:val="none"/>
              </w:rPr>
              <w:fldChar w:fldCharType="end"/>
            </w:r>
            <w:r>
              <w:rPr>
                <w:rFonts w:hint="default" w:ascii="Times New Roman" w:hAnsi="Times New Roman" w:cs="Times New Roman"/>
                <w:b/>
                <w:bCs/>
                <w:color w:val="auto"/>
                <w:kern w:val="0"/>
                <w:sz w:val="21"/>
                <w:szCs w:val="21"/>
                <w:highlight w:val="none"/>
                <w:lang w:eastAsia="zh-CN"/>
              </w:rPr>
              <w:t>废边料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lang w:eastAsia="zh-CN"/>
              </w:rPr>
              <w:t>项目原料切割会产生废边角料，主要为切割后废玻璃，属于一般固废，根据企业提供资料，废边角料产生量按照原料量的</w:t>
            </w:r>
            <w:r>
              <w:rPr>
                <w:rFonts w:hint="default" w:ascii="Times New Roman" w:hAnsi="Times New Roman" w:cs="Times New Roman"/>
                <w:bCs/>
                <w:color w:val="auto"/>
                <w:kern w:val="0"/>
                <w:sz w:val="21"/>
                <w:szCs w:val="21"/>
                <w:highlight w:val="none"/>
                <w:lang w:val="en-US" w:eastAsia="zh-CN"/>
              </w:rPr>
              <w:t>1%计算，项目玻璃年用量约为10t，经计算废边角料量为0.1t/a</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eastAsia="zh-CN"/>
              </w:rPr>
              <w:t>经设置的</w:t>
            </w:r>
            <w:r>
              <w:rPr>
                <w:rFonts w:hint="default" w:ascii="Times New Roman" w:hAnsi="Times New Roman" w:cs="Times New Roman"/>
                <w:bCs/>
                <w:color w:val="auto"/>
                <w:kern w:val="0"/>
                <w:sz w:val="21"/>
                <w:szCs w:val="21"/>
                <w:highlight w:val="none"/>
              </w:rPr>
              <w:t>一般固废暂存区域暂存</w:t>
            </w:r>
            <w:r>
              <w:rPr>
                <w:rFonts w:hint="default" w:ascii="Times New Roman" w:hAnsi="Times New Roman" w:cs="Times New Roman"/>
                <w:bCs/>
                <w:color w:val="auto"/>
                <w:kern w:val="0"/>
                <w:sz w:val="21"/>
                <w:szCs w:val="21"/>
                <w:highlight w:val="none"/>
                <w:lang w:eastAsia="zh-CN"/>
              </w:rPr>
              <w:t>后，定期外售综合利用</w:t>
            </w:r>
            <w:r>
              <w:rPr>
                <w:rFonts w:hint="default" w:ascii="Times New Roman" w:hAnsi="Times New Roman" w:cs="Times New Roman"/>
                <w:bCs/>
                <w:color w:val="auto"/>
                <w:ker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fldChar w:fldCharType="begin"/>
            </w:r>
            <w:r>
              <w:rPr>
                <w:rFonts w:hint="default" w:ascii="Times New Roman" w:hAnsi="Times New Roman" w:cs="Times New Roman"/>
                <w:b/>
                <w:bCs/>
                <w:color w:val="auto"/>
                <w:kern w:val="0"/>
                <w:sz w:val="21"/>
                <w:szCs w:val="21"/>
                <w:highlight w:val="none"/>
              </w:rPr>
              <w:instrText xml:space="preserve">=3\*GB3\*MERGEFORMAT</w:instrText>
            </w:r>
            <w:r>
              <w:rPr>
                <w:rFonts w:hint="default" w:ascii="Times New Roman" w:hAnsi="Times New Roman" w:cs="Times New Roman"/>
                <w:b/>
                <w:bCs/>
                <w:color w:val="auto"/>
                <w:kern w:val="0"/>
                <w:sz w:val="21"/>
                <w:szCs w:val="21"/>
                <w:highlight w:val="none"/>
              </w:rPr>
              <w:fldChar w:fldCharType="separate"/>
            </w:r>
            <w:r>
              <w:rPr>
                <w:rFonts w:hint="default" w:ascii="Times New Roman" w:hAnsi="Times New Roman" w:cs="Times New Roman"/>
                <w:b/>
                <w:bCs/>
                <w:color w:val="auto"/>
                <w:sz w:val="21"/>
                <w:szCs w:val="21"/>
                <w:highlight w:val="none"/>
              </w:rPr>
              <w:t>③</w:t>
            </w:r>
            <w:r>
              <w:rPr>
                <w:rFonts w:hint="default" w:ascii="Times New Roman" w:hAnsi="Times New Roman" w:cs="Times New Roman"/>
                <w:b/>
                <w:bCs/>
                <w:color w:val="auto"/>
                <w:kern w:val="0"/>
                <w:sz w:val="21"/>
                <w:szCs w:val="21"/>
                <w:highlight w:val="none"/>
              </w:rPr>
              <w:fldChar w:fldCharType="end"/>
            </w:r>
            <w:r>
              <w:rPr>
                <w:rFonts w:hint="default" w:ascii="Times New Roman" w:hAnsi="Times New Roman" w:cs="Times New Roman"/>
                <w:b/>
                <w:bCs/>
                <w:color w:val="auto"/>
                <w:kern w:val="0"/>
                <w:sz w:val="21"/>
                <w:szCs w:val="21"/>
                <w:highlight w:val="none"/>
              </w:rPr>
              <w:t>不合格品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项目生产过程中会产生一定量的不合格残次品，</w:t>
            </w:r>
            <w:r>
              <w:rPr>
                <w:rFonts w:hint="default" w:ascii="Times New Roman" w:hAnsi="Times New Roman" w:cs="Times New Roman"/>
                <w:bCs/>
                <w:color w:val="auto"/>
                <w:kern w:val="0"/>
                <w:sz w:val="21"/>
                <w:szCs w:val="21"/>
                <w:highlight w:val="none"/>
                <w:lang w:eastAsia="zh-CN"/>
              </w:rPr>
              <w:t>属于一般固废，根据企业提供资料，不合格品</w:t>
            </w:r>
            <w:r>
              <w:rPr>
                <w:rFonts w:hint="default" w:ascii="Times New Roman" w:hAnsi="Times New Roman" w:cs="Times New Roman"/>
                <w:bCs/>
                <w:color w:val="auto"/>
                <w:kern w:val="0"/>
                <w:sz w:val="21"/>
                <w:szCs w:val="21"/>
                <w:highlight w:val="none"/>
              </w:rPr>
              <w:t>产生量约</w:t>
            </w:r>
            <w:r>
              <w:rPr>
                <w:rFonts w:hint="default" w:ascii="Times New Roman" w:hAnsi="Times New Roman" w:cs="Times New Roman"/>
                <w:bCs/>
                <w:color w:val="auto"/>
                <w:kern w:val="0"/>
                <w:sz w:val="21"/>
                <w:szCs w:val="21"/>
                <w:highlight w:val="none"/>
                <w:lang w:eastAsia="zh-CN"/>
              </w:rPr>
              <w:t>占</w:t>
            </w:r>
            <w:r>
              <w:rPr>
                <w:rFonts w:hint="default" w:ascii="Times New Roman" w:hAnsi="Times New Roman" w:cs="Times New Roman"/>
                <w:bCs/>
                <w:color w:val="auto"/>
                <w:kern w:val="0"/>
                <w:sz w:val="21"/>
                <w:szCs w:val="21"/>
                <w:highlight w:val="none"/>
                <w:lang w:val="en-US" w:eastAsia="zh-CN"/>
              </w:rPr>
              <w:t>2</w:t>
            </w:r>
            <w:r>
              <w:rPr>
                <w:rFonts w:hint="default" w:ascii="Times New Roman" w:hAnsi="Times New Roman" w:cs="Times New Roman"/>
                <w:bCs/>
                <w:color w:val="auto"/>
                <w:kern w:val="0"/>
                <w:sz w:val="21"/>
                <w:szCs w:val="21"/>
                <w:highlight w:val="none"/>
              </w:rPr>
              <w:t>.5‰，</w:t>
            </w:r>
            <w:r>
              <w:rPr>
                <w:rFonts w:hint="default" w:ascii="Times New Roman" w:hAnsi="Times New Roman" w:cs="Times New Roman"/>
                <w:bCs/>
                <w:color w:val="auto"/>
                <w:kern w:val="0"/>
                <w:sz w:val="21"/>
                <w:szCs w:val="21"/>
                <w:highlight w:val="none"/>
                <w:lang w:eastAsia="zh-CN"/>
              </w:rPr>
              <w:t>经计算</w:t>
            </w:r>
            <w:r>
              <w:rPr>
                <w:rFonts w:hint="default" w:ascii="Times New Roman" w:hAnsi="Times New Roman" w:cs="Times New Roman"/>
                <w:bCs/>
                <w:color w:val="auto"/>
                <w:kern w:val="0"/>
                <w:sz w:val="21"/>
                <w:szCs w:val="21"/>
                <w:highlight w:val="none"/>
              </w:rPr>
              <w:t>产生量约为</w:t>
            </w:r>
            <w:r>
              <w:rPr>
                <w:rFonts w:hint="default" w:ascii="Times New Roman" w:hAnsi="Times New Roman" w:cs="Times New Roman"/>
                <w:bCs/>
                <w:color w:val="auto"/>
                <w:kern w:val="0"/>
                <w:sz w:val="21"/>
                <w:szCs w:val="21"/>
                <w:highlight w:val="none"/>
                <w:lang w:val="en-US" w:eastAsia="zh-CN"/>
              </w:rPr>
              <w:t>0.25</w:t>
            </w:r>
            <w:r>
              <w:rPr>
                <w:rFonts w:hint="default" w:ascii="Times New Roman" w:hAnsi="Times New Roman" w:cs="Times New Roman"/>
                <w:bCs/>
                <w:color w:val="auto"/>
                <w:kern w:val="0"/>
                <w:sz w:val="21"/>
                <w:szCs w:val="21"/>
                <w:highlight w:val="none"/>
              </w:rPr>
              <w:t>t/a，</w:t>
            </w:r>
            <w:r>
              <w:rPr>
                <w:rFonts w:hint="default" w:ascii="Times New Roman" w:hAnsi="Times New Roman" w:cs="Times New Roman"/>
                <w:bCs/>
                <w:color w:val="auto"/>
                <w:kern w:val="0"/>
                <w:sz w:val="21"/>
                <w:szCs w:val="21"/>
                <w:highlight w:val="none"/>
                <w:lang w:eastAsia="zh-CN"/>
              </w:rPr>
              <w:t>经设置的</w:t>
            </w:r>
            <w:r>
              <w:rPr>
                <w:rFonts w:hint="default" w:ascii="Times New Roman" w:hAnsi="Times New Roman" w:cs="Times New Roman"/>
                <w:bCs/>
                <w:color w:val="auto"/>
                <w:kern w:val="0"/>
                <w:sz w:val="21"/>
                <w:szCs w:val="21"/>
                <w:highlight w:val="none"/>
              </w:rPr>
              <w:t>一般固废暂存区域暂存</w:t>
            </w:r>
            <w:r>
              <w:rPr>
                <w:rFonts w:hint="default" w:ascii="Times New Roman" w:hAnsi="Times New Roman" w:cs="Times New Roman"/>
                <w:bCs/>
                <w:color w:val="auto"/>
                <w:kern w:val="0"/>
                <w:sz w:val="21"/>
                <w:szCs w:val="21"/>
                <w:highlight w:val="none"/>
                <w:lang w:eastAsia="zh-CN"/>
              </w:rPr>
              <w:t>后，定期外售综合利用</w:t>
            </w:r>
            <w:r>
              <w:rPr>
                <w:rFonts w:hint="default" w:ascii="Times New Roman" w:hAnsi="Times New Roman" w:cs="Times New Roman"/>
                <w:bCs/>
                <w:color w:val="auto"/>
                <w:ker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rPr>
              <w:fldChar w:fldCharType="begin"/>
            </w:r>
            <w:r>
              <w:rPr>
                <w:rFonts w:hint="default" w:ascii="Times New Roman" w:hAnsi="Times New Roman" w:cs="Times New Roman"/>
                <w:b/>
                <w:bCs/>
                <w:color w:val="auto"/>
                <w:kern w:val="0"/>
                <w:sz w:val="21"/>
                <w:szCs w:val="21"/>
                <w:highlight w:val="none"/>
              </w:rPr>
              <w:instrText xml:space="preserve">=4\*GB3\*MERGEFORMAT</w:instrText>
            </w:r>
            <w:r>
              <w:rPr>
                <w:rFonts w:hint="default" w:ascii="Times New Roman" w:hAnsi="Times New Roman" w:cs="Times New Roman"/>
                <w:b/>
                <w:bCs/>
                <w:color w:val="auto"/>
                <w:kern w:val="0"/>
                <w:sz w:val="21"/>
                <w:szCs w:val="21"/>
                <w:highlight w:val="none"/>
              </w:rPr>
              <w:fldChar w:fldCharType="separate"/>
            </w:r>
            <w:r>
              <w:rPr>
                <w:rFonts w:hint="default" w:ascii="Times New Roman" w:hAnsi="Times New Roman" w:cs="Times New Roman"/>
                <w:b/>
                <w:bCs/>
                <w:color w:val="auto"/>
                <w:sz w:val="21"/>
                <w:szCs w:val="21"/>
                <w:highlight w:val="none"/>
              </w:rPr>
              <w:t>④</w:t>
            </w:r>
            <w:r>
              <w:rPr>
                <w:rFonts w:hint="default" w:ascii="Times New Roman" w:hAnsi="Times New Roman" w:cs="Times New Roman"/>
                <w:b/>
                <w:bCs/>
                <w:color w:val="auto"/>
                <w:kern w:val="0"/>
                <w:sz w:val="21"/>
                <w:szCs w:val="21"/>
                <w:highlight w:val="none"/>
              </w:rPr>
              <w:fldChar w:fldCharType="end"/>
            </w:r>
            <w:r>
              <w:rPr>
                <w:rFonts w:hint="default" w:ascii="Times New Roman" w:hAnsi="Times New Roman" w:cs="Times New Roman"/>
                <w:b/>
                <w:bCs/>
                <w:color w:val="auto"/>
                <w:kern w:val="0"/>
                <w:sz w:val="21"/>
                <w:szCs w:val="21"/>
                <w:highlight w:val="none"/>
                <w:lang w:eastAsia="zh-CN"/>
              </w:rPr>
              <w:t>废石英砂、反渗透膜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 w:val="0"/>
                <w:bCs w:val="0"/>
                <w:color w:val="auto"/>
                <w:kern w:val="0"/>
                <w:sz w:val="21"/>
                <w:szCs w:val="21"/>
                <w:highlight w:val="none"/>
                <w:lang w:eastAsia="zh-CN"/>
              </w:rPr>
              <w:t>项目软水制备设备中反渗透系统定期过滤会产生一定量废弃石英砂、反渗透膜等滤材，均属于一般固废，根据企业提供纯水设备运行资料，纯水设备反渗透系统填充石英砂量约为</w:t>
            </w:r>
            <w:r>
              <w:rPr>
                <w:rFonts w:hint="default" w:ascii="Times New Roman" w:hAnsi="Times New Roman" w:cs="Times New Roman"/>
                <w:b w:val="0"/>
                <w:bCs w:val="0"/>
                <w:color w:val="auto"/>
                <w:kern w:val="0"/>
                <w:sz w:val="21"/>
                <w:szCs w:val="21"/>
                <w:highlight w:val="none"/>
                <w:lang w:val="en-US" w:eastAsia="zh-CN"/>
              </w:rPr>
              <w:t>80kg，反渗透膜共2支（单重10kg），均每2年进行1次更换，则废弃石英砂和反渗透膜产生量为0.045t/a，经收集</w:t>
            </w:r>
            <w:r>
              <w:rPr>
                <w:rFonts w:hint="default" w:ascii="Times New Roman" w:hAnsi="Times New Roman" w:cs="Times New Roman"/>
                <w:bCs/>
                <w:color w:val="auto"/>
                <w:kern w:val="0"/>
                <w:sz w:val="21"/>
                <w:szCs w:val="21"/>
                <w:highlight w:val="none"/>
                <w:lang w:eastAsia="zh-CN"/>
              </w:rPr>
              <w:t>经设置的</w:t>
            </w:r>
            <w:r>
              <w:rPr>
                <w:rFonts w:hint="default" w:ascii="Times New Roman" w:hAnsi="Times New Roman" w:cs="Times New Roman"/>
                <w:bCs/>
                <w:color w:val="auto"/>
                <w:kern w:val="0"/>
                <w:sz w:val="21"/>
                <w:szCs w:val="21"/>
                <w:highlight w:val="none"/>
              </w:rPr>
              <w:t>一般固废暂存区域暂存</w:t>
            </w:r>
            <w:r>
              <w:rPr>
                <w:rFonts w:hint="default" w:ascii="Times New Roman" w:hAnsi="Times New Roman" w:cs="Times New Roman"/>
                <w:bCs/>
                <w:color w:val="auto"/>
                <w:kern w:val="0"/>
                <w:sz w:val="21"/>
                <w:szCs w:val="21"/>
                <w:highlight w:val="none"/>
                <w:lang w:eastAsia="zh-CN"/>
              </w:rPr>
              <w:t>后，定期外售综合利用</w:t>
            </w:r>
            <w:r>
              <w:rPr>
                <w:rFonts w:hint="default" w:ascii="Times New Roman" w:hAnsi="Times New Roman" w:cs="Times New Roman"/>
                <w:bCs/>
                <w:color w:val="auto"/>
                <w:kern w:val="0"/>
                <w:sz w:val="21"/>
                <w:szCs w:val="21"/>
                <w:highlight w:val="none"/>
              </w:rPr>
              <w:t>。</w:t>
            </w:r>
          </w:p>
          <w:p>
            <w:pPr>
              <w:keepNext w:val="0"/>
              <w:keepLines w:val="0"/>
              <w:pageBreakBefore w:val="0"/>
              <w:widowControl w:val="0"/>
              <w:kinsoku/>
              <w:wordWrap/>
              <w:overflowPunct/>
              <w:topLinePunct w:val="0"/>
              <w:bidi w:val="0"/>
              <w:adjustRightInd/>
              <w:snapToGrid/>
              <w:spacing w:line="360" w:lineRule="auto"/>
              <w:ind w:left="0" w:leftChars="0" w:firstLine="422" w:firstLineChars="200"/>
              <w:jc w:val="both"/>
              <w:textAlignment w:val="auto"/>
              <w:rPr>
                <w:rFonts w:hint="default" w:ascii="Times New Roman" w:hAnsi="Times New Roman" w:eastAsia="宋体" w:cs="Times New Roman"/>
                <w:b/>
                <w:bCs w:val="0"/>
                <w:color w:val="auto"/>
                <w:kern w:val="0"/>
                <w:sz w:val="21"/>
                <w:szCs w:val="21"/>
                <w:highlight w:val="none"/>
                <w:lang w:val="de-DE" w:eastAsia="zh-CN"/>
              </w:rPr>
            </w:pPr>
            <w:r>
              <w:rPr>
                <w:rFonts w:hint="default" w:ascii="Times New Roman" w:hAnsi="Times New Roman" w:cs="Times New Roman"/>
                <w:b/>
                <w:bCs/>
                <w:color w:val="auto"/>
                <w:kern w:val="0"/>
                <w:sz w:val="21"/>
                <w:szCs w:val="21"/>
                <w:highlight w:val="none"/>
              </w:rPr>
              <w:fldChar w:fldCharType="begin"/>
            </w:r>
            <w:r>
              <w:rPr>
                <w:rFonts w:hint="default" w:ascii="Times New Roman" w:hAnsi="Times New Roman" w:cs="Times New Roman"/>
                <w:b/>
                <w:bCs/>
                <w:color w:val="auto"/>
                <w:kern w:val="0"/>
                <w:sz w:val="21"/>
                <w:szCs w:val="21"/>
                <w:highlight w:val="none"/>
              </w:rPr>
              <w:instrText xml:space="preserve">=5\*GB3\*MERGEFORMAT</w:instrText>
            </w:r>
            <w:r>
              <w:rPr>
                <w:rFonts w:hint="default" w:ascii="Times New Roman" w:hAnsi="Times New Roman" w:cs="Times New Roman"/>
                <w:b/>
                <w:bCs/>
                <w:color w:val="auto"/>
                <w:kern w:val="0"/>
                <w:sz w:val="21"/>
                <w:szCs w:val="21"/>
                <w:highlight w:val="none"/>
              </w:rPr>
              <w:fldChar w:fldCharType="separate"/>
            </w:r>
            <w:r>
              <w:rPr>
                <w:rFonts w:hint="default" w:ascii="Times New Roman" w:hAnsi="Times New Roman" w:cs="Times New Roman"/>
                <w:b/>
                <w:bCs/>
                <w:color w:val="auto"/>
                <w:sz w:val="21"/>
                <w:szCs w:val="21"/>
                <w:highlight w:val="none"/>
              </w:rPr>
              <w:t>⑤</w:t>
            </w:r>
            <w:r>
              <w:rPr>
                <w:rFonts w:hint="default" w:ascii="Times New Roman" w:hAnsi="Times New Roman" w:cs="Times New Roman"/>
                <w:b/>
                <w:bCs/>
                <w:color w:val="auto"/>
                <w:kern w:val="0"/>
                <w:sz w:val="21"/>
                <w:szCs w:val="21"/>
                <w:highlight w:val="none"/>
              </w:rPr>
              <w:fldChar w:fldCharType="end"/>
            </w:r>
            <w:r>
              <w:rPr>
                <w:rFonts w:hint="default" w:ascii="Times New Roman" w:hAnsi="Times New Roman" w:cs="Times New Roman"/>
                <w:b/>
                <w:bCs w:val="0"/>
                <w:color w:val="auto"/>
                <w:kern w:val="0"/>
                <w:sz w:val="21"/>
                <w:szCs w:val="21"/>
                <w:highlight w:val="none"/>
                <w:lang w:val="de-DE" w:eastAsia="zh-CN"/>
              </w:rPr>
              <w:t>废无尘布</w:t>
            </w:r>
          </w:p>
          <w:p>
            <w:pPr>
              <w:keepNext w:val="0"/>
              <w:keepLines w:val="0"/>
              <w:pageBreakBefore w:val="0"/>
              <w:widowControl w:val="0"/>
              <w:kinsoku/>
              <w:wordWrap/>
              <w:overflowPunct/>
              <w:topLinePunct w:val="0"/>
              <w:bidi w:val="0"/>
              <w:adjustRightInd/>
              <w:snapToGrid/>
              <w:spacing w:line="360" w:lineRule="auto"/>
              <w:ind w:left="0" w:leftChars="0" w:firstLine="420" w:firstLineChars="200"/>
              <w:jc w:val="both"/>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lang w:eastAsia="zh-CN"/>
              </w:rPr>
              <w:t>项目镀膜前清洗工序</w:t>
            </w:r>
            <w:r>
              <w:rPr>
                <w:rFonts w:hint="eastAsia" w:cs="Times New Roman"/>
                <w:bCs/>
                <w:color w:val="auto"/>
                <w:kern w:val="0"/>
                <w:sz w:val="21"/>
                <w:szCs w:val="21"/>
                <w:highlight w:val="none"/>
                <w:lang w:eastAsia="zh-CN"/>
              </w:rPr>
              <w:t>后</w:t>
            </w:r>
            <w:r>
              <w:rPr>
                <w:rFonts w:hint="default" w:ascii="Times New Roman" w:hAnsi="Times New Roman" w:cs="Times New Roman"/>
                <w:bCs/>
                <w:color w:val="auto"/>
                <w:kern w:val="0"/>
                <w:sz w:val="21"/>
                <w:szCs w:val="21"/>
                <w:highlight w:val="none"/>
                <w:lang w:eastAsia="zh-CN"/>
              </w:rPr>
              <w:t>采用无尘布</w:t>
            </w:r>
            <w:r>
              <w:rPr>
                <w:rFonts w:hint="eastAsia" w:cs="Times New Roman"/>
                <w:bCs/>
                <w:color w:val="auto"/>
                <w:kern w:val="0"/>
                <w:sz w:val="21"/>
                <w:szCs w:val="21"/>
                <w:highlight w:val="none"/>
                <w:lang w:eastAsia="zh-CN"/>
              </w:rPr>
              <w:t>对清洗后玻璃表面进行二次清理，确保镀膜前玻璃工件表面无污垢、水渍等</w:t>
            </w:r>
            <w:r>
              <w:rPr>
                <w:rFonts w:hint="default" w:ascii="Times New Roman" w:hAnsi="Times New Roman" w:cs="Times New Roman"/>
                <w:bCs/>
                <w:color w:val="auto"/>
                <w:kern w:val="0"/>
                <w:sz w:val="21"/>
                <w:szCs w:val="21"/>
                <w:highlight w:val="none"/>
                <w:lang w:eastAsia="zh-CN"/>
              </w:rPr>
              <w:t>，清理后产生少量废无尘布</w:t>
            </w:r>
            <w:r>
              <w:rPr>
                <w:rFonts w:hint="default" w:ascii="Times New Roman" w:hAnsi="Times New Roman" w:cs="Times New Roman"/>
                <w:bCs/>
                <w:color w:val="auto"/>
                <w:kern w:val="0"/>
                <w:sz w:val="21"/>
                <w:szCs w:val="21"/>
                <w:highlight w:val="none"/>
              </w:rPr>
              <w:t>，</w:t>
            </w:r>
            <w:r>
              <w:rPr>
                <w:rFonts w:hint="default" w:ascii="Times New Roman" w:hAnsi="Times New Roman" w:cs="Times New Roman"/>
                <w:bCs/>
                <w:color w:val="auto"/>
                <w:kern w:val="0"/>
                <w:sz w:val="21"/>
                <w:szCs w:val="21"/>
                <w:highlight w:val="none"/>
                <w:lang w:eastAsia="zh-CN"/>
              </w:rPr>
              <w:t>属于一般固废，根据企业提供资料，平均每片玻璃擦拭消耗无尘布量约</w:t>
            </w:r>
            <w:r>
              <w:rPr>
                <w:rFonts w:hint="default" w:ascii="Times New Roman" w:hAnsi="Times New Roman" w:cs="Times New Roman"/>
                <w:bCs/>
                <w:color w:val="auto"/>
                <w:kern w:val="0"/>
                <w:sz w:val="21"/>
                <w:szCs w:val="21"/>
                <w:highlight w:val="none"/>
                <w:lang w:val="en-US" w:eastAsia="zh-CN"/>
              </w:rPr>
              <w:t>1~2张，本次按照最大2张/片-原料计算，需擦拭原料玻璃量按照原料总量的10%计（约20000片）</w:t>
            </w:r>
            <w:r>
              <w:rPr>
                <w:rFonts w:hint="default" w:ascii="Times New Roman" w:hAnsi="Times New Roman" w:cs="Times New Roman"/>
                <w:bCs/>
                <w:color w:val="auto"/>
                <w:kern w:val="0"/>
                <w:sz w:val="21"/>
                <w:szCs w:val="21"/>
                <w:highlight w:val="none"/>
                <w:lang w:eastAsia="zh-CN"/>
              </w:rPr>
              <w:t>，则所需无尘布量为</w:t>
            </w:r>
            <w:r>
              <w:rPr>
                <w:rFonts w:hint="default" w:ascii="Times New Roman" w:hAnsi="Times New Roman" w:cs="Times New Roman"/>
                <w:bCs/>
                <w:color w:val="auto"/>
                <w:kern w:val="0"/>
                <w:sz w:val="21"/>
                <w:szCs w:val="21"/>
                <w:highlight w:val="none"/>
                <w:lang w:val="en-US" w:eastAsia="zh-CN"/>
              </w:rPr>
              <w:t>20000张（每包无尘布100片，净重110g）</w:t>
            </w:r>
            <w:r>
              <w:rPr>
                <w:rFonts w:hint="default" w:ascii="Times New Roman" w:hAnsi="Times New Roman"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rPr>
              <w:t>经计算</w:t>
            </w:r>
            <w:r>
              <w:rPr>
                <w:rFonts w:hint="default" w:ascii="Times New Roman" w:hAnsi="Times New Roman" w:cs="Times New Roman"/>
                <w:bCs/>
                <w:color w:val="auto"/>
                <w:kern w:val="0"/>
                <w:sz w:val="21"/>
                <w:szCs w:val="21"/>
                <w:highlight w:val="none"/>
                <w:lang w:eastAsia="zh-CN"/>
              </w:rPr>
              <w:t>废无尘布</w:t>
            </w:r>
            <w:r>
              <w:rPr>
                <w:rFonts w:hint="default" w:ascii="Times New Roman" w:hAnsi="Times New Roman" w:cs="Times New Roman"/>
                <w:bCs/>
                <w:color w:val="auto"/>
                <w:kern w:val="0"/>
                <w:sz w:val="21"/>
                <w:szCs w:val="21"/>
                <w:highlight w:val="none"/>
              </w:rPr>
              <w:t>产生量约为</w:t>
            </w:r>
            <w:r>
              <w:rPr>
                <w:rFonts w:hint="default" w:ascii="Times New Roman" w:hAnsi="Times New Roman" w:cs="Times New Roman"/>
                <w:bCs/>
                <w:color w:val="auto"/>
                <w:kern w:val="0"/>
                <w:sz w:val="21"/>
                <w:szCs w:val="21"/>
                <w:highlight w:val="none"/>
                <w:lang w:val="en-US" w:eastAsia="zh-CN"/>
              </w:rPr>
              <w:t>0.022</w:t>
            </w:r>
            <w:r>
              <w:rPr>
                <w:rFonts w:hint="default" w:ascii="Times New Roman" w:hAnsi="Times New Roman" w:cs="Times New Roman"/>
                <w:bCs/>
                <w:color w:val="auto"/>
                <w:kern w:val="0"/>
                <w:sz w:val="21"/>
                <w:szCs w:val="21"/>
                <w:highlight w:val="none"/>
              </w:rPr>
              <w:t>t/a，该</w:t>
            </w:r>
            <w:r>
              <w:rPr>
                <w:rFonts w:hint="default" w:ascii="Times New Roman" w:hAnsi="Times New Roman" w:cs="Times New Roman"/>
                <w:bCs/>
                <w:color w:val="auto"/>
                <w:kern w:val="0"/>
                <w:sz w:val="21"/>
                <w:szCs w:val="21"/>
                <w:highlight w:val="none"/>
                <w:lang w:eastAsia="zh-CN"/>
              </w:rPr>
              <w:t>部分固废采用收集箱收集后于一般固废暂存间暂存，定期交由环卫部门清运处理</w:t>
            </w:r>
            <w:r>
              <w:rPr>
                <w:rFonts w:hint="default" w:ascii="Times New Roman" w:hAnsi="Times New Roman" w:cs="Times New Roman"/>
                <w:bCs/>
                <w:color w:val="auto"/>
                <w:ker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fldChar w:fldCharType="begin"/>
            </w:r>
            <w:r>
              <w:rPr>
                <w:rFonts w:hint="default" w:ascii="Times New Roman" w:hAnsi="Times New Roman" w:cs="Times New Roman"/>
                <w:b/>
                <w:bCs/>
                <w:color w:val="auto"/>
                <w:kern w:val="0"/>
                <w:sz w:val="21"/>
                <w:szCs w:val="21"/>
                <w:highlight w:val="none"/>
                <w:lang w:eastAsia="zh-CN"/>
              </w:rPr>
              <w:instrText xml:space="preserve">=6\*GB3\*MERGEFORMAT</w:instrText>
            </w:r>
            <w:r>
              <w:rPr>
                <w:rFonts w:hint="default" w:ascii="Times New Roman" w:hAnsi="Times New Roman" w:cs="Times New Roman"/>
                <w:b/>
                <w:bCs/>
                <w:color w:val="auto"/>
                <w:kern w:val="0"/>
                <w:sz w:val="21"/>
                <w:szCs w:val="21"/>
                <w:highlight w:val="none"/>
                <w:lang w:eastAsia="zh-CN"/>
              </w:rPr>
              <w:fldChar w:fldCharType="separate"/>
            </w:r>
            <w:r>
              <w:rPr>
                <w:rFonts w:hint="default" w:ascii="Times New Roman" w:hAnsi="Times New Roman" w:cs="Times New Roman"/>
                <w:b/>
                <w:bCs/>
                <w:color w:val="auto"/>
                <w:sz w:val="21"/>
                <w:szCs w:val="21"/>
                <w:highlight w:val="none"/>
              </w:rPr>
              <w:t>⑥</w:t>
            </w:r>
            <w:r>
              <w:rPr>
                <w:rFonts w:hint="default" w:ascii="Times New Roman" w:hAnsi="Times New Roman" w:cs="Times New Roman"/>
                <w:b/>
                <w:bCs/>
                <w:color w:val="auto"/>
                <w:kern w:val="0"/>
                <w:sz w:val="21"/>
                <w:szCs w:val="21"/>
                <w:highlight w:val="none"/>
                <w:lang w:eastAsia="zh-CN"/>
              </w:rPr>
              <w:fldChar w:fldCharType="end"/>
            </w:r>
            <w:r>
              <w:rPr>
                <w:rFonts w:hint="default" w:ascii="Times New Roman" w:hAnsi="Times New Roman" w:cs="Times New Roman"/>
                <w:b/>
                <w:bCs/>
                <w:color w:val="auto"/>
                <w:kern w:val="0"/>
                <w:sz w:val="21"/>
                <w:szCs w:val="21"/>
                <w:highlight w:val="none"/>
                <w:lang w:eastAsia="zh-CN"/>
              </w:rPr>
              <w:t>沉渣</w:t>
            </w:r>
          </w:p>
          <w:p>
            <w:pPr>
              <w:keepNext w:val="0"/>
              <w:keepLines w:val="0"/>
              <w:pageBreakBefore w:val="0"/>
              <w:widowControl w:val="0"/>
              <w:kinsoku/>
              <w:wordWrap/>
              <w:overflowPunct/>
              <w:topLinePunct w:val="0"/>
              <w:bidi w:val="0"/>
              <w:adjustRightInd/>
              <w:snapToGrid/>
              <w:spacing w:line="360" w:lineRule="auto"/>
              <w:ind w:left="0" w:leftChars="0" w:firstLine="420" w:firstLineChars="200"/>
              <w:jc w:val="both"/>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color w:val="auto"/>
                <w:sz w:val="21"/>
                <w:szCs w:val="21"/>
                <w:highlight w:val="none"/>
                <w:lang w:eastAsia="zh-CN"/>
              </w:rPr>
              <w:t>项目沉淀池</w:t>
            </w:r>
            <w:r>
              <w:rPr>
                <w:rFonts w:hint="eastAsia" w:cs="Times New Roman"/>
                <w:color w:val="auto"/>
                <w:sz w:val="21"/>
                <w:szCs w:val="21"/>
                <w:highlight w:val="none"/>
                <w:lang w:eastAsia="zh-CN"/>
              </w:rPr>
              <w:t>和</w:t>
            </w:r>
            <w:r>
              <w:rPr>
                <w:rFonts w:hint="default" w:ascii="Times New Roman" w:hAnsi="Times New Roman" w:cs="Times New Roman"/>
                <w:color w:val="auto"/>
                <w:sz w:val="21"/>
                <w:szCs w:val="21"/>
                <w:highlight w:val="none"/>
                <w:lang w:eastAsia="zh-CN"/>
              </w:rPr>
              <w:t>混凝沉淀池</w:t>
            </w:r>
            <w:r>
              <w:rPr>
                <w:rFonts w:hint="eastAsia" w:cs="Times New Roman"/>
                <w:color w:val="auto"/>
                <w:sz w:val="21"/>
                <w:szCs w:val="21"/>
                <w:highlight w:val="none"/>
                <w:lang w:eastAsia="zh-CN"/>
              </w:rPr>
              <w:t>在</w:t>
            </w:r>
            <w:r>
              <w:rPr>
                <w:rFonts w:hint="default" w:ascii="Times New Roman" w:hAnsi="Times New Roman" w:cs="Times New Roman"/>
                <w:color w:val="auto"/>
                <w:sz w:val="21"/>
                <w:szCs w:val="21"/>
                <w:highlight w:val="none"/>
                <w:lang w:eastAsia="zh-CN"/>
              </w:rPr>
              <w:t>定期清理过程会产生一定量的沉渣和污泥，主要为玻璃渣、污泥等，属于一般固废。工程沉淀池和混凝沉淀池每周清理</w:t>
            </w:r>
            <w:r>
              <w:rPr>
                <w:rFonts w:hint="default" w:ascii="Times New Roman" w:hAnsi="Times New Roman" w:cs="Times New Roman"/>
                <w:color w:val="auto"/>
                <w:sz w:val="21"/>
                <w:szCs w:val="21"/>
                <w:highlight w:val="none"/>
                <w:lang w:val="en-US" w:eastAsia="zh-CN"/>
              </w:rPr>
              <w:t>1次，其中</w:t>
            </w:r>
            <w:r>
              <w:rPr>
                <w:rFonts w:hint="default" w:ascii="Times New Roman" w:hAnsi="Times New Roman" w:cs="Times New Roman"/>
                <w:color w:val="auto"/>
                <w:sz w:val="21"/>
                <w:szCs w:val="21"/>
                <w:highlight w:val="none"/>
                <w:lang w:eastAsia="zh-CN"/>
              </w:rPr>
              <w:t>沉淀池内清理沉渣主要为玻璃渣，根据企业提供资料，玻璃渣产生量约按照原料用量的</w:t>
            </w:r>
            <w:r>
              <w:rPr>
                <w:rFonts w:hint="default" w:ascii="Times New Roman" w:hAnsi="Times New Roman" w:cs="Times New Roman"/>
                <w:color w:val="auto"/>
                <w:sz w:val="21"/>
                <w:szCs w:val="21"/>
                <w:highlight w:val="none"/>
                <w:lang w:val="en-US" w:eastAsia="zh-CN"/>
              </w:rPr>
              <w:t>0.1%计算，则沉积玻璃渣量为0.01t/a</w:t>
            </w:r>
            <w:r>
              <w:rPr>
                <w:rFonts w:hint="default" w:ascii="Times New Roman" w:hAnsi="Times New Roman" w:cs="Times New Roman"/>
                <w:color w:val="auto"/>
                <w:sz w:val="21"/>
                <w:szCs w:val="21"/>
                <w:highlight w:val="none"/>
                <w:lang w:eastAsia="zh-CN"/>
              </w:rPr>
              <w:t>，混凝沉淀池内清理沉渣主要为絮凝后的无机盐污泥，产生量为</w:t>
            </w:r>
            <w:r>
              <w:rPr>
                <w:rFonts w:hint="default" w:ascii="Times New Roman" w:hAnsi="Times New Roman" w:cs="Times New Roman"/>
                <w:color w:val="auto"/>
                <w:sz w:val="21"/>
                <w:szCs w:val="21"/>
                <w:highlight w:val="none"/>
                <w:lang w:val="en-US" w:eastAsia="zh-CN"/>
              </w:rPr>
              <w:t>0.005t/a，采用容器收集并通过</w:t>
            </w:r>
            <w:r>
              <w:rPr>
                <w:rFonts w:hint="default" w:ascii="Times New Roman" w:hAnsi="Times New Roman" w:cs="Times New Roman"/>
                <w:bCs/>
                <w:color w:val="auto"/>
                <w:kern w:val="0"/>
                <w:sz w:val="21"/>
                <w:szCs w:val="21"/>
                <w:highlight w:val="none"/>
                <w:lang w:eastAsia="zh-CN"/>
              </w:rPr>
              <w:t>一般固废暂存间暂存，定期交由环卫部门清运处理</w:t>
            </w:r>
            <w:r>
              <w:rPr>
                <w:rFonts w:hint="default" w:ascii="Times New Roman" w:hAnsi="Times New Roman" w:cs="Times New Roman"/>
                <w:bCs/>
                <w:color w:val="auto"/>
                <w:ker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eastAsia"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rPr>
              <w:fldChar w:fldCharType="begin"/>
            </w:r>
            <w:r>
              <w:rPr>
                <w:rFonts w:hint="default" w:ascii="Times New Roman" w:hAnsi="Times New Roman" w:cs="Times New Roman"/>
                <w:b/>
                <w:bCs/>
                <w:color w:val="auto"/>
                <w:kern w:val="0"/>
                <w:sz w:val="21"/>
                <w:szCs w:val="21"/>
                <w:highlight w:val="none"/>
              </w:rPr>
              <w:instrText xml:space="preserve">=7\*GB3\*MERGEFORMAT</w:instrText>
            </w:r>
            <w:r>
              <w:rPr>
                <w:rFonts w:hint="default" w:ascii="Times New Roman" w:hAnsi="Times New Roman" w:cs="Times New Roman"/>
                <w:b/>
                <w:bCs/>
                <w:color w:val="auto"/>
                <w:kern w:val="0"/>
                <w:sz w:val="21"/>
                <w:szCs w:val="21"/>
                <w:highlight w:val="none"/>
              </w:rPr>
              <w:fldChar w:fldCharType="separate"/>
            </w:r>
            <w:r>
              <w:rPr>
                <w:rFonts w:hint="default" w:ascii="Times New Roman" w:hAnsi="Times New Roman" w:cs="Times New Roman"/>
                <w:b/>
                <w:bCs/>
                <w:color w:val="auto"/>
                <w:sz w:val="21"/>
                <w:szCs w:val="21"/>
                <w:highlight w:val="none"/>
              </w:rPr>
              <w:t>⑦</w:t>
            </w:r>
            <w:r>
              <w:rPr>
                <w:rFonts w:hint="default" w:ascii="Times New Roman" w:hAnsi="Times New Roman" w:cs="Times New Roman"/>
                <w:b/>
                <w:bCs/>
                <w:color w:val="auto"/>
                <w:kern w:val="0"/>
                <w:sz w:val="21"/>
                <w:szCs w:val="21"/>
                <w:highlight w:val="none"/>
              </w:rPr>
              <w:fldChar w:fldCharType="end"/>
            </w:r>
            <w:r>
              <w:rPr>
                <w:rFonts w:hint="eastAsia" w:cs="Times New Roman"/>
                <w:b/>
                <w:bCs/>
                <w:color w:val="auto"/>
                <w:kern w:val="0"/>
                <w:sz w:val="21"/>
                <w:szCs w:val="21"/>
                <w:highlight w:val="none"/>
                <w:lang w:eastAsia="zh-CN"/>
              </w:rPr>
              <w:t>废金刚砂</w:t>
            </w:r>
          </w:p>
          <w:p>
            <w:pPr>
              <w:keepNext w:val="0"/>
              <w:keepLines w:val="0"/>
              <w:pageBreakBefore w:val="0"/>
              <w:widowControl w:val="0"/>
              <w:kinsoku/>
              <w:wordWrap/>
              <w:overflowPunct/>
              <w:topLinePunct w:val="0"/>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项目精磨、粗磨工序</w:t>
            </w:r>
            <w:r>
              <w:rPr>
                <w:rFonts w:hint="eastAsia" w:cs="Times New Roman"/>
                <w:color w:val="auto"/>
                <w:kern w:val="2"/>
                <w:sz w:val="21"/>
                <w:szCs w:val="21"/>
                <w:highlight w:val="none"/>
                <w:lang w:val="en-US" w:eastAsia="zh-CN" w:bidi="ar-SA"/>
              </w:rPr>
              <w:t>使用磨削原料金刚砂长期使用一段时间后需进行更换，更换的废金刚砂属于一般固废，根据企业提供资料，更换周期平均每3月更换1次，更换废金刚砂量约为15kg，则废金刚砂量为0.06t/a，废金刚砂</w:t>
            </w:r>
            <w:r>
              <w:rPr>
                <w:rFonts w:hint="default" w:ascii="Times New Roman" w:hAnsi="Times New Roman" w:cs="Times New Roman"/>
                <w:color w:val="auto"/>
                <w:sz w:val="21"/>
                <w:szCs w:val="21"/>
                <w:highlight w:val="none"/>
                <w:lang w:val="en-US" w:eastAsia="zh-CN"/>
              </w:rPr>
              <w:t>采用容器收集并通过</w:t>
            </w:r>
            <w:r>
              <w:rPr>
                <w:rFonts w:hint="default" w:ascii="Times New Roman" w:hAnsi="Times New Roman" w:cs="Times New Roman"/>
                <w:bCs/>
                <w:color w:val="auto"/>
                <w:kern w:val="0"/>
                <w:sz w:val="21"/>
                <w:szCs w:val="21"/>
                <w:highlight w:val="none"/>
                <w:lang w:eastAsia="zh-CN"/>
              </w:rPr>
              <w:t>一般固废暂存间暂存，定期</w:t>
            </w:r>
            <w:r>
              <w:rPr>
                <w:rFonts w:hint="eastAsia" w:cs="Times New Roman"/>
                <w:bCs/>
                <w:color w:val="auto"/>
                <w:kern w:val="0"/>
                <w:sz w:val="21"/>
                <w:szCs w:val="21"/>
                <w:highlight w:val="none"/>
                <w:lang w:eastAsia="zh-CN"/>
              </w:rPr>
              <w:t>外售</w:t>
            </w:r>
            <w:r>
              <w:rPr>
                <w:rFonts w:hint="default" w:ascii="Times New Roman" w:hAnsi="Times New Roman" w:cs="Times New Roman"/>
                <w:bCs/>
                <w:color w:val="auto"/>
                <w:ker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sz w:val="21"/>
                <w:szCs w:val="21"/>
                <w:highlight w:val="none"/>
              </w:rPr>
              <w:fldChar w:fldCharType="begin"/>
            </w:r>
            <w:r>
              <w:rPr>
                <w:rFonts w:hint="default" w:ascii="Times New Roman" w:hAnsi="Times New Roman" w:cs="Times New Roman"/>
                <w:b/>
                <w:bCs/>
                <w:color w:val="auto"/>
                <w:sz w:val="21"/>
                <w:szCs w:val="21"/>
                <w:highlight w:val="none"/>
              </w:rPr>
              <w:instrText xml:space="preserve">=8\*GB3\*MERGEFORMAT</w:instrText>
            </w:r>
            <w:r>
              <w:rPr>
                <w:rFonts w:hint="default" w:ascii="Times New Roman" w:hAnsi="Times New Roman" w:cs="Times New Roman"/>
                <w:b/>
                <w:bCs/>
                <w:color w:val="auto"/>
                <w:sz w:val="21"/>
                <w:szCs w:val="21"/>
                <w:highlight w:val="none"/>
              </w:rPr>
              <w:fldChar w:fldCharType="separate"/>
            </w:r>
            <w:r>
              <w:rPr>
                <w:rFonts w:hint="default" w:ascii="Times New Roman" w:hAnsi="Times New Roman" w:cs="Times New Roman"/>
                <w:b/>
                <w:bCs/>
                <w:color w:val="auto"/>
                <w:sz w:val="21"/>
                <w:szCs w:val="21"/>
                <w:highlight w:val="none"/>
              </w:rPr>
              <w:t>⑧</w:t>
            </w:r>
            <w:r>
              <w:rPr>
                <w:rFonts w:hint="default" w:ascii="Times New Roman" w:hAnsi="Times New Roman" w:cs="Times New Roman"/>
                <w:b/>
                <w:bCs/>
                <w:color w:val="auto"/>
                <w:sz w:val="21"/>
                <w:szCs w:val="21"/>
                <w:highlight w:val="none"/>
              </w:rPr>
              <w:fldChar w:fldCharType="end"/>
            </w:r>
            <w:r>
              <w:rPr>
                <w:rFonts w:hint="default" w:ascii="Times New Roman" w:hAnsi="Times New Roman" w:cs="Times New Roman"/>
                <w:b/>
                <w:bCs/>
                <w:color w:val="auto"/>
                <w:kern w:val="0"/>
                <w:sz w:val="21"/>
                <w:szCs w:val="21"/>
                <w:highlight w:val="none"/>
              </w:rPr>
              <w:t>生活垃圾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项目生活垃圾产生量按照0.5kg/人·d计算，劳动定员</w:t>
            </w:r>
            <w:r>
              <w:rPr>
                <w:rFonts w:hint="default" w:ascii="Times New Roman" w:hAnsi="Times New Roman" w:cs="Times New Roman"/>
                <w:bCs/>
                <w:color w:val="auto"/>
                <w:kern w:val="0"/>
                <w:sz w:val="21"/>
                <w:szCs w:val="21"/>
                <w:highlight w:val="none"/>
                <w:lang w:val="en-US" w:eastAsia="zh-CN"/>
              </w:rPr>
              <w:t>20</w:t>
            </w:r>
            <w:r>
              <w:rPr>
                <w:rFonts w:hint="default" w:ascii="Times New Roman" w:hAnsi="Times New Roman" w:cs="Times New Roman"/>
                <w:bCs/>
                <w:color w:val="auto"/>
                <w:kern w:val="0"/>
                <w:sz w:val="21"/>
                <w:szCs w:val="21"/>
                <w:highlight w:val="none"/>
              </w:rPr>
              <w:t>人，</w:t>
            </w:r>
            <w:r>
              <w:rPr>
                <w:rFonts w:hint="default" w:ascii="Times New Roman" w:hAnsi="Times New Roman" w:cs="Times New Roman"/>
                <w:bCs/>
                <w:color w:val="auto"/>
                <w:kern w:val="0"/>
                <w:sz w:val="21"/>
                <w:szCs w:val="21"/>
                <w:highlight w:val="none"/>
                <w:lang w:eastAsia="zh-CN"/>
              </w:rPr>
              <w:t>年工作时间</w:t>
            </w:r>
            <w:r>
              <w:rPr>
                <w:rFonts w:hint="default" w:ascii="Times New Roman" w:hAnsi="Times New Roman" w:cs="Times New Roman"/>
                <w:bCs/>
                <w:color w:val="auto"/>
                <w:kern w:val="0"/>
                <w:sz w:val="21"/>
                <w:szCs w:val="21"/>
                <w:highlight w:val="none"/>
                <w:lang w:val="en-US" w:eastAsia="zh-CN"/>
              </w:rPr>
              <w:t>285天</w:t>
            </w:r>
            <w:r>
              <w:rPr>
                <w:rFonts w:hint="default" w:ascii="Times New Roman" w:hAnsi="Times New Roman"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rPr>
              <w:t>则职工办公生活垃圾产生量为</w:t>
            </w:r>
            <w:r>
              <w:rPr>
                <w:rFonts w:hint="default" w:ascii="Times New Roman" w:hAnsi="Times New Roman" w:cs="Times New Roman"/>
                <w:bCs/>
                <w:color w:val="auto"/>
                <w:kern w:val="0"/>
                <w:sz w:val="21"/>
                <w:szCs w:val="21"/>
                <w:highlight w:val="none"/>
                <w:lang w:val="en-US" w:eastAsia="zh-CN"/>
              </w:rPr>
              <w:t>2.85</w:t>
            </w:r>
            <w:r>
              <w:rPr>
                <w:rFonts w:hint="default" w:ascii="Times New Roman" w:hAnsi="Times New Roman" w:cs="Times New Roman"/>
                <w:bCs/>
                <w:color w:val="auto"/>
                <w:kern w:val="0"/>
                <w:sz w:val="21"/>
                <w:szCs w:val="21"/>
                <w:highlight w:val="none"/>
              </w:rPr>
              <w:t>t/a。职工办公生活垃圾</w:t>
            </w:r>
            <w:r>
              <w:rPr>
                <w:rFonts w:hint="default" w:ascii="Times New Roman" w:hAnsi="Times New Roman" w:cs="Times New Roman"/>
                <w:bCs/>
                <w:color w:val="auto"/>
                <w:kern w:val="0"/>
                <w:sz w:val="21"/>
                <w:szCs w:val="21"/>
                <w:highlight w:val="none"/>
                <w:lang w:eastAsia="zh-CN"/>
              </w:rPr>
              <w:t>采用垃圾收集箱</w:t>
            </w:r>
            <w:r>
              <w:rPr>
                <w:rFonts w:hint="default" w:ascii="Times New Roman" w:hAnsi="Times New Roman" w:cs="Times New Roman"/>
                <w:bCs/>
                <w:color w:val="auto"/>
                <w:kern w:val="0"/>
                <w:sz w:val="21"/>
                <w:szCs w:val="21"/>
                <w:highlight w:val="none"/>
              </w:rPr>
              <w:t>收集后交由环卫部门统一清运。</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fldChar w:fldCharType="begin"/>
            </w:r>
            <w:r>
              <w:rPr>
                <w:rFonts w:hint="default" w:ascii="Times New Roman" w:hAnsi="Times New Roman" w:cs="Times New Roman"/>
                <w:b/>
                <w:bCs/>
                <w:color w:val="auto"/>
                <w:sz w:val="21"/>
                <w:szCs w:val="21"/>
                <w:highlight w:val="none"/>
                <w:lang w:eastAsia="zh-CN"/>
              </w:rPr>
              <w:instrText xml:space="preserve"> = 9 \* GB3 \* MERGEFORMAT </w:instrText>
            </w:r>
            <w:r>
              <w:rPr>
                <w:rFonts w:hint="default" w:ascii="Times New Roman" w:hAnsi="Times New Roman" w:cs="Times New Roman"/>
                <w:b/>
                <w:bCs/>
                <w:color w:val="auto"/>
                <w:sz w:val="21"/>
                <w:szCs w:val="21"/>
                <w:highlight w:val="none"/>
                <w:lang w:eastAsia="zh-CN"/>
              </w:rPr>
              <w:fldChar w:fldCharType="separate"/>
            </w:r>
            <w:r>
              <w:rPr>
                <w:b/>
                <w:bCs/>
                <w:color w:val="auto"/>
                <w:sz w:val="21"/>
                <w:szCs w:val="21"/>
              </w:rPr>
              <w:t>⑨</w:t>
            </w:r>
            <w:r>
              <w:rPr>
                <w:rFonts w:hint="default" w:ascii="Times New Roman" w:hAnsi="Times New Roman" w:cs="Times New Roman"/>
                <w:b/>
                <w:bCs/>
                <w:color w:val="auto"/>
                <w:sz w:val="21"/>
                <w:szCs w:val="21"/>
                <w:highlight w:val="none"/>
                <w:lang w:eastAsia="zh-CN"/>
              </w:rPr>
              <w:fldChar w:fldCharType="end"/>
            </w:r>
            <w:r>
              <w:rPr>
                <w:rFonts w:hint="default" w:ascii="Times New Roman" w:hAnsi="Times New Roman" w:cs="Times New Roman"/>
                <w:b/>
                <w:bCs/>
                <w:color w:val="auto"/>
                <w:sz w:val="21"/>
                <w:szCs w:val="21"/>
                <w:highlight w:val="none"/>
                <w:lang w:eastAsia="zh-CN"/>
              </w:rPr>
              <w:t>废润滑油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w:t>
            </w:r>
            <w:r>
              <w:rPr>
                <w:rFonts w:hint="default" w:ascii="Times New Roman" w:hAnsi="Times New Roman" w:eastAsia="宋体" w:cs="Times New Roman"/>
                <w:color w:val="auto"/>
                <w:kern w:val="2"/>
                <w:sz w:val="21"/>
                <w:szCs w:val="21"/>
                <w:highlight w:val="none"/>
                <w:lang w:val="en-US" w:eastAsia="zh-CN" w:bidi="ar-SA"/>
              </w:rPr>
              <w:t>生产所用</w:t>
            </w:r>
            <w:r>
              <w:rPr>
                <w:rFonts w:hint="default" w:ascii="Times New Roman" w:hAnsi="Times New Roman" w:cs="Times New Roman"/>
                <w:color w:val="auto"/>
                <w:kern w:val="2"/>
                <w:sz w:val="21"/>
                <w:szCs w:val="21"/>
                <w:highlight w:val="none"/>
                <w:lang w:val="en-US" w:eastAsia="zh-CN" w:bidi="ar-SA"/>
              </w:rPr>
              <w:t>内圆切割机、磨边机、抛光机等</w:t>
            </w:r>
            <w:r>
              <w:rPr>
                <w:rFonts w:hint="default" w:ascii="Times New Roman" w:hAnsi="Times New Roman" w:eastAsia="宋体" w:cs="Times New Roman"/>
                <w:color w:val="auto"/>
                <w:kern w:val="2"/>
                <w:sz w:val="21"/>
                <w:szCs w:val="21"/>
                <w:highlight w:val="none"/>
                <w:lang w:val="en-US" w:eastAsia="zh-CN" w:bidi="ar-SA"/>
              </w:rPr>
              <w:t>设备检修维护过程会更换出设备内</w:t>
            </w:r>
            <w:r>
              <w:rPr>
                <w:rFonts w:hint="default" w:ascii="Times New Roman" w:hAnsi="Times New Roman" w:cs="Times New Roman"/>
                <w:color w:val="auto"/>
                <w:kern w:val="2"/>
                <w:sz w:val="21"/>
                <w:szCs w:val="21"/>
                <w:highlight w:val="none"/>
                <w:lang w:val="en-US" w:eastAsia="zh-CN" w:bidi="ar-SA"/>
              </w:rPr>
              <w:t>润滑油系统内</w:t>
            </w:r>
            <w:r>
              <w:rPr>
                <w:rFonts w:hint="default" w:ascii="Times New Roman" w:hAnsi="Times New Roman" w:eastAsia="宋体" w:cs="Times New Roman"/>
                <w:color w:val="auto"/>
                <w:kern w:val="2"/>
                <w:sz w:val="21"/>
                <w:szCs w:val="21"/>
                <w:highlight w:val="none"/>
                <w:lang w:val="en-US" w:eastAsia="zh-CN" w:bidi="ar-SA"/>
              </w:rPr>
              <w:t>部分润滑油，根据企业提供资料，</w:t>
            </w:r>
            <w:r>
              <w:rPr>
                <w:rFonts w:hint="default" w:ascii="Times New Roman" w:hAnsi="Times New Roman" w:cs="Times New Roman"/>
                <w:color w:val="auto"/>
                <w:kern w:val="2"/>
                <w:sz w:val="21"/>
                <w:szCs w:val="21"/>
                <w:highlight w:val="none"/>
                <w:lang w:val="en-US" w:eastAsia="zh-CN" w:bidi="ar-SA"/>
              </w:rPr>
              <w:t>项目生产设备约每半年进行一次维护，期间</w:t>
            </w:r>
            <w:r>
              <w:rPr>
                <w:rFonts w:hint="default" w:ascii="Times New Roman" w:hAnsi="Times New Roman" w:eastAsia="宋体" w:cs="Times New Roman"/>
                <w:color w:val="auto"/>
                <w:kern w:val="2"/>
                <w:sz w:val="21"/>
                <w:szCs w:val="21"/>
                <w:highlight w:val="none"/>
                <w:lang w:val="en-US" w:eastAsia="zh-CN" w:bidi="ar-SA"/>
              </w:rPr>
              <w:t>清理的废润滑油量约为</w:t>
            </w:r>
            <w:r>
              <w:rPr>
                <w:rFonts w:hint="default" w:ascii="Times New Roman" w:hAnsi="Times New Roman" w:cs="Times New Roman"/>
                <w:color w:val="auto"/>
                <w:kern w:val="2"/>
                <w:sz w:val="21"/>
                <w:szCs w:val="21"/>
                <w:highlight w:val="none"/>
                <w:lang w:val="en-US" w:eastAsia="zh-CN" w:bidi="ar-SA"/>
              </w:rPr>
              <w:t>0.05</w:t>
            </w:r>
            <w:r>
              <w:rPr>
                <w:rFonts w:hint="default" w:ascii="Times New Roman" w:hAnsi="Times New Roman" w:eastAsia="宋体" w:cs="Times New Roman"/>
                <w:color w:val="auto"/>
                <w:kern w:val="2"/>
                <w:sz w:val="21"/>
                <w:szCs w:val="21"/>
                <w:highlight w:val="none"/>
                <w:lang w:val="en-US" w:eastAsia="zh-CN" w:bidi="ar-SA"/>
              </w:rPr>
              <w:t>t/a</w:t>
            </w: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cs="Times New Roman"/>
                <w:color w:val="auto"/>
                <w:sz w:val="21"/>
                <w:szCs w:val="21"/>
                <w:highlight w:val="none"/>
                <w:lang w:val="en-US" w:eastAsia="zh-CN"/>
              </w:rPr>
              <w:t>根据</w:t>
            </w:r>
            <w:r>
              <w:rPr>
                <w:rFonts w:hint="default" w:ascii="Times New Roman" w:hAnsi="Times New Roman" w:cs="Times New Roman"/>
                <w:bCs/>
                <w:color w:val="auto"/>
                <w:kern w:val="0"/>
                <w:sz w:val="21"/>
                <w:szCs w:val="21"/>
                <w:highlight w:val="none"/>
                <w:lang w:eastAsia="zh-CN"/>
              </w:rPr>
              <w:t>《国家危险废物名录》（</w:t>
            </w:r>
            <w:r>
              <w:rPr>
                <w:rFonts w:hint="default" w:ascii="Times New Roman" w:hAnsi="Times New Roman" w:cs="Times New Roman"/>
                <w:bCs/>
                <w:color w:val="auto"/>
                <w:kern w:val="0"/>
                <w:sz w:val="21"/>
                <w:szCs w:val="21"/>
                <w:highlight w:val="none"/>
                <w:lang w:val="en-US" w:eastAsia="zh-CN"/>
              </w:rPr>
              <w:t>2021</w:t>
            </w:r>
            <w:r>
              <w:rPr>
                <w:rFonts w:hint="default" w:ascii="Times New Roman" w:hAnsi="Times New Roman" w:cs="Times New Roman"/>
                <w:bCs/>
                <w:color w:val="auto"/>
                <w:kern w:val="0"/>
                <w:sz w:val="21"/>
                <w:szCs w:val="21"/>
                <w:highlight w:val="none"/>
                <w:lang w:eastAsia="zh-CN"/>
              </w:rPr>
              <w:t>年版）可知，废润滑油属于危险废物，废物类别及代码为HW</w:t>
            </w:r>
            <w:r>
              <w:rPr>
                <w:rFonts w:hint="default" w:ascii="Times New Roman" w:hAnsi="Times New Roman" w:cs="Times New Roman"/>
                <w:bCs/>
                <w:color w:val="auto"/>
                <w:kern w:val="0"/>
                <w:sz w:val="21"/>
                <w:szCs w:val="21"/>
                <w:highlight w:val="none"/>
                <w:lang w:val="en-US" w:eastAsia="zh-CN"/>
              </w:rPr>
              <w:t>08</w:t>
            </w:r>
            <w:r>
              <w:rPr>
                <w:rFonts w:hint="default" w:ascii="Times New Roman" w:hAnsi="Times New Roman" w:cs="Times New Roman"/>
                <w:bCs/>
                <w:color w:val="auto"/>
                <w:kern w:val="0"/>
                <w:sz w:val="21"/>
                <w:szCs w:val="21"/>
                <w:highlight w:val="none"/>
                <w:lang w:eastAsia="zh-CN"/>
              </w:rPr>
              <w:t>-900-</w:t>
            </w:r>
            <w:r>
              <w:rPr>
                <w:rFonts w:hint="default" w:ascii="Times New Roman" w:hAnsi="Times New Roman" w:cs="Times New Roman"/>
                <w:bCs/>
                <w:color w:val="auto"/>
                <w:kern w:val="0"/>
                <w:sz w:val="21"/>
                <w:szCs w:val="21"/>
                <w:highlight w:val="none"/>
                <w:lang w:val="en-US" w:eastAsia="zh-CN"/>
              </w:rPr>
              <w:t>2</w:t>
            </w:r>
            <w:r>
              <w:rPr>
                <w:rFonts w:hint="default" w:ascii="Times New Roman" w:hAnsi="Times New Roman" w:cs="Times New Roman"/>
                <w:bCs/>
                <w:color w:val="auto"/>
                <w:kern w:val="0"/>
                <w:sz w:val="21"/>
                <w:szCs w:val="21"/>
                <w:highlight w:val="none"/>
                <w:lang w:eastAsia="zh-CN"/>
              </w:rPr>
              <w:t>1</w:t>
            </w:r>
            <w:r>
              <w:rPr>
                <w:rFonts w:hint="default" w:ascii="Times New Roman" w:hAnsi="Times New Roman" w:cs="Times New Roman"/>
                <w:bCs/>
                <w:color w:val="auto"/>
                <w:kern w:val="0"/>
                <w:sz w:val="21"/>
                <w:szCs w:val="21"/>
                <w:highlight w:val="none"/>
                <w:lang w:val="en-US" w:eastAsia="zh-CN"/>
              </w:rPr>
              <w:t>7</w:t>
            </w:r>
            <w:r>
              <w:rPr>
                <w:rFonts w:hint="default" w:ascii="Times New Roman" w:hAnsi="Times New Roman" w:cs="Times New Roman"/>
                <w:bCs/>
                <w:color w:val="auto"/>
                <w:kern w:val="0"/>
                <w:sz w:val="21"/>
                <w:szCs w:val="21"/>
                <w:highlight w:val="none"/>
                <w:lang w:eastAsia="zh-CN"/>
              </w:rPr>
              <w:t>-0</w:t>
            </w:r>
            <w:r>
              <w:rPr>
                <w:rFonts w:hint="default" w:ascii="Times New Roman" w:hAnsi="Times New Roman" w:cs="Times New Roman"/>
                <w:bCs/>
                <w:color w:val="auto"/>
                <w:kern w:val="0"/>
                <w:sz w:val="21"/>
                <w:szCs w:val="21"/>
                <w:highlight w:val="none"/>
                <w:lang w:val="en-US" w:eastAsia="zh-CN"/>
              </w:rPr>
              <w:t>8</w:t>
            </w:r>
            <w:r>
              <w:rPr>
                <w:rFonts w:hint="default" w:ascii="Times New Roman" w:hAnsi="Times New Roman" w:cs="Times New Roman"/>
                <w:bCs/>
                <w:color w:val="auto"/>
                <w:kern w:val="0"/>
                <w:sz w:val="21"/>
                <w:szCs w:val="21"/>
                <w:highlight w:val="none"/>
                <w:lang w:eastAsia="zh-CN"/>
              </w:rPr>
              <w:t>，通过密闭容器收集后经设置1间危险固废暂存间暂存，定期委托有组织的危险废物处置单位进行处理。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bCs/>
                <w:color w:val="auto"/>
                <w:kern w:val="0"/>
                <w:sz w:val="21"/>
                <w:szCs w:val="21"/>
                <w:highlight w:val="none"/>
              </w:rPr>
              <w:t>项目运营期固体废物产生及处理处置情况见</w:t>
            </w:r>
            <w:r>
              <w:rPr>
                <w:rFonts w:hint="default" w:ascii="Times New Roman" w:hAnsi="Times New Roman" w:cs="Times New Roman"/>
                <w:bCs/>
                <w:color w:val="auto"/>
                <w:kern w:val="0"/>
                <w:sz w:val="21"/>
                <w:szCs w:val="21"/>
                <w:highlight w:val="none"/>
                <w:lang w:eastAsia="zh-CN"/>
              </w:rPr>
              <w:t>下表：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营运期固体废物产生、处置情况汇总表</w:t>
            </w:r>
          </w:p>
          <w:tbl>
            <w:tblPr>
              <w:tblStyle w:val="22"/>
              <w:tblW w:w="4996"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19"/>
              <w:gridCol w:w="1056"/>
              <w:gridCol w:w="1047"/>
              <w:gridCol w:w="1178"/>
              <w:gridCol w:w="1489"/>
              <w:gridCol w:w="832"/>
              <w:gridCol w:w="136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序号</w:t>
                  </w:r>
                </w:p>
              </w:tc>
              <w:tc>
                <w:tcPr>
                  <w:tcW w:w="69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lang w:eastAsia="zh-CN"/>
                    </w:rPr>
                    <w:t>固废</w:t>
                  </w:r>
                  <w:r>
                    <w:rPr>
                      <w:rFonts w:hint="default" w:ascii="Times New Roman" w:hAnsi="Times New Roman" w:cs="Times New Roman" w:eastAsiaTheme="minorEastAsia"/>
                      <w:b w:val="0"/>
                      <w:bCs w:val="0"/>
                      <w:color w:val="auto"/>
                      <w:sz w:val="18"/>
                      <w:szCs w:val="18"/>
                      <w:highlight w:val="none"/>
                      <w:u w:val="none"/>
                    </w:rPr>
                    <w:t>名称</w:t>
                  </w:r>
                </w:p>
              </w:tc>
              <w:tc>
                <w:tcPr>
                  <w:tcW w:w="69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属性</w:t>
                  </w:r>
                </w:p>
              </w:tc>
              <w:tc>
                <w:tcPr>
                  <w:tcW w:w="776" w:type="pct"/>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废物类别</w:t>
                  </w:r>
                </w:p>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lang w:eastAsia="zh-CN"/>
                    </w:rPr>
                    <w:t>及代码</w:t>
                  </w:r>
                </w:p>
              </w:tc>
              <w:tc>
                <w:tcPr>
                  <w:tcW w:w="981" w:type="pct"/>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color w:val="auto"/>
                      <w:sz w:val="18"/>
                      <w:szCs w:val="18"/>
                      <w:highlight w:val="none"/>
                    </w:rPr>
                    <w:t>产生工序</w:t>
                  </w:r>
                </w:p>
              </w:tc>
              <w:tc>
                <w:tcPr>
                  <w:tcW w:w="54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产生量（t/a）</w:t>
                  </w:r>
                </w:p>
              </w:tc>
              <w:tc>
                <w:tcPr>
                  <w:tcW w:w="89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rPr>
                  </w:pPr>
                  <w:r>
                    <w:rPr>
                      <w:rFonts w:hint="default" w:ascii="Times New Roman" w:hAnsi="Times New Roman" w:cs="Times New Roman" w:eastAsiaTheme="minorEastAsia"/>
                      <w:b w:val="0"/>
                      <w:bCs w:val="0"/>
                      <w:color w:val="auto"/>
                      <w:sz w:val="18"/>
                      <w:szCs w:val="18"/>
                      <w:highlight w:val="none"/>
                      <w:u w:val="none"/>
                    </w:rPr>
                    <w:t>处置措施</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1</w:t>
                  </w:r>
                </w:p>
              </w:tc>
              <w:tc>
                <w:tcPr>
                  <w:tcW w:w="696"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废包装</w:t>
                  </w:r>
                </w:p>
              </w:tc>
              <w:tc>
                <w:tcPr>
                  <w:tcW w:w="690"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一般固废</w:t>
                  </w:r>
                </w:p>
              </w:tc>
              <w:tc>
                <w:tcPr>
                  <w:tcW w:w="776"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900-999-99</w:t>
                  </w:r>
                </w:p>
              </w:tc>
              <w:tc>
                <w:tcPr>
                  <w:tcW w:w="981"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原辅料拆包</w:t>
                  </w:r>
                </w:p>
              </w:tc>
              <w:tc>
                <w:tcPr>
                  <w:tcW w:w="54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0.1385</w:t>
                  </w:r>
                </w:p>
              </w:tc>
              <w:tc>
                <w:tcPr>
                  <w:tcW w:w="896" w:type="pct"/>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集中收集，分类暂存后，定期外售综合利用</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2</w:t>
                  </w:r>
                </w:p>
              </w:tc>
              <w:tc>
                <w:tcPr>
                  <w:tcW w:w="696"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废边角料</w:t>
                  </w:r>
                </w:p>
              </w:tc>
              <w:tc>
                <w:tcPr>
                  <w:tcW w:w="690"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一般固废</w:t>
                  </w:r>
                </w:p>
              </w:tc>
              <w:tc>
                <w:tcPr>
                  <w:tcW w:w="776"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300-001-08</w:t>
                  </w:r>
                </w:p>
              </w:tc>
              <w:tc>
                <w:tcPr>
                  <w:tcW w:w="981"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下料工序</w:t>
                  </w:r>
                </w:p>
              </w:tc>
              <w:tc>
                <w:tcPr>
                  <w:tcW w:w="54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0.1</w:t>
                  </w:r>
                </w:p>
              </w:tc>
              <w:tc>
                <w:tcPr>
                  <w:tcW w:w="89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3</w:t>
                  </w:r>
                </w:p>
              </w:tc>
              <w:tc>
                <w:tcPr>
                  <w:tcW w:w="696"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不合格品</w:t>
                  </w:r>
                </w:p>
              </w:tc>
              <w:tc>
                <w:tcPr>
                  <w:tcW w:w="690"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一般固废</w:t>
                  </w:r>
                </w:p>
              </w:tc>
              <w:tc>
                <w:tcPr>
                  <w:tcW w:w="776"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300-001-08</w:t>
                  </w:r>
                </w:p>
              </w:tc>
              <w:tc>
                <w:tcPr>
                  <w:tcW w:w="981"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检验工序</w:t>
                  </w:r>
                </w:p>
              </w:tc>
              <w:tc>
                <w:tcPr>
                  <w:tcW w:w="54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0.25</w:t>
                  </w:r>
                </w:p>
              </w:tc>
              <w:tc>
                <w:tcPr>
                  <w:tcW w:w="89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4</w:t>
                  </w:r>
                </w:p>
              </w:tc>
              <w:tc>
                <w:tcPr>
                  <w:tcW w:w="696" w:type="pct"/>
                  <w:tcBorders>
                    <w:bottom w:val="single" w:color="auto" w:sz="4" w:space="0"/>
                  </w:tcBorders>
                  <w:noWrap w:val="0"/>
                  <w:vAlign w:val="center"/>
                </w:tcPr>
                <w:p>
                  <w:pPr>
                    <w:keepNext w:val="0"/>
                    <w:keepLines w:val="0"/>
                    <w:pageBreakBefore w:val="0"/>
                    <w:kinsoku/>
                    <w:wordWrap/>
                    <w:overflowPunct/>
                    <w:topLinePunct w:val="0"/>
                    <w:autoSpaceDE w:val="0"/>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eastAsiaTheme="minorEastAsia"/>
                      <w:color w:val="auto"/>
                      <w:sz w:val="18"/>
                      <w:szCs w:val="18"/>
                      <w:highlight w:val="none"/>
                      <w:lang w:eastAsia="zh-CN"/>
                    </w:rPr>
                    <w:t>废石英砂、反渗透膜</w:t>
                  </w:r>
                </w:p>
              </w:tc>
              <w:tc>
                <w:tcPr>
                  <w:tcW w:w="690" w:type="pct"/>
                  <w:tcBorders>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adjustRightInd/>
                    <w:snapToGrid/>
                    <w:spacing w:line="32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一般固废</w:t>
                  </w:r>
                </w:p>
              </w:tc>
              <w:tc>
                <w:tcPr>
                  <w:tcW w:w="776" w:type="pct"/>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adjustRightInd/>
                    <w:snapToGrid/>
                    <w:spacing w:line="32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900-999-99</w:t>
                  </w:r>
                </w:p>
              </w:tc>
              <w:tc>
                <w:tcPr>
                  <w:tcW w:w="981" w:type="pct"/>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adjustRightInd/>
                    <w:snapToGrid/>
                    <w:spacing w:line="32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制纯水设备</w:t>
                  </w:r>
                </w:p>
              </w:tc>
              <w:tc>
                <w:tcPr>
                  <w:tcW w:w="54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0.045</w:t>
                  </w:r>
                </w:p>
              </w:tc>
              <w:tc>
                <w:tcPr>
                  <w:tcW w:w="89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5</w:t>
                  </w:r>
                </w:p>
              </w:tc>
              <w:tc>
                <w:tcPr>
                  <w:tcW w:w="696" w:type="pct"/>
                  <w:tcBorders>
                    <w:bottom w:val="single" w:color="auto" w:sz="4" w:space="0"/>
                  </w:tcBorders>
                  <w:noWrap w:val="0"/>
                  <w:vAlign w:val="center"/>
                </w:tcPr>
                <w:p>
                  <w:pPr>
                    <w:keepNext w:val="0"/>
                    <w:keepLines w:val="0"/>
                    <w:pageBreakBefore w:val="0"/>
                    <w:kinsoku/>
                    <w:wordWrap/>
                    <w:overflowPunct/>
                    <w:topLinePunct w:val="0"/>
                    <w:autoSpaceDE w:val="0"/>
                    <w:autoSpaceDN/>
                    <w:bidi w:val="0"/>
                    <w:adjustRightInd/>
                    <w:snapToGrid/>
                    <w:spacing w:line="320" w:lineRule="exact"/>
                    <w:jc w:val="center"/>
                    <w:textAlignment w:val="auto"/>
                    <w:rPr>
                      <w:rFonts w:hint="default" w:ascii="Times New Roman" w:hAnsi="Times New Roman" w:cs="Times New Roman" w:eastAsiaTheme="minorEastAsia"/>
                      <w:color w:val="auto"/>
                      <w:sz w:val="18"/>
                      <w:szCs w:val="18"/>
                      <w:highlight w:val="none"/>
                      <w:lang w:eastAsia="zh-CN"/>
                    </w:rPr>
                  </w:pPr>
                  <w:r>
                    <w:rPr>
                      <w:rFonts w:hint="eastAsia" w:cs="Times New Roman" w:eastAsiaTheme="minorEastAsia"/>
                      <w:color w:val="auto"/>
                      <w:sz w:val="18"/>
                      <w:szCs w:val="18"/>
                      <w:highlight w:val="none"/>
                      <w:lang w:eastAsia="zh-CN"/>
                    </w:rPr>
                    <w:t>废金刚砂</w:t>
                  </w:r>
                </w:p>
              </w:tc>
              <w:tc>
                <w:tcPr>
                  <w:tcW w:w="690" w:type="pct"/>
                  <w:tcBorders>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adjustRightInd/>
                    <w:snapToGrid/>
                    <w:spacing w:line="320" w:lineRule="exact"/>
                    <w:jc w:val="center"/>
                    <w:textAlignment w:val="auto"/>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一般固废</w:t>
                  </w:r>
                </w:p>
              </w:tc>
              <w:tc>
                <w:tcPr>
                  <w:tcW w:w="776" w:type="pct"/>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900-999-99</w:t>
                  </w:r>
                </w:p>
              </w:tc>
              <w:tc>
                <w:tcPr>
                  <w:tcW w:w="981" w:type="pct"/>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bidi w:val="0"/>
                    <w:adjustRightInd/>
                    <w:snapToGrid/>
                    <w:spacing w:line="320" w:lineRule="exact"/>
                    <w:jc w:val="center"/>
                    <w:textAlignment w:val="auto"/>
                    <w:rPr>
                      <w:rFonts w:hint="default" w:ascii="Times New Roman" w:hAnsi="Times New Roman"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精磨、粗磨工序</w:t>
                  </w:r>
                </w:p>
              </w:tc>
              <w:tc>
                <w:tcPr>
                  <w:tcW w:w="54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eastAsia" w:cs="Times New Roman" w:eastAsiaTheme="minorEastAsia"/>
                      <w:b w:val="0"/>
                      <w:bCs w:val="0"/>
                      <w:color w:val="auto"/>
                      <w:sz w:val="18"/>
                      <w:szCs w:val="18"/>
                      <w:highlight w:val="none"/>
                      <w:u w:val="none"/>
                      <w:lang w:val="en-US" w:eastAsia="zh-CN"/>
                    </w:rPr>
                    <w:t>0.06</w:t>
                  </w:r>
                </w:p>
              </w:tc>
              <w:tc>
                <w:tcPr>
                  <w:tcW w:w="896" w:type="pct"/>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6</w:t>
                  </w:r>
                </w:p>
              </w:tc>
              <w:tc>
                <w:tcPr>
                  <w:tcW w:w="696"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废无尘布</w:t>
                  </w:r>
                </w:p>
              </w:tc>
              <w:tc>
                <w:tcPr>
                  <w:tcW w:w="690"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一般固废</w:t>
                  </w:r>
                </w:p>
              </w:tc>
              <w:tc>
                <w:tcPr>
                  <w:tcW w:w="776"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eastAsiaTheme="minorEastAsia"/>
                      <w:b w:val="0"/>
                      <w:bCs w:val="0"/>
                      <w:color w:val="auto"/>
                      <w:sz w:val="18"/>
                      <w:szCs w:val="18"/>
                      <w:highlight w:val="none"/>
                      <w:u w:val="none"/>
                      <w:lang w:val="en-US" w:eastAsia="zh-CN"/>
                    </w:rPr>
                    <w:t>900-999-99</w:t>
                  </w:r>
                </w:p>
              </w:tc>
              <w:tc>
                <w:tcPr>
                  <w:tcW w:w="981"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玻璃擦拭</w:t>
                  </w:r>
                </w:p>
              </w:tc>
              <w:tc>
                <w:tcPr>
                  <w:tcW w:w="54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0.022</w:t>
                  </w:r>
                </w:p>
              </w:tc>
              <w:tc>
                <w:tcPr>
                  <w:tcW w:w="896"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eastAsia="zh-CN"/>
                    </w:rPr>
                    <w:t>集中收集后，</w:t>
                  </w:r>
                  <w:r>
                    <w:rPr>
                      <w:rFonts w:hint="default" w:ascii="Times New Roman" w:hAnsi="Times New Roman" w:cs="Times New Roman"/>
                      <w:color w:val="auto"/>
                      <w:sz w:val="18"/>
                      <w:szCs w:val="18"/>
                      <w:highlight w:val="none"/>
                    </w:rPr>
                    <w:t>交由环卫部门</w:t>
                  </w:r>
                  <w:r>
                    <w:rPr>
                      <w:rFonts w:hint="default" w:ascii="Times New Roman" w:hAnsi="Times New Roman" w:cs="Times New Roman"/>
                      <w:color w:val="auto"/>
                      <w:sz w:val="18"/>
                      <w:szCs w:val="18"/>
                      <w:highlight w:val="none"/>
                      <w:lang w:eastAsia="zh-CN"/>
                    </w:rPr>
                    <w:t>处理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7</w:t>
                  </w:r>
                </w:p>
              </w:tc>
              <w:tc>
                <w:tcPr>
                  <w:tcW w:w="696" w:type="pct"/>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lang w:val="en-US" w:eastAsia="zh-CN" w:bidi="ar-SA"/>
                    </w:rPr>
                    <w:t>沉渣</w:t>
                  </w:r>
                </w:p>
              </w:tc>
              <w:tc>
                <w:tcPr>
                  <w:tcW w:w="690" w:type="pct"/>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一般固废</w:t>
                  </w:r>
                </w:p>
              </w:tc>
              <w:tc>
                <w:tcPr>
                  <w:tcW w:w="776"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900-999-61</w:t>
                  </w:r>
                </w:p>
              </w:tc>
              <w:tc>
                <w:tcPr>
                  <w:tcW w:w="981"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沉淀池清理</w:t>
                  </w:r>
                </w:p>
              </w:tc>
              <w:tc>
                <w:tcPr>
                  <w:tcW w:w="54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0.005</w:t>
                  </w:r>
                </w:p>
              </w:tc>
              <w:tc>
                <w:tcPr>
                  <w:tcW w:w="896"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val="en-US" w:eastAsia="zh-CN" w:bidi="ar-SA"/>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kern w:val="2"/>
                      <w:sz w:val="18"/>
                      <w:szCs w:val="18"/>
                      <w:highlight w:val="none"/>
                      <w:u w:val="none"/>
                      <w:lang w:val="en-US" w:eastAsia="zh-CN" w:bidi="ar-SA"/>
                    </w:rPr>
                    <w:t>8</w:t>
                  </w:r>
                </w:p>
              </w:tc>
              <w:tc>
                <w:tcPr>
                  <w:tcW w:w="696"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生活垃圾</w:t>
                  </w:r>
                </w:p>
              </w:tc>
              <w:tc>
                <w:tcPr>
                  <w:tcW w:w="690"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w:t>
                  </w:r>
                </w:p>
              </w:tc>
              <w:tc>
                <w:tcPr>
                  <w:tcW w:w="776" w:type="pc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w:t>
                  </w:r>
                </w:p>
              </w:tc>
              <w:tc>
                <w:tcPr>
                  <w:tcW w:w="981" w:type="pc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日常办公</w:t>
                  </w:r>
                </w:p>
              </w:tc>
              <w:tc>
                <w:tcPr>
                  <w:tcW w:w="54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2.85</w:t>
                  </w:r>
                </w:p>
              </w:tc>
              <w:tc>
                <w:tcPr>
                  <w:tcW w:w="896" w:type="pct"/>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eastAsia" w:cs="Times New Roman" w:eastAsiaTheme="minorEastAsia"/>
                      <w:b w:val="0"/>
                      <w:bCs w:val="0"/>
                      <w:color w:val="auto"/>
                      <w:kern w:val="2"/>
                      <w:sz w:val="18"/>
                      <w:szCs w:val="18"/>
                      <w:highlight w:val="none"/>
                      <w:u w:val="none"/>
                      <w:lang w:val="en-US" w:eastAsia="zh-CN" w:bidi="ar-SA"/>
                    </w:rPr>
                    <w:t>9</w:t>
                  </w:r>
                </w:p>
              </w:tc>
              <w:tc>
                <w:tcPr>
                  <w:tcW w:w="696"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18"/>
                      <w:szCs w:val="18"/>
                      <w:highlight w:val="none"/>
                      <w:lang w:val="en-US" w:eastAsia="zh-CN" w:bidi="ar-SA"/>
                    </w:rPr>
                  </w:pPr>
                  <w:r>
                    <w:rPr>
                      <w:rFonts w:hint="default" w:ascii="Times New Roman" w:hAnsi="Times New Roman" w:cs="Times New Roman"/>
                      <w:color w:val="auto"/>
                      <w:sz w:val="18"/>
                      <w:szCs w:val="18"/>
                      <w:highlight w:val="none"/>
                      <w:lang w:val="en-US" w:eastAsia="zh-CN" w:bidi="ar-SA"/>
                    </w:rPr>
                    <w:t>废润滑油</w:t>
                  </w:r>
                </w:p>
              </w:tc>
              <w:tc>
                <w:tcPr>
                  <w:tcW w:w="690"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kern w:val="2"/>
                      <w:sz w:val="18"/>
                      <w:szCs w:val="18"/>
                      <w:highlight w:val="none"/>
                      <w:lang w:val="en-US" w:eastAsia="zh-CN" w:bidi="ar-SA"/>
                    </w:rPr>
                    <w:t>危险固废</w:t>
                  </w:r>
                </w:p>
              </w:tc>
              <w:tc>
                <w:tcPr>
                  <w:tcW w:w="776" w:type="pc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HW08</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-900-21</w:t>
                  </w:r>
                  <w:r>
                    <w:rPr>
                      <w:rFonts w:hint="default" w:ascii="Times New Roman" w:hAnsi="Times New Roman" w:cs="Times New Roman"/>
                      <w:color w:val="auto"/>
                      <w:kern w:val="2"/>
                      <w:sz w:val="18"/>
                      <w:szCs w:val="18"/>
                      <w:highlight w:val="none"/>
                      <w:lang w:val="en-US" w:eastAsia="zh-CN" w:bidi="ar-SA"/>
                    </w:rPr>
                    <w:t>7</w:t>
                  </w:r>
                  <w:r>
                    <w:rPr>
                      <w:rFonts w:hint="default" w:ascii="Times New Roman" w:hAnsi="Times New Roman" w:eastAsia="宋体" w:cs="Times New Roman"/>
                      <w:color w:val="auto"/>
                      <w:kern w:val="2"/>
                      <w:sz w:val="18"/>
                      <w:szCs w:val="18"/>
                      <w:highlight w:val="none"/>
                      <w:lang w:val="en-US" w:eastAsia="zh-CN" w:bidi="ar-SA"/>
                    </w:rPr>
                    <w:t>-08</w:t>
                  </w:r>
                </w:p>
              </w:tc>
              <w:tc>
                <w:tcPr>
                  <w:tcW w:w="981" w:type="pc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设备维护</w:t>
                  </w:r>
                </w:p>
              </w:tc>
              <w:tc>
                <w:tcPr>
                  <w:tcW w:w="54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18"/>
                      <w:szCs w:val="18"/>
                      <w:highlight w:val="none"/>
                      <w:u w:val="none"/>
                      <w:lang w:val="en-US" w:eastAsia="zh-CN"/>
                    </w:rPr>
                  </w:pPr>
                  <w:r>
                    <w:rPr>
                      <w:rFonts w:hint="default" w:ascii="Times New Roman" w:hAnsi="Times New Roman" w:cs="Times New Roman" w:eastAsiaTheme="minorEastAsia"/>
                      <w:b w:val="0"/>
                      <w:bCs w:val="0"/>
                      <w:color w:val="auto"/>
                      <w:sz w:val="18"/>
                      <w:szCs w:val="18"/>
                      <w:highlight w:val="none"/>
                      <w:u w:val="none"/>
                      <w:lang w:val="en-US" w:eastAsia="zh-CN"/>
                    </w:rPr>
                    <w:t>0.05</w:t>
                  </w:r>
                </w:p>
              </w:tc>
              <w:tc>
                <w:tcPr>
                  <w:tcW w:w="896" w:type="pct"/>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容器收集后，委托有资质危废单位处置</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（2）固废环境管理要求</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kern w:val="0"/>
                <w:szCs w:val="21"/>
                <w:highlight w:val="none"/>
                <w:lang w:eastAsia="zh-CN"/>
              </w:rPr>
            </w:pPr>
            <w:r>
              <w:rPr>
                <w:rFonts w:hint="default" w:ascii="Times New Roman" w:hAnsi="Times New Roman" w:cs="Times New Roman"/>
                <w:b/>
                <w:bCs/>
                <w:color w:val="auto"/>
                <w:kern w:val="0"/>
                <w:szCs w:val="21"/>
                <w:highlight w:val="none"/>
              </w:rPr>
              <w:fldChar w:fldCharType="begin"/>
            </w:r>
            <w:r>
              <w:rPr>
                <w:rFonts w:hint="default" w:ascii="Times New Roman" w:hAnsi="Times New Roman" w:cs="Times New Roman"/>
                <w:b/>
                <w:bCs/>
                <w:color w:val="auto"/>
                <w:kern w:val="0"/>
                <w:szCs w:val="21"/>
                <w:highlight w:val="none"/>
              </w:rPr>
              <w:instrText xml:space="preserve">=1\*GB3\*MERGEFORMAT</w:instrText>
            </w:r>
            <w:r>
              <w:rPr>
                <w:rFonts w:hint="default" w:ascii="Times New Roman" w:hAnsi="Times New Roman" w:cs="Times New Roman"/>
                <w:b/>
                <w:bCs/>
                <w:color w:val="auto"/>
                <w:kern w:val="0"/>
                <w:szCs w:val="21"/>
                <w:highlight w:val="none"/>
              </w:rPr>
              <w:fldChar w:fldCharType="separate"/>
            </w:r>
            <w:r>
              <w:rPr>
                <w:rFonts w:hint="default" w:ascii="Times New Roman" w:hAnsi="Times New Roman" w:cs="Times New Roman"/>
                <w:b/>
                <w:bCs/>
                <w:color w:val="auto"/>
                <w:highlight w:val="none"/>
              </w:rPr>
              <w:t>①</w:t>
            </w:r>
            <w:r>
              <w:rPr>
                <w:rFonts w:hint="default" w:ascii="Times New Roman" w:hAnsi="Times New Roman" w:cs="Times New Roman"/>
                <w:b/>
                <w:bCs/>
                <w:color w:val="auto"/>
                <w:kern w:val="0"/>
                <w:szCs w:val="21"/>
                <w:highlight w:val="none"/>
              </w:rPr>
              <w:fldChar w:fldCharType="end"/>
            </w:r>
            <w:r>
              <w:rPr>
                <w:rFonts w:hint="default" w:ascii="Times New Roman" w:hAnsi="Times New Roman" w:cs="Times New Roman"/>
                <w:b/>
                <w:bCs/>
                <w:color w:val="auto"/>
                <w:kern w:val="0"/>
                <w:szCs w:val="21"/>
                <w:highlight w:val="none"/>
                <w:lang w:eastAsia="zh-CN"/>
              </w:rPr>
              <w:t>一般固废管</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lang w:eastAsia="zh-CN"/>
              </w:rPr>
              <w:t>项目厂区内现有</w:t>
            </w:r>
            <w:r>
              <w:rPr>
                <w:rFonts w:hint="default" w:ascii="Times New Roman" w:hAnsi="Times New Roman" w:cs="Times New Roman"/>
                <w:bCs/>
                <w:color w:val="auto"/>
                <w:kern w:val="0"/>
                <w:szCs w:val="21"/>
                <w:highlight w:val="none"/>
                <w:lang w:val="en-US" w:eastAsia="zh-CN"/>
              </w:rPr>
              <w:t>1处30</w:t>
            </w:r>
            <w:r>
              <w:rPr>
                <w:rFonts w:hint="default" w:ascii="Times New Roman" w:hAnsi="Times New Roman" w:cs="Times New Roman"/>
                <w:bCs/>
                <w:color w:val="auto"/>
                <w:kern w:val="0"/>
                <w:szCs w:val="21"/>
                <w:highlight w:val="none"/>
              </w:rPr>
              <w:t>m</w:t>
            </w:r>
            <w:r>
              <w:rPr>
                <w:rFonts w:hint="default" w:ascii="Times New Roman" w:hAnsi="Times New Roman" w:cs="Times New Roman"/>
                <w:bCs/>
                <w:color w:val="auto"/>
                <w:kern w:val="0"/>
                <w:szCs w:val="21"/>
                <w:highlight w:val="none"/>
                <w:vertAlign w:val="superscript"/>
              </w:rPr>
              <w:t>2</w:t>
            </w:r>
            <w:r>
              <w:rPr>
                <w:rFonts w:hint="default" w:ascii="Times New Roman" w:hAnsi="Times New Roman" w:cs="Times New Roman"/>
                <w:bCs/>
                <w:color w:val="auto"/>
                <w:kern w:val="0"/>
                <w:szCs w:val="21"/>
                <w:highlight w:val="none"/>
              </w:rPr>
              <w:t>一般固废暂存</w:t>
            </w:r>
            <w:r>
              <w:rPr>
                <w:rFonts w:hint="default" w:ascii="Times New Roman" w:hAnsi="Times New Roman" w:cs="Times New Roman"/>
                <w:bCs/>
                <w:color w:val="auto"/>
                <w:kern w:val="0"/>
                <w:szCs w:val="21"/>
                <w:highlight w:val="none"/>
                <w:lang w:eastAsia="zh-CN"/>
              </w:rPr>
              <w:t>间</w:t>
            </w:r>
            <w:r>
              <w:rPr>
                <w:rFonts w:hint="default" w:ascii="Times New Roman" w:hAnsi="Times New Roman" w:cs="Times New Roman"/>
                <w:bCs/>
                <w:color w:val="auto"/>
                <w:kern w:val="0"/>
                <w:szCs w:val="21"/>
                <w:highlight w:val="none"/>
              </w:rPr>
              <w:t>用于产生的一般固体废物暂存，本项目一般固废贮存采用库房，不适用《一般工业固体废物贮存和填埋污染控制标准》（GB18599-2020），其贮存过程应满足相应防渗漏、防雨淋、防扬尘等环境保护要求</w:t>
            </w:r>
            <w:r>
              <w:rPr>
                <w:rFonts w:hint="default" w:ascii="Times New Roman" w:hAnsi="Times New Roman" w:cs="Times New Roman"/>
                <w:bCs/>
                <w:color w:val="auto"/>
                <w:kern w:val="0"/>
                <w:szCs w:val="21"/>
                <w:highlight w:val="none"/>
                <w:lang w:eastAsia="zh-CN"/>
              </w:rPr>
              <w:t>，同时企业经</w:t>
            </w:r>
            <w:r>
              <w:rPr>
                <w:rFonts w:hint="default" w:ascii="Times New Roman" w:hAnsi="Times New Roman" w:cs="Times New Roman"/>
                <w:bCs/>
                <w:color w:val="auto"/>
                <w:kern w:val="0"/>
                <w:szCs w:val="21"/>
                <w:highlight w:val="none"/>
              </w:rPr>
              <w:t>按照以下要求对一般固废暂存间进行整改：</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a、建立检查维护制度，定期检查，保证正常运行；</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b、建立管理台账，长期保存，供随时查阅；</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c、危险废物及生活垃圾禁止混入；</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d、暂存场所可以满足</w:t>
            </w:r>
            <w:r>
              <w:rPr>
                <w:rFonts w:hint="default" w:ascii="Times New Roman" w:hAnsi="Times New Roman" w:cs="Times New Roman"/>
                <w:b w:val="0"/>
                <w:bCs/>
                <w:color w:val="auto"/>
                <w:kern w:val="0"/>
                <w:szCs w:val="21"/>
                <w:highlight w:val="none"/>
                <w:u w:val="none"/>
                <w:lang w:eastAsia="zh-CN"/>
              </w:rPr>
              <w:t>防渗漏、防雨淋、防扬尘</w:t>
            </w:r>
            <w:r>
              <w:rPr>
                <w:rFonts w:hint="default" w:ascii="Times New Roman" w:hAnsi="Times New Roman" w:cs="Times New Roman"/>
                <w:bCs/>
                <w:color w:val="auto"/>
                <w:kern w:val="0"/>
                <w:szCs w:val="21"/>
                <w:highlight w:val="none"/>
              </w:rPr>
              <w:t>等。</w:t>
            </w:r>
          </w:p>
          <w:p>
            <w:pPr>
              <w:keepNext w:val="0"/>
              <w:keepLines w:val="0"/>
              <w:pageBreakBefore w:val="0"/>
              <w:widowControl w:val="0"/>
              <w:kinsoku/>
              <w:wordWrap/>
              <w:overflowPunct/>
              <w:topLinePunct w:val="0"/>
              <w:bidi w:val="0"/>
              <w:adjustRightInd/>
              <w:snapToGrid/>
              <w:spacing w:line="360" w:lineRule="auto"/>
              <w:ind w:firstLine="420" w:firstLineChars="200"/>
              <w:jc w:val="both"/>
              <w:textAlignment w:val="auto"/>
              <w:rPr>
                <w:rFonts w:hint="default" w:ascii="Times New Roman" w:hAnsi="Times New Roman" w:cs="Times New Roman"/>
                <w:b w:val="0"/>
                <w:bCs w:val="0"/>
                <w:color w:val="auto"/>
                <w:kern w:val="0"/>
                <w:szCs w:val="21"/>
                <w:highlight w:val="none"/>
                <w:lang w:eastAsia="zh-CN"/>
              </w:rPr>
            </w:pPr>
            <w:r>
              <w:rPr>
                <w:rFonts w:hint="default" w:ascii="Times New Roman" w:hAnsi="Times New Roman" w:cs="Times New Roman"/>
                <w:b w:val="0"/>
                <w:bCs w:val="0"/>
                <w:color w:val="auto"/>
                <w:kern w:val="0"/>
                <w:szCs w:val="21"/>
                <w:highlight w:val="none"/>
                <w:lang w:eastAsia="zh-CN"/>
              </w:rPr>
              <w:t>现有工程固废主要为</w:t>
            </w:r>
            <w:r>
              <w:rPr>
                <w:rFonts w:hint="default" w:ascii="Times New Roman" w:hAnsi="Times New Roman" w:cs="Times New Roman"/>
                <w:b w:val="0"/>
                <w:bCs w:val="0"/>
                <w:color w:val="auto"/>
                <w:sz w:val="21"/>
                <w:szCs w:val="21"/>
                <w:highlight w:val="none"/>
                <w:lang w:eastAsia="zh-CN"/>
              </w:rPr>
              <w:t>主要为划片切割过程产生的废边料、沉淀池和混凝沉淀池清理出的残渣、原辅材料包装和员工日常办公生活垃圾</w:t>
            </w:r>
            <w:r>
              <w:rPr>
                <w:rFonts w:hint="default" w:ascii="Times New Roman" w:hAnsi="Times New Roman" w:cs="Times New Roman"/>
                <w:b w:val="0"/>
                <w:bCs w:val="0"/>
                <w:color w:val="auto"/>
                <w:kern w:val="0"/>
                <w:szCs w:val="21"/>
                <w:highlight w:val="none"/>
                <w:lang w:eastAsia="zh-CN"/>
              </w:rPr>
              <w:t>，产生量</w:t>
            </w:r>
            <w:r>
              <w:rPr>
                <w:rFonts w:hint="default" w:ascii="Times New Roman" w:hAnsi="Times New Roman" w:cs="Times New Roman"/>
                <w:b w:val="0"/>
                <w:bCs w:val="0"/>
                <w:color w:val="auto"/>
                <w:kern w:val="0"/>
                <w:szCs w:val="21"/>
                <w:highlight w:val="none"/>
                <w:lang w:val="en-US" w:eastAsia="zh-CN"/>
              </w:rPr>
              <w:t>3.4105</w:t>
            </w:r>
            <w:r>
              <w:rPr>
                <w:rFonts w:hint="default" w:ascii="Times New Roman" w:hAnsi="Times New Roman" w:cs="Times New Roman"/>
                <w:b w:val="0"/>
                <w:bCs w:val="0"/>
                <w:color w:val="auto"/>
                <w:kern w:val="0"/>
                <w:szCs w:val="21"/>
                <w:highlight w:val="none"/>
                <w:lang w:eastAsia="zh-CN"/>
              </w:rPr>
              <w:t>t/a，现有工程设置1座</w:t>
            </w:r>
            <w:r>
              <w:rPr>
                <w:rFonts w:hint="default" w:ascii="Times New Roman" w:hAnsi="Times New Roman" w:cs="Times New Roman"/>
                <w:b w:val="0"/>
                <w:bCs w:val="0"/>
                <w:color w:val="auto"/>
                <w:kern w:val="0"/>
                <w:szCs w:val="21"/>
                <w:highlight w:val="none"/>
                <w:lang w:val="en-US" w:eastAsia="zh-CN"/>
              </w:rPr>
              <w:t>30</w:t>
            </w:r>
            <w:r>
              <w:rPr>
                <w:rFonts w:hint="default" w:ascii="Times New Roman" w:hAnsi="Times New Roman" w:cs="Times New Roman"/>
                <w:b w:val="0"/>
                <w:bCs w:val="0"/>
                <w:color w:val="auto"/>
                <w:kern w:val="0"/>
                <w:szCs w:val="21"/>
                <w:highlight w:val="none"/>
                <w:lang w:eastAsia="zh-CN"/>
              </w:rPr>
              <w:t>m</w:t>
            </w:r>
            <w:r>
              <w:rPr>
                <w:rFonts w:hint="default" w:ascii="Times New Roman" w:hAnsi="Times New Roman" w:cs="Times New Roman"/>
                <w:b w:val="0"/>
                <w:bCs w:val="0"/>
                <w:color w:val="auto"/>
                <w:kern w:val="0"/>
                <w:szCs w:val="21"/>
                <w:highlight w:val="none"/>
                <w:vertAlign w:val="superscript"/>
                <w:lang w:eastAsia="zh-CN"/>
              </w:rPr>
              <w:t>2</w:t>
            </w:r>
            <w:r>
              <w:rPr>
                <w:rFonts w:hint="default" w:ascii="Times New Roman" w:hAnsi="Times New Roman" w:cs="Times New Roman"/>
                <w:b w:val="0"/>
                <w:bCs w:val="0"/>
                <w:color w:val="auto"/>
                <w:kern w:val="0"/>
                <w:szCs w:val="21"/>
                <w:highlight w:val="none"/>
                <w:lang w:eastAsia="zh-CN"/>
              </w:rPr>
              <w:t>一般固废暂存间，本项目新增一般固废约</w:t>
            </w:r>
            <w:r>
              <w:rPr>
                <w:rFonts w:hint="default" w:ascii="Times New Roman" w:hAnsi="Times New Roman" w:cs="Times New Roman"/>
                <w:b w:val="0"/>
                <w:bCs w:val="0"/>
                <w:color w:val="auto"/>
                <w:kern w:val="0"/>
                <w:szCs w:val="21"/>
                <w:highlight w:val="none"/>
                <w:lang w:val="en-US" w:eastAsia="zh-CN"/>
              </w:rPr>
              <w:t>3.946</w:t>
            </w:r>
            <w:r>
              <w:rPr>
                <w:rFonts w:hint="default" w:ascii="Times New Roman" w:hAnsi="Times New Roman" w:cs="Times New Roman"/>
                <w:b w:val="0"/>
                <w:bCs w:val="0"/>
                <w:color w:val="auto"/>
                <w:kern w:val="0"/>
                <w:szCs w:val="21"/>
                <w:highlight w:val="none"/>
                <w:lang w:eastAsia="zh-CN"/>
              </w:rPr>
              <w:t>t/a，与现有工程废物性质相同，可依托现有工程一般固废暂存间收集暂存。评价要求建设单位应对一般固废暂存间分区分类存放，定期处理一般固废，防止堆存过多，在此基础上，本项目依托现有工程一般固废暂存间是可行的。</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kern w:val="0"/>
                <w:szCs w:val="21"/>
                <w:highlight w:val="none"/>
                <w:lang w:eastAsia="zh-CN"/>
              </w:rPr>
            </w:pPr>
            <w:r>
              <w:rPr>
                <w:rFonts w:hint="default" w:ascii="Times New Roman" w:hAnsi="Times New Roman" w:cs="Times New Roman"/>
                <w:b/>
                <w:bCs/>
                <w:color w:val="auto"/>
                <w:kern w:val="0"/>
                <w:szCs w:val="21"/>
                <w:highlight w:val="none"/>
              </w:rPr>
              <w:t>②</w:t>
            </w:r>
            <w:r>
              <w:rPr>
                <w:rFonts w:hint="default" w:ascii="Times New Roman" w:hAnsi="Times New Roman" w:cs="Times New Roman"/>
                <w:b/>
                <w:color w:val="auto"/>
                <w:highlight w:val="none"/>
              </w:rPr>
              <w:t>危险废物</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color w:val="auto"/>
              </w:rPr>
            </w:pPr>
            <w:r>
              <w:rPr>
                <w:rFonts w:hint="default" w:ascii="Times New Roman" w:hAnsi="Times New Roman" w:cs="Times New Roman"/>
                <w:color w:val="auto"/>
                <w:sz w:val="21"/>
                <w:szCs w:val="21"/>
                <w:highlight w:val="none"/>
                <w:lang w:eastAsia="zh-CN"/>
              </w:rPr>
              <w:t>企业拟在</w:t>
            </w:r>
            <w:r>
              <w:rPr>
                <w:rFonts w:hint="default" w:ascii="Times New Roman" w:hAnsi="Times New Roman" w:cs="Times New Roman"/>
                <w:color w:val="auto"/>
                <w:sz w:val="21"/>
                <w:szCs w:val="21"/>
                <w:highlight w:val="none"/>
                <w:lang w:val="en-US" w:eastAsia="zh-CN"/>
              </w:rPr>
              <w:t>3#综合车间西侧</w:t>
            </w:r>
            <w:r>
              <w:rPr>
                <w:rFonts w:hint="default" w:ascii="Times New Roman" w:hAnsi="Times New Roman" w:cs="Times New Roman"/>
                <w:color w:val="auto"/>
                <w:sz w:val="21"/>
                <w:szCs w:val="21"/>
                <w:highlight w:val="none"/>
                <w:lang w:eastAsia="zh-CN"/>
              </w:rPr>
              <w:t>设置</w:t>
            </w:r>
            <w:r>
              <w:rPr>
                <w:rFonts w:hint="default" w:ascii="Times New Roman" w:hAnsi="Times New Roman" w:cs="Times New Roman"/>
                <w:color w:val="auto"/>
                <w:sz w:val="21"/>
                <w:szCs w:val="21"/>
                <w:highlight w:val="none"/>
                <w:lang w:val="en-US" w:eastAsia="zh-CN"/>
              </w:rPr>
              <w:t>1间10m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危险固废暂存间</w:t>
            </w:r>
            <w:r>
              <w:rPr>
                <w:rFonts w:hint="default" w:ascii="Times New Roman" w:hAnsi="Times New Roman" w:cs="Times New Roman"/>
                <w:color w:val="auto"/>
                <w:sz w:val="21"/>
                <w:szCs w:val="21"/>
                <w:highlight w:val="none"/>
                <w:lang w:eastAsia="zh-CN"/>
              </w:rPr>
              <w:t>，危险固废储存及管理要求</w:t>
            </w:r>
            <w:r>
              <w:rPr>
                <w:rFonts w:hint="default" w:ascii="Times New Roman" w:hAnsi="Times New Roman" w:cs="Times New Roman"/>
                <w:color w:val="auto"/>
                <w:sz w:val="21"/>
                <w:szCs w:val="21"/>
                <w:highlight w:val="none"/>
              </w:rPr>
              <w:t>依据《危险废物贮存污染控制标准》（GB18597-2001</w:t>
            </w:r>
            <w:r>
              <w:rPr>
                <w:rFonts w:hint="default" w:ascii="Times New Roman" w:hAnsi="Times New Roman" w:eastAsia="宋体" w:cs="Times New Roman"/>
                <w:color w:val="auto"/>
                <w:sz w:val="21"/>
                <w:szCs w:val="21"/>
                <w:highlight w:val="none"/>
              </w:rPr>
              <w:t>）及其</w:t>
            </w:r>
            <w:r>
              <w:rPr>
                <w:rFonts w:hint="default" w:ascii="Times New Roman" w:hAnsi="Times New Roman" w:cs="Times New Roman"/>
                <w:color w:val="auto"/>
                <w:sz w:val="21"/>
                <w:szCs w:val="21"/>
                <w:highlight w:val="none"/>
              </w:rPr>
              <w:t>2013</w:t>
            </w:r>
            <w:r>
              <w:rPr>
                <w:rFonts w:hint="default" w:ascii="Times New Roman" w:hAnsi="Times New Roman" w:eastAsia="宋体" w:cs="Times New Roman"/>
                <w:color w:val="auto"/>
                <w:sz w:val="21"/>
                <w:szCs w:val="21"/>
                <w:highlight w:val="none"/>
              </w:rPr>
              <w:t>年修改单、《建设项目危险废物环境影响评价指南》相关内容</w:t>
            </w:r>
            <w:r>
              <w:rPr>
                <w:rFonts w:hint="default" w:ascii="Times New Roman" w:hAnsi="Times New Roman" w:cs="Times New Roman"/>
                <w:color w:val="auto"/>
                <w:sz w:val="21"/>
                <w:szCs w:val="21"/>
                <w:highlight w:val="none"/>
                <w:lang w:eastAsia="zh-CN"/>
              </w:rPr>
              <w:t>执行</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bCs/>
                <w:color w:val="auto"/>
                <w:kern w:val="0"/>
                <w:szCs w:val="21"/>
                <w:highlight w:val="none"/>
              </w:rPr>
              <w:t>本项目危险废物产生及储存如下表所示。</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危险废物产生及处置情况汇总表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99"/>
              <w:gridCol w:w="523"/>
              <w:gridCol w:w="600"/>
              <w:gridCol w:w="929"/>
              <w:gridCol w:w="749"/>
              <w:gridCol w:w="687"/>
              <w:gridCol w:w="541"/>
              <w:gridCol w:w="541"/>
              <w:gridCol w:w="541"/>
              <w:gridCol w:w="541"/>
              <w:gridCol w:w="541"/>
              <w:gridCol w:w="109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 w:type="pct"/>
                  <w:tcBorders>
                    <w:top w:val="single" w:color="auto" w:sz="8"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344"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危险废物名称</w:t>
                  </w:r>
                </w:p>
              </w:tc>
              <w:tc>
                <w:tcPr>
                  <w:tcW w:w="395"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危险废物类别</w:t>
                  </w:r>
                </w:p>
              </w:tc>
              <w:tc>
                <w:tcPr>
                  <w:tcW w:w="611"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危险废物代码</w:t>
                  </w:r>
                </w:p>
              </w:tc>
              <w:tc>
                <w:tcPr>
                  <w:tcW w:w="493"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产生量（吨/年）</w:t>
                  </w:r>
                </w:p>
              </w:tc>
              <w:tc>
                <w:tcPr>
                  <w:tcW w:w="452"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产生工序及装置</w:t>
                  </w:r>
                </w:p>
              </w:tc>
              <w:tc>
                <w:tcPr>
                  <w:tcW w:w="356"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形态</w:t>
                  </w:r>
                </w:p>
              </w:tc>
              <w:tc>
                <w:tcPr>
                  <w:tcW w:w="356"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主要</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成分</w:t>
                  </w:r>
                </w:p>
              </w:tc>
              <w:tc>
                <w:tcPr>
                  <w:tcW w:w="356"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有害成分</w:t>
                  </w:r>
                </w:p>
              </w:tc>
              <w:tc>
                <w:tcPr>
                  <w:tcW w:w="356"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产废周期</w:t>
                  </w:r>
                </w:p>
              </w:tc>
              <w:tc>
                <w:tcPr>
                  <w:tcW w:w="356" w:type="pct"/>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特性</w:t>
                  </w:r>
                </w:p>
              </w:tc>
              <w:tc>
                <w:tcPr>
                  <w:tcW w:w="720" w:type="pct"/>
                  <w:tcBorders>
                    <w:top w:val="single" w:color="auto" w:sz="8"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7" w:type="pc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344"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18"/>
                      <w:szCs w:val="18"/>
                      <w:highlight w:val="none"/>
                      <w:u w:val="none"/>
                      <w:lang w:val="en-US" w:eastAsia="zh-CN" w:bidi="ar-SA"/>
                    </w:rPr>
                  </w:pPr>
                  <w:r>
                    <w:rPr>
                      <w:rFonts w:hint="default" w:ascii="Times New Roman" w:hAnsi="Times New Roman" w:cs="Times New Roman" w:eastAsiaTheme="minorEastAsia"/>
                      <w:b w:val="0"/>
                      <w:bCs w:val="0"/>
                      <w:color w:val="auto"/>
                      <w:sz w:val="18"/>
                      <w:szCs w:val="18"/>
                      <w:highlight w:val="none"/>
                      <w:u w:val="none"/>
                      <w:lang w:eastAsia="zh-CN"/>
                    </w:rPr>
                    <w:t>废润滑油</w:t>
                  </w:r>
                </w:p>
              </w:tc>
              <w:tc>
                <w:tcPr>
                  <w:tcW w:w="395"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HW08</w:t>
                  </w:r>
                </w:p>
              </w:tc>
              <w:tc>
                <w:tcPr>
                  <w:tcW w:w="611"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kern w:val="2"/>
                      <w:sz w:val="18"/>
                      <w:szCs w:val="18"/>
                      <w:highlight w:val="none"/>
                      <w:lang w:val="en-US" w:eastAsia="zh-CN" w:bidi="ar-SA"/>
                    </w:rPr>
                    <w:t>900-21</w:t>
                  </w:r>
                  <w:r>
                    <w:rPr>
                      <w:rFonts w:hint="default" w:ascii="Times New Roman" w:hAnsi="Times New Roman" w:cs="Times New Roman"/>
                      <w:color w:val="auto"/>
                      <w:kern w:val="2"/>
                      <w:sz w:val="18"/>
                      <w:szCs w:val="18"/>
                      <w:highlight w:val="none"/>
                      <w:lang w:val="en-US" w:eastAsia="zh-CN" w:bidi="ar-SA"/>
                    </w:rPr>
                    <w:t>7</w:t>
                  </w:r>
                  <w:r>
                    <w:rPr>
                      <w:rFonts w:hint="default" w:ascii="Times New Roman" w:hAnsi="Times New Roman" w:eastAsia="宋体" w:cs="Times New Roman"/>
                      <w:color w:val="auto"/>
                      <w:kern w:val="2"/>
                      <w:sz w:val="18"/>
                      <w:szCs w:val="18"/>
                      <w:highlight w:val="none"/>
                      <w:lang w:val="en-US" w:eastAsia="zh-CN" w:bidi="ar-SA"/>
                    </w:rPr>
                    <w:t>-08</w:t>
                  </w:r>
                </w:p>
              </w:tc>
              <w:tc>
                <w:tcPr>
                  <w:tcW w:w="49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w:t>
                  </w:r>
                </w:p>
              </w:tc>
              <w:tc>
                <w:tcPr>
                  <w:tcW w:w="452"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设备维</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护过程</w:t>
                  </w:r>
                </w:p>
              </w:tc>
              <w:tc>
                <w:tcPr>
                  <w:tcW w:w="356"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液态</w:t>
                  </w:r>
                </w:p>
              </w:tc>
              <w:tc>
                <w:tcPr>
                  <w:tcW w:w="356"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废润</w:t>
                  </w:r>
                </w:p>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滑油</w:t>
                  </w:r>
                </w:p>
              </w:tc>
              <w:tc>
                <w:tcPr>
                  <w:tcW w:w="356"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废润滑油</w:t>
                  </w:r>
                </w:p>
              </w:tc>
              <w:tc>
                <w:tcPr>
                  <w:tcW w:w="356"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6个月</w:t>
                  </w:r>
                </w:p>
              </w:tc>
              <w:tc>
                <w:tcPr>
                  <w:tcW w:w="3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T</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I</w:t>
                  </w:r>
                </w:p>
              </w:tc>
              <w:tc>
                <w:tcPr>
                  <w:tcW w:w="720" w:type="pct"/>
                  <w:tcBorders>
                    <w:top w:val="single" w:color="auto" w:sz="4" w:space="0"/>
                    <w:left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收集后暂存于危险废物暂存间，委托有处理资质的单位定期安全处置</w:t>
                  </w:r>
                </w:p>
              </w:tc>
            </w:tr>
          </w:tbl>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color w:val="auto"/>
                <w:sz w:val="18"/>
                <w:szCs w:val="18"/>
                <w:highlight w:val="none"/>
                <w:lang w:val="en-US" w:eastAsia="zh-CN"/>
              </w:rPr>
            </w:pPr>
            <w:r>
              <w:rPr>
                <w:rFonts w:hint="default" w:ascii="Times New Roman" w:hAnsi="Times New Roman" w:eastAsia="黑体" w:cs="Times New Roman"/>
                <w:color w:val="auto"/>
                <w:sz w:val="18"/>
                <w:szCs w:val="18"/>
                <w:highlight w:val="none"/>
                <w:lang w:val="en-US" w:eastAsia="zh-CN"/>
              </w:rPr>
              <w:t>危险废物贮存场所基本情况表</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68"/>
              <w:gridCol w:w="733"/>
              <w:gridCol w:w="896"/>
              <w:gridCol w:w="896"/>
              <w:gridCol w:w="1156"/>
              <w:gridCol w:w="799"/>
              <w:gridCol w:w="500"/>
              <w:gridCol w:w="960"/>
              <w:gridCol w:w="538"/>
              <w:gridCol w:w="5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483"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贮存场所名称</w:t>
                  </w:r>
                </w:p>
              </w:tc>
              <w:tc>
                <w:tcPr>
                  <w:tcW w:w="5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59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类别</w:t>
                  </w:r>
                </w:p>
              </w:tc>
              <w:tc>
                <w:tcPr>
                  <w:tcW w:w="761"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危险废物代码</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位置</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占地</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面积</w:t>
                  </w:r>
                </w:p>
              </w:tc>
              <w:tc>
                <w:tcPr>
                  <w:tcW w:w="63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方式</w:t>
                  </w:r>
                </w:p>
              </w:tc>
              <w:tc>
                <w:tcPr>
                  <w:tcW w:w="354"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能力</w:t>
                  </w:r>
                </w:p>
              </w:tc>
              <w:tc>
                <w:tcPr>
                  <w:tcW w:w="35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周期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48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危险废物暂存间</w:t>
                  </w:r>
                </w:p>
              </w:tc>
              <w:tc>
                <w:tcPr>
                  <w:tcW w:w="59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eastAsiaTheme="minorEastAsia"/>
                      <w:b w:val="0"/>
                      <w:bCs w:val="0"/>
                      <w:color w:val="auto"/>
                      <w:sz w:val="18"/>
                      <w:szCs w:val="18"/>
                      <w:highlight w:val="none"/>
                      <w:u w:val="none"/>
                      <w:lang w:eastAsia="zh-CN"/>
                    </w:rPr>
                    <w:t>废润滑油</w:t>
                  </w:r>
                </w:p>
              </w:tc>
              <w:tc>
                <w:tcPr>
                  <w:tcW w:w="59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HW08</w:t>
                  </w:r>
                </w:p>
              </w:tc>
              <w:tc>
                <w:tcPr>
                  <w:tcW w:w="76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kern w:val="2"/>
                      <w:sz w:val="18"/>
                      <w:szCs w:val="18"/>
                      <w:highlight w:val="none"/>
                      <w:lang w:val="en-US" w:eastAsia="zh-CN" w:bidi="ar-SA"/>
                    </w:rPr>
                    <w:t>900-21</w:t>
                  </w:r>
                  <w:r>
                    <w:rPr>
                      <w:rFonts w:hint="default" w:ascii="Times New Roman" w:hAnsi="Times New Roman" w:cs="Times New Roman"/>
                      <w:color w:val="auto"/>
                      <w:kern w:val="2"/>
                      <w:sz w:val="18"/>
                      <w:szCs w:val="18"/>
                      <w:highlight w:val="none"/>
                      <w:lang w:val="en-US" w:eastAsia="zh-CN" w:bidi="ar-SA"/>
                    </w:rPr>
                    <w:t>7</w:t>
                  </w:r>
                  <w:r>
                    <w:rPr>
                      <w:rFonts w:hint="default" w:ascii="Times New Roman" w:hAnsi="Times New Roman" w:eastAsia="宋体" w:cs="Times New Roman"/>
                      <w:color w:val="auto"/>
                      <w:kern w:val="2"/>
                      <w:sz w:val="18"/>
                      <w:szCs w:val="18"/>
                      <w:highlight w:val="none"/>
                      <w:lang w:val="en-US" w:eastAsia="zh-CN" w:bidi="ar-SA"/>
                    </w:rPr>
                    <w:t>-08</w:t>
                  </w:r>
                </w:p>
              </w:tc>
              <w:tc>
                <w:tcPr>
                  <w:tcW w:w="526"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3#综合车间西侧</w:t>
                  </w:r>
                </w:p>
              </w:tc>
              <w:tc>
                <w:tcPr>
                  <w:tcW w:w="329" w:type="pc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10m</w:t>
                  </w:r>
                  <w:r>
                    <w:rPr>
                      <w:rFonts w:hint="default" w:ascii="Times New Roman" w:hAnsi="Times New Roman" w:cs="Times New Roman"/>
                      <w:color w:val="auto"/>
                      <w:sz w:val="18"/>
                      <w:szCs w:val="18"/>
                      <w:highlight w:val="none"/>
                      <w:vertAlign w:val="superscript"/>
                      <w:lang w:val="en-US" w:eastAsia="zh-CN"/>
                    </w:rPr>
                    <w:t>2</w:t>
                  </w:r>
                </w:p>
              </w:tc>
              <w:tc>
                <w:tcPr>
                  <w:tcW w:w="632" w:type="pc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由密闭容器收集，存放</w:t>
                  </w:r>
                </w:p>
              </w:tc>
              <w:tc>
                <w:tcPr>
                  <w:tcW w:w="354" w:type="pct"/>
                  <w:noWrap w:val="0"/>
                  <w:vAlign w:val="center"/>
                </w:tcPr>
                <w:p>
                  <w:pPr>
                    <w:keepNext w:val="0"/>
                    <w:keepLines w:val="0"/>
                    <w:pageBreakBefore w:val="0"/>
                    <w:kinsoku/>
                    <w:wordWrap/>
                    <w:overflowPunct/>
                    <w:topLinePunct w:val="0"/>
                    <w:autoSpaceDE/>
                    <w:autoSpaceDN/>
                    <w:bidi w:val="0"/>
                    <w:adjustRightInd/>
                    <w:snapToGrid/>
                    <w:spacing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5t</w:t>
                  </w:r>
                </w:p>
              </w:tc>
              <w:tc>
                <w:tcPr>
                  <w:tcW w:w="355" w:type="pct"/>
                  <w:noWrap w:val="0"/>
                  <w:vAlign w:val="center"/>
                </w:tcPr>
                <w:p>
                  <w:pPr>
                    <w:keepNext w:val="0"/>
                    <w:keepLines w:val="0"/>
                    <w:pageBreakBefore w:val="0"/>
                    <w:kinsoku/>
                    <w:wordWrap/>
                    <w:overflowPunct/>
                    <w:topLinePunct w:val="0"/>
                    <w:autoSpaceDE/>
                    <w:autoSpaceDN/>
                    <w:bidi w:val="0"/>
                    <w:adjustRightInd/>
                    <w:snapToGrid/>
                    <w:spacing w:line="320" w:lineRule="exact"/>
                    <w:ind w:left="90" w:leftChars="0" w:right="0" w:rightChars="0" w:hanging="90" w:hangingChars="54"/>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pacing w:val="-6"/>
                      <w:sz w:val="18"/>
                      <w:szCs w:val="18"/>
                      <w:highlight w:val="none"/>
                    </w:rPr>
                    <w:t>1年</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本次评价对项目危废管理提出如下要求：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危险废物储存容器储存要求：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w:t>
            </w:r>
            <w:r>
              <w:rPr>
                <w:rFonts w:hint="default" w:ascii="Times New Roman" w:hAnsi="Times New Roman" w:eastAsia="宋体" w:cs="Times New Roman"/>
                <w:color w:val="auto"/>
                <w:sz w:val="21"/>
                <w:szCs w:val="21"/>
                <w:highlight w:val="none"/>
              </w:rPr>
              <w:t>、必须将危险废物装入容器内</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应当使用符合标准的容器盛装危险废物；</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w:t>
            </w:r>
            <w:r>
              <w:rPr>
                <w:rFonts w:hint="default" w:ascii="Times New Roman" w:hAnsi="Times New Roman" w:eastAsia="宋体" w:cs="Times New Roman"/>
                <w:color w:val="auto"/>
                <w:sz w:val="21"/>
                <w:szCs w:val="21"/>
                <w:highlight w:val="none"/>
              </w:rPr>
              <w:t>、禁止将不相容（相互反应）的危险废物在同一容器内混装；</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eastAsia="宋体" w:cs="Times New Roman"/>
                <w:color w:val="auto"/>
                <w:sz w:val="21"/>
                <w:szCs w:val="21"/>
                <w:highlight w:val="none"/>
              </w:rPr>
              <w:t>、盛装危险废物的容器上必须粘贴符合《危险废物贮存污染控制标准》（</w:t>
            </w:r>
            <w:r>
              <w:rPr>
                <w:rFonts w:hint="default" w:ascii="Times New Roman" w:hAnsi="Times New Roman" w:cs="Times New Roman"/>
                <w:color w:val="auto"/>
                <w:sz w:val="21"/>
                <w:szCs w:val="21"/>
                <w:highlight w:val="none"/>
              </w:rPr>
              <w:t>GB18597-2001</w:t>
            </w:r>
            <w:r>
              <w:rPr>
                <w:rFonts w:hint="default" w:ascii="Times New Roman" w:hAnsi="Times New Roman" w:eastAsia="宋体" w:cs="Times New Roman"/>
                <w:color w:val="auto"/>
                <w:sz w:val="21"/>
                <w:szCs w:val="21"/>
                <w:highlight w:val="none"/>
              </w:rPr>
              <w:t>）附录</w:t>
            </w:r>
            <w:r>
              <w:rPr>
                <w:rFonts w:hint="default" w:ascii="Times New Roman" w:hAnsi="Times New Roman" w:cs="Times New Roman"/>
                <w:color w:val="auto"/>
                <w:sz w:val="21"/>
                <w:szCs w:val="21"/>
                <w:highlight w:val="none"/>
              </w:rPr>
              <w:t>A</w:t>
            </w:r>
            <w:r>
              <w:rPr>
                <w:rFonts w:hint="default" w:ascii="Times New Roman" w:hAnsi="Times New Roman" w:eastAsia="宋体" w:cs="Times New Roman"/>
                <w:color w:val="auto"/>
                <w:sz w:val="21"/>
                <w:szCs w:val="21"/>
                <w:highlight w:val="none"/>
              </w:rPr>
              <w:t>所示的标签；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w:t>
            </w:r>
            <w:r>
              <w:rPr>
                <w:rFonts w:hint="default" w:ascii="Times New Roman" w:hAnsi="Times New Roman" w:eastAsia="宋体" w:cs="Times New Roman"/>
                <w:color w:val="auto"/>
                <w:sz w:val="21"/>
                <w:szCs w:val="21"/>
                <w:highlight w:val="none"/>
              </w:rPr>
              <w:t>、装载危险废物的容器及材质要满足相应的强度要求；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w:t>
            </w:r>
            <w:r>
              <w:rPr>
                <w:rFonts w:hint="default" w:ascii="Times New Roman" w:hAnsi="Times New Roman" w:eastAsia="宋体" w:cs="Times New Roman"/>
                <w:color w:val="auto"/>
                <w:sz w:val="21"/>
                <w:szCs w:val="21"/>
                <w:highlight w:val="none"/>
              </w:rPr>
              <w:t>、装载危险废物的容器必须完好无损；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f</w:t>
            </w:r>
            <w:r>
              <w:rPr>
                <w:rFonts w:hint="default" w:ascii="Times New Roman" w:hAnsi="Times New Roman" w:eastAsia="宋体" w:cs="Times New Roman"/>
                <w:color w:val="auto"/>
                <w:sz w:val="21"/>
                <w:szCs w:val="21"/>
                <w:highlight w:val="none"/>
              </w:rPr>
              <w:t>、盛装危险废物的容器材质和衬里要与危险废物相容（不相互反应）</w:t>
            </w:r>
            <w:r>
              <w:rPr>
                <w:rFonts w:hint="eastAsia" w:ascii="Times New Roman" w:hAnsi="Times New Roman"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危险废物暂存间储存要求：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危废间设置应</w:t>
            </w:r>
            <w:r>
              <w:rPr>
                <w:rFonts w:hint="default" w:ascii="Times New Roman" w:hAnsi="Times New Roman" w:cs="Times New Roman"/>
                <w:color w:val="auto"/>
                <w:sz w:val="21"/>
                <w:szCs w:val="21"/>
                <w:highlight w:val="none"/>
              </w:rPr>
              <w:t>做好防雨、防渗、防腐措施，且危废间基础周围设置围堰和地沟，以防止其中某些危险废物中产生的泄漏液、溢流等意外污染事故，同时地沟容积不低于堵截最大容器的最大储量或总储量的五分之一，使危废暂存库中产生的泄露液排入地沟（地沟作防渗处理），经地沟收集后送有资质的单位进行处理。并且严格按照危险废物暂存储运相关要求进行。危险废物暂存储运相关要求如下：</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按《危险废物贮存污染控制标准》（</w:t>
            </w:r>
            <w:r>
              <w:rPr>
                <w:rFonts w:hint="default" w:ascii="Times New Roman" w:hAnsi="Times New Roman" w:cs="Times New Roman"/>
                <w:color w:val="auto"/>
                <w:sz w:val="21"/>
                <w:szCs w:val="21"/>
                <w:highlight w:val="none"/>
              </w:rPr>
              <w:t>GB18597-2001</w:t>
            </w:r>
            <w:r>
              <w:rPr>
                <w:rFonts w:hint="default" w:ascii="Times New Roman" w:hAnsi="Times New Roman" w:eastAsia="宋体" w:cs="Times New Roman"/>
                <w:color w:val="auto"/>
                <w:sz w:val="21"/>
                <w:szCs w:val="21"/>
                <w:highlight w:val="none"/>
              </w:rPr>
              <w:t>）及</w:t>
            </w:r>
            <w:r>
              <w:rPr>
                <w:rFonts w:hint="default" w:ascii="Times New Roman" w:hAnsi="Times New Roman" w:cs="Times New Roman"/>
                <w:color w:val="auto"/>
                <w:sz w:val="21"/>
                <w:szCs w:val="21"/>
                <w:highlight w:val="none"/>
                <w:lang w:val="en-US" w:eastAsia="zh-CN"/>
              </w:rPr>
              <w:t>2013年</w:t>
            </w:r>
            <w:r>
              <w:rPr>
                <w:rFonts w:hint="default" w:ascii="Times New Roman" w:hAnsi="Times New Roman" w:eastAsia="宋体" w:cs="Times New Roman"/>
                <w:color w:val="auto"/>
                <w:sz w:val="21"/>
                <w:szCs w:val="21"/>
                <w:highlight w:val="none"/>
              </w:rPr>
              <w:t>修改单要求建造专用的危险废物贮存设施（暂存间）；</w:t>
            </w:r>
          </w:p>
          <w:p>
            <w:pPr>
              <w:pStyle w:val="21"/>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left="0" w:leftChars="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按《环境保护图形标识一固体废物贮存（处置）场》（GB15562.2）要求设置环境保护图形标志；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c</w:t>
            </w:r>
            <w:r>
              <w:rPr>
                <w:rFonts w:hint="default" w:ascii="Times New Roman" w:hAnsi="Times New Roman" w:eastAsia="宋体" w:cs="Times New Roman"/>
                <w:color w:val="auto"/>
                <w:sz w:val="21"/>
                <w:szCs w:val="21"/>
                <w:highlight w:val="none"/>
              </w:rPr>
              <w:t>、储存间应采取防风、防雨、防晒、防渗等</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sz w:val="21"/>
                <w:szCs w:val="21"/>
                <w:highlight w:val="none"/>
              </w:rPr>
              <w:t>四防</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sz w:val="21"/>
                <w:szCs w:val="21"/>
                <w:highlight w:val="none"/>
              </w:rPr>
              <w:t>措施</w:t>
            </w:r>
            <w:r>
              <w:rPr>
                <w:rFonts w:hint="default" w:ascii="Times New Roman" w:hAnsi="Times New Roman" w:cs="Times New Roman"/>
                <w:color w:val="auto"/>
                <w:sz w:val="21"/>
                <w:szCs w:val="21"/>
                <w:highlight w:val="none"/>
                <w:lang w:eastAsia="zh-CN"/>
              </w:rPr>
              <w:t>，确保雨水无法进入，渗漏液也无法外溢进入环境，地面与裙脚要用坚固、防渗的材料建造，防渗层为至少lm厚粘土层（渗透系数≤10</w:t>
            </w:r>
            <w:r>
              <w:rPr>
                <w:rFonts w:hint="default" w:ascii="Times New Roman" w:hAnsi="Times New Roman" w:cs="Times New Roman"/>
                <w:color w:val="auto"/>
                <w:sz w:val="21"/>
                <w:szCs w:val="21"/>
                <w:highlight w:val="none"/>
                <w:vertAlign w:val="superscript"/>
                <w:lang w:eastAsia="zh-CN"/>
              </w:rPr>
              <w:t>-7</w:t>
            </w:r>
            <w:r>
              <w:rPr>
                <w:rFonts w:hint="default" w:ascii="Times New Roman" w:hAnsi="Times New Roman" w:cs="Times New Roman"/>
                <w:color w:val="auto"/>
                <w:sz w:val="21"/>
                <w:szCs w:val="21"/>
                <w:highlight w:val="none"/>
                <w:lang w:eastAsia="zh-CN"/>
              </w:rPr>
              <w:t>cm/s），或2mm厚高密度聚乙烯，或至少2mm厚的其它人工材料，渗透系数≤10</w:t>
            </w:r>
            <w:r>
              <w:rPr>
                <w:rFonts w:hint="default" w:ascii="Times New Roman" w:hAnsi="Times New Roman" w:cs="Times New Roman"/>
                <w:color w:val="auto"/>
                <w:sz w:val="21"/>
                <w:szCs w:val="21"/>
                <w:highlight w:val="none"/>
                <w:vertAlign w:val="superscript"/>
                <w:lang w:eastAsia="zh-CN"/>
              </w:rPr>
              <w:t>-10</w:t>
            </w:r>
            <w:r>
              <w:rPr>
                <w:rFonts w:hint="default" w:ascii="Times New Roman" w:hAnsi="Times New Roman" w:cs="Times New Roman"/>
                <w:color w:val="auto"/>
                <w:sz w:val="21"/>
                <w:szCs w:val="21"/>
                <w:highlight w:val="none"/>
                <w:lang w:eastAsia="zh-CN"/>
              </w:rPr>
              <w:t>cm/s，堆放危险废物的高度应根据地面承载能力确定</w:t>
            </w:r>
            <w:r>
              <w:rPr>
                <w:rFonts w:hint="default" w:ascii="Times New Roman" w:hAnsi="Times New Roman" w:eastAsia="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d</w:t>
            </w:r>
            <w:r>
              <w:rPr>
                <w:rFonts w:hint="default" w:ascii="Times New Roman" w:hAnsi="Times New Roman" w:eastAsia="宋体" w:cs="Times New Roman"/>
                <w:color w:val="auto"/>
                <w:sz w:val="21"/>
                <w:szCs w:val="21"/>
                <w:highlight w:val="none"/>
              </w:rPr>
              <w:t>、建立危废管理制度及台账，严格管理。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危废管理要求：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危险废物暂存间及危险废物管理应严格按照《危险废物贮存污染控制标准》（GB18597-2001）及其修改单</w:t>
            </w:r>
            <w:r>
              <w:rPr>
                <w:rFonts w:hint="default" w:ascii="Times New Roman" w:hAnsi="Times New Roman" w:cs="Times New Roman"/>
                <w:color w:val="auto"/>
                <w:kern w:val="0"/>
                <w:sz w:val="21"/>
                <w:szCs w:val="21"/>
                <w:highlight w:val="none"/>
                <w:lang w:eastAsia="zh-CN"/>
              </w:rPr>
              <w:t>、《危险废物转移管理办法》（部令第</w:t>
            </w:r>
            <w:r>
              <w:rPr>
                <w:rFonts w:hint="default" w:ascii="Times New Roman" w:hAnsi="Times New Roman" w:cs="Times New Roman"/>
                <w:color w:val="auto"/>
                <w:kern w:val="0"/>
                <w:sz w:val="21"/>
                <w:szCs w:val="21"/>
                <w:highlight w:val="none"/>
                <w:lang w:val="en-US" w:eastAsia="zh-CN"/>
              </w:rPr>
              <w:t>23号</w:t>
            </w:r>
            <w:r>
              <w:rPr>
                <w:rFonts w:hint="default" w:ascii="Times New Roman" w:hAnsi="Times New Roman" w:cs="Times New Roman"/>
                <w:color w:val="auto"/>
                <w:kern w:val="0"/>
                <w:sz w:val="21"/>
                <w:szCs w:val="21"/>
                <w:highlight w:val="none"/>
                <w:lang w:eastAsia="zh-CN"/>
              </w:rPr>
              <w:t>）和</w:t>
            </w:r>
            <w:r>
              <w:rPr>
                <w:rFonts w:hint="default" w:ascii="Times New Roman" w:hAnsi="Times New Roman" w:cs="Times New Roman"/>
                <w:color w:val="auto"/>
                <w:kern w:val="0"/>
                <w:sz w:val="21"/>
                <w:szCs w:val="21"/>
                <w:highlight w:val="none"/>
              </w:rPr>
              <w:t>《河南省环境保护厅关于印发河南省危险废物规范化管理工作指南（试行）的通知》（豫环文</w:t>
            </w:r>
            <w:r>
              <w:rPr>
                <w:rFonts w:hint="default" w:ascii="Times New Roman" w:hAnsi="Times New Roman" w:eastAsia="微软雅黑" w:cs="Times New Roman"/>
                <w:color w:val="auto"/>
                <w:kern w:val="0"/>
                <w:sz w:val="21"/>
                <w:szCs w:val="21"/>
                <w:highlight w:val="none"/>
              </w:rPr>
              <w:t>〔</w:t>
            </w:r>
            <w:r>
              <w:rPr>
                <w:rFonts w:hint="default" w:ascii="Times New Roman" w:hAnsi="Times New Roman" w:cs="Times New Roman"/>
                <w:color w:val="auto"/>
                <w:kern w:val="0"/>
                <w:sz w:val="21"/>
                <w:szCs w:val="21"/>
                <w:highlight w:val="none"/>
              </w:rPr>
              <w:t>2012</w:t>
            </w:r>
            <w:r>
              <w:rPr>
                <w:rFonts w:hint="default" w:ascii="Times New Roman" w:hAnsi="Times New Roman" w:eastAsia="微软雅黑" w:cs="Times New Roman"/>
                <w:color w:val="auto"/>
                <w:kern w:val="0"/>
                <w:sz w:val="21"/>
                <w:szCs w:val="21"/>
                <w:highlight w:val="none"/>
              </w:rPr>
              <w:t>〕</w:t>
            </w:r>
            <w:r>
              <w:rPr>
                <w:rFonts w:hint="default" w:ascii="Times New Roman" w:hAnsi="Times New Roman" w:cs="Times New Roman"/>
                <w:color w:val="auto"/>
                <w:kern w:val="0"/>
                <w:sz w:val="21"/>
                <w:szCs w:val="21"/>
                <w:highlight w:val="none"/>
              </w:rPr>
              <w:t>18号）要求设置，具体贮存、运输及管理措施如下：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a、</w:t>
            </w:r>
            <w:r>
              <w:rPr>
                <w:rFonts w:hint="default" w:ascii="Times New Roman" w:hAnsi="Times New Roman" w:eastAsia="宋体" w:cs="Times New Roman"/>
                <w:color w:val="auto"/>
                <w:kern w:val="0"/>
                <w:sz w:val="21"/>
                <w:szCs w:val="21"/>
                <w:highlight w:val="none"/>
              </w:rPr>
              <w:t>详细记录危险废物的种类、产生量、流向、贮存、处置等有关资料，制定危险废物管理计划，并报公司质量安全环保部门审批。管理计划应当包括减少危险废物产生量和危害性的措施，以及危险废物贮存、利用、处置措施。公司质量安全环保部门负责编制公司危险废物管理计划，危险废物管理计划每年编制一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b、</w:t>
            </w:r>
            <w:r>
              <w:rPr>
                <w:rFonts w:hint="default" w:ascii="Times New Roman" w:hAnsi="Times New Roman" w:eastAsia="宋体" w:cs="Times New Roman"/>
                <w:color w:val="auto"/>
                <w:kern w:val="0"/>
                <w:sz w:val="21"/>
                <w:szCs w:val="21"/>
                <w:highlight w:val="none"/>
              </w:rPr>
              <w:t>危险废物的容器和包装物以及收集、贮存、运输、处置危险废物的设施、场所，必须设置危险废物识别标志，危废临时储存室地面与墙面需涂刷防渗漆，墙面涂刷高度不低于0.5m，表层无裂痕，保证渗透系数≤10</w:t>
            </w:r>
            <w:r>
              <w:rPr>
                <w:rFonts w:hint="default" w:ascii="Times New Roman" w:hAnsi="Times New Roman" w:eastAsia="宋体" w:cs="Times New Roman"/>
                <w:color w:val="auto"/>
                <w:kern w:val="0"/>
                <w:sz w:val="21"/>
                <w:szCs w:val="21"/>
                <w:highlight w:val="none"/>
                <w:vertAlign w:val="superscript"/>
              </w:rPr>
              <w:t>-10</w:t>
            </w:r>
            <w:r>
              <w:rPr>
                <w:rFonts w:hint="default" w:ascii="Times New Roman" w:hAnsi="Times New Roman" w:eastAsia="宋体" w:cs="Times New Roman"/>
                <w:color w:val="auto"/>
                <w:kern w:val="0"/>
                <w:sz w:val="21"/>
                <w:szCs w:val="21"/>
                <w:highlight w:val="none"/>
              </w:rPr>
              <w:t>cm/s；存放区四周设有围挡，以免危废容器破裂，导致危险废物泄露蔓延污染土壤和地下水。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c、</w:t>
            </w:r>
            <w:r>
              <w:rPr>
                <w:rFonts w:hint="default" w:ascii="Times New Roman" w:hAnsi="Times New Roman" w:eastAsia="宋体" w:cs="Times New Roman"/>
                <w:color w:val="auto"/>
                <w:kern w:val="0"/>
                <w:sz w:val="21"/>
                <w:szCs w:val="21"/>
                <w:highlight w:val="none"/>
              </w:rPr>
              <w:t>收集、贮存危险废物，必须按照危险废物特性分类进行。禁止混合收集、贮存、运输、处置性质不相容而未经安全性处置的危险废物。</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d、</w:t>
            </w:r>
            <w:r>
              <w:rPr>
                <w:rFonts w:hint="default" w:ascii="Times New Roman" w:hAnsi="Times New Roman" w:eastAsia="宋体" w:cs="Times New Roman"/>
                <w:color w:val="auto"/>
                <w:kern w:val="0"/>
                <w:sz w:val="21"/>
                <w:szCs w:val="21"/>
                <w:highlight w:val="none"/>
              </w:rPr>
              <w:t>禁止将危险废物混入一般固体废物中贮存。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e、</w:t>
            </w:r>
            <w:r>
              <w:rPr>
                <w:rFonts w:hint="default" w:ascii="Times New Roman" w:hAnsi="Times New Roman" w:eastAsia="宋体" w:cs="Times New Roman"/>
                <w:color w:val="auto"/>
                <w:kern w:val="0"/>
                <w:sz w:val="21"/>
                <w:szCs w:val="21"/>
                <w:highlight w:val="none"/>
              </w:rPr>
              <w:t>贮存危险废物必须采取符合国家环境保护标准的防护措施，并不得超过一年；确需延长期限的，必须提前一个月报公司质量安全环保部批准。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f、</w:t>
            </w:r>
            <w:r>
              <w:rPr>
                <w:rFonts w:hint="default" w:ascii="Times New Roman" w:hAnsi="Times New Roman" w:eastAsia="宋体" w:cs="Times New Roman"/>
                <w:color w:val="auto"/>
                <w:kern w:val="0"/>
                <w:sz w:val="21"/>
                <w:szCs w:val="21"/>
                <w:highlight w:val="none"/>
              </w:rPr>
              <w:t>收集、贮存、运输、处置危险废物的场所、设施、设备和容器、包装物及其他物品转作他用时，必须经过消除污染的处理，方可使用。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g、</w:t>
            </w:r>
            <w:r>
              <w:rPr>
                <w:rFonts w:hint="default" w:ascii="Times New Roman" w:hAnsi="Times New Roman" w:eastAsia="宋体" w:cs="Times New Roman"/>
                <w:color w:val="auto"/>
                <w:kern w:val="0"/>
                <w:sz w:val="21"/>
                <w:szCs w:val="21"/>
                <w:highlight w:val="none"/>
              </w:rPr>
              <w:t>发生或者有证据证明可能发生危险废物严重污染环境、威胁居民生命财产安全时，公司质量安全环保部根据需要可责令停止导致或者可能导致环境污染事故的作业，采取防止或者减轻危害的有效措施。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h、</w:t>
            </w:r>
            <w:r>
              <w:rPr>
                <w:rFonts w:hint="default" w:ascii="Times New Roman" w:hAnsi="Times New Roman" w:eastAsia="宋体" w:cs="Times New Roman"/>
                <w:color w:val="auto"/>
                <w:kern w:val="0"/>
                <w:sz w:val="21"/>
                <w:szCs w:val="21"/>
                <w:highlight w:val="none"/>
              </w:rPr>
              <w:t>转移危险废物的，必须按照国家有关规定填写危险废物转移联单。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i、</w:t>
            </w:r>
            <w:r>
              <w:rPr>
                <w:rFonts w:hint="default" w:ascii="Times New Roman" w:hAnsi="Times New Roman" w:eastAsia="宋体" w:cs="Times New Roman"/>
                <w:color w:val="auto"/>
                <w:kern w:val="0"/>
                <w:sz w:val="21"/>
                <w:szCs w:val="21"/>
                <w:highlight w:val="none"/>
              </w:rPr>
              <w:t>公司办公室专人负责办理危险废物移出和接收地境保护行政审批手续。</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产生的危险废物，应由具有《危险废物经营许可证》并可以处置该类废物的单位进行处理处置，并严格执行危险废物转移联单制度。危险固废应由专业技术人员和车辆运输，按照危险废物转运联单等相关制度要求进行转运和处理，做好记录、存档备案，确保危险固废安全运输和处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综上，项目各类固废能得到合理利用，妥善处置，不擅自向环境排放，符合国家对固体废物减量化、资源化、无害化的要求，不会对周围环境造成影响，因此本项目固废处置方案可行。</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val="en-US" w:eastAsia="zh-CN"/>
              </w:rPr>
              <w:t>4</w:t>
            </w:r>
            <w:r>
              <w:rPr>
                <w:rFonts w:hint="default" w:ascii="Times New Roman" w:hAnsi="Times New Roman" w:cs="Times New Roman"/>
                <w:b/>
                <w:color w:val="auto"/>
                <w:kern w:val="0"/>
                <w:sz w:val="21"/>
                <w:szCs w:val="21"/>
                <w:highlight w:val="none"/>
              </w:rPr>
              <w:t>、地下水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（1）地下水污染源及途径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本项目厂区及车间均全部硬化，正常工况下，本项目运营期内废水污染物没有垂直入渗进入地下水、土壤的途径。项目对地下水的影响主要为</w:t>
            </w:r>
            <w:r>
              <w:rPr>
                <w:rFonts w:hint="default" w:ascii="Times New Roman" w:hAnsi="Times New Roman" w:cs="Times New Roman"/>
                <w:bCs/>
                <w:color w:val="auto"/>
                <w:kern w:val="0"/>
                <w:sz w:val="21"/>
                <w:szCs w:val="21"/>
                <w:highlight w:val="none"/>
                <w:lang w:eastAsia="zh-CN"/>
              </w:rPr>
              <w:t>化粪池、混凝沉淀池等污水处理设施设置的</w:t>
            </w:r>
            <w:r>
              <w:rPr>
                <w:rFonts w:hint="default" w:ascii="Times New Roman" w:hAnsi="Times New Roman" w:cs="Times New Roman"/>
                <w:bCs/>
                <w:color w:val="auto"/>
                <w:kern w:val="0"/>
                <w:sz w:val="21"/>
                <w:szCs w:val="21"/>
                <w:highlight w:val="none"/>
              </w:rPr>
              <w:t>防渗衬层达不到防渗效果，</w:t>
            </w:r>
            <w:r>
              <w:rPr>
                <w:rFonts w:hint="default" w:ascii="Times New Roman" w:hAnsi="Times New Roman" w:cs="Times New Roman"/>
                <w:bCs/>
                <w:color w:val="auto"/>
                <w:kern w:val="0"/>
                <w:sz w:val="21"/>
                <w:szCs w:val="21"/>
                <w:highlight w:val="none"/>
                <w:lang w:eastAsia="zh-CN"/>
              </w:rPr>
              <w:t>污水</w:t>
            </w:r>
            <w:r>
              <w:rPr>
                <w:rFonts w:hint="default" w:ascii="Times New Roman" w:hAnsi="Times New Roman" w:cs="Times New Roman"/>
                <w:bCs/>
                <w:color w:val="auto"/>
                <w:kern w:val="0"/>
                <w:sz w:val="21"/>
                <w:szCs w:val="21"/>
                <w:highlight w:val="none"/>
              </w:rPr>
              <w:t>泄漏时大气降水会使污染物随水通过非饱水带，周期性地渗入含水层，主要污染对象为潜水。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（2）地下水污染防治措施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为切实保护区域地下水环境质量，项目应采取以下措施：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val="0"/>
                <w:color w:val="auto"/>
                <w:kern w:val="0"/>
                <w:sz w:val="21"/>
                <w:szCs w:val="21"/>
                <w:highlight w:val="none"/>
              </w:rPr>
            </w:pPr>
            <w:r>
              <w:rPr>
                <w:rFonts w:hint="default" w:ascii="Times New Roman" w:hAnsi="Times New Roman" w:cs="Times New Roman"/>
                <w:b/>
                <w:bCs w:val="0"/>
                <w:color w:val="auto"/>
                <w:kern w:val="0"/>
                <w:sz w:val="21"/>
                <w:szCs w:val="21"/>
                <w:highlight w:val="none"/>
              </w:rPr>
              <w:t>①源头控制措施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本项目</w:t>
            </w:r>
            <w:r>
              <w:rPr>
                <w:rFonts w:hint="default" w:ascii="Times New Roman" w:hAnsi="Times New Roman" w:cs="Times New Roman"/>
                <w:bCs/>
                <w:color w:val="auto"/>
                <w:kern w:val="0"/>
                <w:sz w:val="21"/>
                <w:szCs w:val="21"/>
                <w:highlight w:val="none"/>
                <w:lang w:eastAsia="zh-CN"/>
              </w:rPr>
              <w:t>应对化粪池、混凝沉淀池等废水设施均</w:t>
            </w:r>
            <w:r>
              <w:rPr>
                <w:rFonts w:hint="default" w:ascii="Times New Roman" w:hAnsi="Times New Roman" w:cs="Times New Roman"/>
                <w:bCs/>
                <w:color w:val="auto"/>
                <w:kern w:val="0"/>
                <w:sz w:val="21"/>
                <w:szCs w:val="21"/>
                <w:highlight w:val="none"/>
              </w:rPr>
              <w:t>采取防渗措施，以防止和降低污染物的泄露，将污染物泄漏的环境风险事故降到最低程度；</w:t>
            </w:r>
            <w:r>
              <w:rPr>
                <w:rFonts w:hint="default" w:ascii="Times New Roman" w:hAnsi="Times New Roman" w:cs="Times New Roman"/>
                <w:bCs/>
                <w:color w:val="auto"/>
                <w:kern w:val="0"/>
                <w:sz w:val="21"/>
                <w:szCs w:val="21"/>
                <w:highlight w:val="none"/>
                <w:lang w:eastAsia="zh-CN"/>
              </w:rPr>
              <w:t>同时企业应规范生产制度，</w:t>
            </w:r>
            <w:r>
              <w:rPr>
                <w:rFonts w:hint="default" w:ascii="Times New Roman" w:hAnsi="Times New Roman" w:cs="Times New Roman"/>
                <w:bCs/>
                <w:color w:val="auto"/>
                <w:kern w:val="0"/>
                <w:sz w:val="21"/>
                <w:szCs w:val="21"/>
                <w:highlight w:val="none"/>
              </w:rPr>
              <w:t>定期检查，防止和降低污染物的泄露现象。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val="0"/>
                <w:color w:val="auto"/>
                <w:kern w:val="0"/>
                <w:sz w:val="21"/>
                <w:szCs w:val="21"/>
                <w:highlight w:val="none"/>
              </w:rPr>
            </w:pPr>
            <w:r>
              <w:rPr>
                <w:rFonts w:hint="default" w:ascii="Times New Roman" w:hAnsi="Times New Roman" w:cs="Times New Roman"/>
                <w:b/>
                <w:bCs w:val="0"/>
                <w:color w:val="auto"/>
                <w:kern w:val="0"/>
                <w:sz w:val="21"/>
                <w:szCs w:val="21"/>
                <w:highlight w:val="none"/>
              </w:rPr>
              <w:t>②地下水污染分区防治措施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为防止生产过程中</w:t>
            </w:r>
            <w:r>
              <w:rPr>
                <w:rFonts w:hint="eastAsia" w:cs="Times New Roman"/>
                <w:bCs/>
                <w:color w:val="auto"/>
                <w:kern w:val="0"/>
                <w:sz w:val="21"/>
                <w:szCs w:val="21"/>
                <w:highlight w:val="none"/>
                <w:lang w:eastAsia="zh-CN"/>
              </w:rPr>
              <w:t>设置的沉淀池、混凝沉淀池</w:t>
            </w:r>
            <w:r>
              <w:rPr>
                <w:rFonts w:hint="default" w:ascii="Times New Roman" w:hAnsi="Times New Roman" w:cs="Times New Roman"/>
                <w:bCs/>
                <w:color w:val="auto"/>
                <w:kern w:val="0"/>
                <w:sz w:val="21"/>
                <w:szCs w:val="21"/>
                <w:highlight w:val="none"/>
                <w:lang w:eastAsia="zh-CN"/>
              </w:rPr>
              <w:t>及配套管线</w:t>
            </w:r>
            <w:r>
              <w:rPr>
                <w:rFonts w:hint="default" w:ascii="Times New Roman" w:hAnsi="Times New Roman" w:cs="Times New Roman"/>
                <w:bCs/>
                <w:color w:val="auto"/>
                <w:kern w:val="0"/>
                <w:sz w:val="21"/>
                <w:szCs w:val="21"/>
                <w:highlight w:val="none"/>
              </w:rPr>
              <w:t>废水泄露对地下水造成影响</w:t>
            </w:r>
            <w:r>
              <w:rPr>
                <w:rFonts w:hint="eastAsia" w:cs="Times New Roman"/>
                <w:bCs/>
                <w:color w:val="auto"/>
                <w:kern w:val="0"/>
                <w:sz w:val="21"/>
                <w:szCs w:val="21"/>
                <w:highlight w:val="none"/>
                <w:lang w:eastAsia="zh-CN"/>
              </w:rPr>
              <w:t>，废水收集与排放设施应采用水泥基渗透结晶型抗渗混凝士（厚度不小于250mm）+水泥基渗透结晶型防渗涂层结构型式（厚度不小于1.0mm）。防渗结构层渗透系数不应大于1.0×10</w:t>
            </w:r>
            <w:r>
              <w:rPr>
                <w:rFonts w:hint="eastAsia" w:cs="Times New Roman"/>
                <w:bCs/>
                <w:color w:val="auto"/>
                <w:kern w:val="0"/>
                <w:sz w:val="21"/>
                <w:szCs w:val="21"/>
                <w:highlight w:val="none"/>
                <w:vertAlign w:val="superscript"/>
                <w:lang w:eastAsia="zh-CN"/>
              </w:rPr>
              <w:t>-10</w:t>
            </w:r>
            <w:r>
              <w:rPr>
                <w:rFonts w:hint="eastAsia" w:cs="Times New Roman"/>
                <w:bCs/>
                <w:color w:val="auto"/>
                <w:kern w:val="0"/>
                <w:sz w:val="21"/>
                <w:szCs w:val="21"/>
                <w:highlight w:val="none"/>
                <w:lang w:eastAsia="zh-CN"/>
              </w:rPr>
              <w:t>cm/s。生产过程中严格执行规章制度，严格执行防渗措施，防止废水沿途泄漏，废水处理系统底部采用水泥防渗，铺设土工防渗膜，确保无废水泄漏。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在落实防渗要求后，并定期进行检查，本项目对地下水不会造成明显的影响。</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5</w:t>
            </w:r>
            <w:r>
              <w:rPr>
                <w:rFonts w:hint="default" w:ascii="Times New Roman" w:hAnsi="Times New Roman" w:cs="Times New Roman"/>
                <w:b/>
                <w:bCs/>
                <w:color w:val="auto"/>
                <w:kern w:val="0"/>
                <w:sz w:val="21"/>
                <w:szCs w:val="21"/>
                <w:highlight w:val="none"/>
              </w:rPr>
              <w:t>、土壤</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（1）土壤污染源及途径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cs="Times New Roman"/>
                <w:bCs/>
                <w:color w:val="auto"/>
                <w:kern w:val="0"/>
                <w:sz w:val="21"/>
                <w:szCs w:val="21"/>
                <w:highlight w:val="none"/>
              </w:rPr>
              <w:t>本项目厂区及生产车间地面全部硬化，</w:t>
            </w:r>
            <w:r>
              <w:rPr>
                <w:rFonts w:hint="default" w:ascii="Times New Roman" w:hAnsi="Times New Roman" w:cs="Times New Roman"/>
                <w:bCs/>
                <w:color w:val="auto"/>
                <w:kern w:val="0"/>
                <w:sz w:val="21"/>
                <w:szCs w:val="21"/>
                <w:highlight w:val="none"/>
                <w:lang w:eastAsia="zh-CN"/>
              </w:rPr>
              <w:t>正常工况下，项目运营期内没有废水经过地面漫流进入土壤的途径。本项目化粪池、沉淀池、混凝沉淀池等设施均按照相关规范进行硬化和防渗，正常工况下没有垂直入渗进入土壤的途径。可能对土壤造成影响的为污水管线及各污染设施发生泄漏，废水造成地面漫流和下渗对土壤的污染。</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0"/>
                <w:sz w:val="21"/>
                <w:szCs w:val="21"/>
                <w:highlight w:val="none"/>
                <w:lang w:eastAsia="zh-CN"/>
              </w:rPr>
              <w:t>项目废水主要为生活污水和生产废水，生活污水经</w:t>
            </w:r>
            <w:r>
              <w:rPr>
                <w:rFonts w:hint="default" w:ascii="Times New Roman" w:hAnsi="Times New Roman" w:cs="Times New Roman"/>
                <w:bCs/>
                <w:color w:val="auto"/>
                <w:kern w:val="0"/>
                <w:sz w:val="21"/>
                <w:szCs w:val="21"/>
                <w:highlight w:val="none"/>
                <w:lang w:val="en-US" w:eastAsia="zh-CN"/>
              </w:rPr>
              <w:t>化粪池</w:t>
            </w:r>
            <w:r>
              <w:rPr>
                <w:rFonts w:hint="default" w:ascii="Times New Roman" w:hAnsi="Times New Roman" w:cs="Times New Roman"/>
                <w:bCs/>
                <w:color w:val="auto"/>
                <w:kern w:val="0"/>
                <w:sz w:val="21"/>
                <w:szCs w:val="21"/>
                <w:highlight w:val="none"/>
                <w:lang w:eastAsia="zh-CN"/>
              </w:rPr>
              <w:t>处理，生产废水依经“沉淀池</w:t>
            </w:r>
            <w:r>
              <w:rPr>
                <w:rFonts w:hint="default" w:ascii="Times New Roman" w:hAnsi="Times New Roman" w:cs="Times New Roman"/>
                <w:bCs/>
                <w:color w:val="auto"/>
                <w:kern w:val="0"/>
                <w:sz w:val="21"/>
                <w:szCs w:val="21"/>
                <w:highlight w:val="none"/>
                <w:lang w:val="en-US" w:eastAsia="zh-CN"/>
              </w:rPr>
              <w:t>+混凝沉淀池</w:t>
            </w:r>
            <w:r>
              <w:rPr>
                <w:rFonts w:hint="default" w:ascii="Times New Roman" w:hAnsi="Times New Roman" w:cs="Times New Roman"/>
                <w:bCs/>
                <w:color w:val="auto"/>
                <w:kern w:val="0"/>
                <w:sz w:val="21"/>
                <w:szCs w:val="21"/>
                <w:highlight w:val="none"/>
                <w:lang w:eastAsia="zh-CN"/>
              </w:rPr>
              <w:t>”处理后，同软水制备浓水一同经厂区总排口排入区域污水管网，各设施均已按照要求进行硬化和防渗处理。</w:t>
            </w:r>
            <w:r>
              <w:rPr>
                <w:rFonts w:hint="default" w:ascii="Times New Roman" w:hAnsi="Times New Roman" w:cs="Times New Roman"/>
                <w:bCs/>
                <w:color w:val="auto"/>
                <w:kern w:val="0"/>
                <w:sz w:val="21"/>
                <w:szCs w:val="21"/>
                <w:highlight w:val="none"/>
              </w:rPr>
              <w:t>厂区内进行了混凝土地面硬化并及时清扫，绿化区域优先选择种植有吸附作用的植物。因此，污染物对周围土壤影响较小。综上分析，本项目基本不会对土壤环境产生明显影响。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（2）土壤污染防治措施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运营期间需重视项目土壤污染预防工作。评价提出了源头控制、过程防控土壤污染预防控制措施，具体如下：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val="0"/>
                <w:color w:val="auto"/>
                <w:kern w:val="0"/>
                <w:sz w:val="21"/>
                <w:szCs w:val="21"/>
                <w:highlight w:val="none"/>
              </w:rPr>
            </w:pPr>
            <w:r>
              <w:rPr>
                <w:rFonts w:hint="default" w:ascii="Times New Roman" w:hAnsi="Times New Roman" w:cs="Times New Roman"/>
                <w:b/>
                <w:bCs w:val="0"/>
                <w:color w:val="auto"/>
                <w:kern w:val="0"/>
                <w:sz w:val="21"/>
                <w:szCs w:val="21"/>
                <w:highlight w:val="none"/>
              </w:rPr>
              <w:t>①源头控制措施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cs="Times New Roman"/>
                <w:bCs/>
                <w:color w:val="auto"/>
                <w:kern w:val="0"/>
                <w:sz w:val="21"/>
                <w:szCs w:val="21"/>
                <w:highlight w:val="none"/>
              </w:rPr>
              <w:t>首先厂区内除绿化用地外，均进行地面硬化防渗处理；其次保证项目废水、固废的达标排放和总量控制；然后从项目废水、固废处理角度入手，预防生产期间废水、固废污染迁移</w:t>
            </w:r>
            <w:r>
              <w:rPr>
                <w:rFonts w:hint="default" w:ascii="Times New Roman" w:hAnsi="Times New Roman" w:cs="Times New Roman"/>
                <w:bCs/>
                <w:color w:val="auto"/>
                <w:kern w:val="0"/>
                <w:sz w:val="21"/>
                <w:szCs w:val="21"/>
                <w:highlight w:val="none"/>
                <w:lang w:eastAsia="zh-CN"/>
              </w:rPr>
              <w:t>。同时企业应定期对厂区内各废水治理设施进行维护、检修。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both"/>
              <w:textAlignment w:val="auto"/>
              <w:rPr>
                <w:rFonts w:hint="default" w:ascii="Times New Roman" w:hAnsi="Times New Roman" w:cs="Times New Roman"/>
                <w:b/>
                <w:bCs w:val="0"/>
                <w:color w:val="auto"/>
                <w:kern w:val="0"/>
                <w:sz w:val="21"/>
                <w:szCs w:val="21"/>
                <w:highlight w:val="none"/>
              </w:rPr>
            </w:pPr>
            <w:r>
              <w:rPr>
                <w:rFonts w:hint="default" w:ascii="Times New Roman" w:hAnsi="Times New Roman" w:cs="Times New Roman"/>
                <w:b/>
                <w:bCs w:val="0"/>
                <w:color w:val="auto"/>
                <w:kern w:val="0"/>
                <w:sz w:val="21"/>
                <w:szCs w:val="21"/>
                <w:highlight w:val="none"/>
              </w:rPr>
              <w:t>②过程防控措施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b/>
                <w:bCs w:val="0"/>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rPr>
              <w:t>过程防控主要体现在项目运营期间污染物收集、治理、安全处置全过程。评价要求项目运营期建设单位应加强监控和巡检，</w:t>
            </w:r>
            <w:r>
              <w:rPr>
                <w:rFonts w:hint="default" w:ascii="Times New Roman" w:hAnsi="Times New Roman" w:cs="Times New Roman"/>
                <w:bCs/>
                <w:color w:val="auto"/>
                <w:kern w:val="0"/>
                <w:sz w:val="21"/>
                <w:szCs w:val="21"/>
                <w:highlight w:val="none"/>
                <w:lang w:eastAsia="zh-CN"/>
              </w:rPr>
              <w:t>污水处理设施</w:t>
            </w:r>
            <w:r>
              <w:rPr>
                <w:rFonts w:hint="default" w:ascii="Times New Roman" w:hAnsi="Times New Roman" w:cs="Times New Roman"/>
                <w:bCs/>
                <w:color w:val="auto"/>
                <w:kern w:val="0"/>
                <w:sz w:val="21"/>
                <w:szCs w:val="21"/>
                <w:highlight w:val="none"/>
              </w:rPr>
              <w:t>如果发生泄漏要及时处理，不得漫流到与土壤接触的地面；厂区内固废及时处理，不得直接接触土壤；确保</w:t>
            </w:r>
            <w:r>
              <w:rPr>
                <w:rFonts w:hint="default" w:ascii="Times New Roman" w:hAnsi="Times New Roman" w:cs="Times New Roman"/>
                <w:bCs/>
                <w:color w:val="auto"/>
                <w:kern w:val="0"/>
                <w:sz w:val="21"/>
                <w:szCs w:val="21"/>
                <w:highlight w:val="none"/>
                <w:lang w:eastAsia="zh-CN"/>
              </w:rPr>
              <w:t>废水</w:t>
            </w:r>
            <w:r>
              <w:rPr>
                <w:rFonts w:hint="default" w:ascii="Times New Roman" w:hAnsi="Times New Roman" w:cs="Times New Roman"/>
                <w:bCs/>
                <w:color w:val="auto"/>
                <w:kern w:val="0"/>
                <w:sz w:val="21"/>
                <w:szCs w:val="21"/>
                <w:highlight w:val="none"/>
              </w:rPr>
              <w:t>处置环保措施的运行稳定。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22" w:firstLineChars="200"/>
              <w:jc w:val="both"/>
              <w:textAlignment w:val="auto"/>
              <w:rPr>
                <w:rFonts w:hint="default" w:ascii="Times New Roman" w:hAnsi="Times New Roman"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6、环境风险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color w:val="auto"/>
                <w:vertAlign w:val="baseline"/>
              </w:rPr>
            </w:pPr>
            <w:r>
              <w:rPr>
                <w:rFonts w:hint="default" w:ascii="Times New Roman" w:hAnsi="Times New Roman" w:cs="Times New Roman"/>
                <w:snapToGrid w:val="0"/>
                <w:color w:val="auto"/>
                <w:sz w:val="21"/>
                <w:szCs w:val="21"/>
                <w:highlight w:val="none"/>
              </w:rPr>
              <w:t>项目所用</w:t>
            </w:r>
            <w:r>
              <w:rPr>
                <w:rFonts w:hint="default" w:ascii="Times New Roman" w:hAnsi="Times New Roman" w:cs="Times New Roman"/>
                <w:snapToGrid w:val="0"/>
                <w:color w:val="auto"/>
                <w:sz w:val="21"/>
                <w:szCs w:val="21"/>
                <w:highlight w:val="none"/>
                <w:lang w:eastAsia="zh-CN"/>
              </w:rPr>
              <w:t>原辅材料</w:t>
            </w:r>
            <w:r>
              <w:rPr>
                <w:rFonts w:hint="default" w:ascii="Times New Roman" w:hAnsi="Times New Roman" w:cs="Times New Roman"/>
                <w:snapToGrid w:val="0"/>
                <w:color w:val="auto"/>
                <w:sz w:val="21"/>
                <w:szCs w:val="21"/>
                <w:highlight w:val="none"/>
              </w:rPr>
              <w:t>主要为</w:t>
            </w:r>
            <w:r>
              <w:rPr>
                <w:rFonts w:hint="default" w:ascii="Times New Roman" w:hAnsi="Times New Roman" w:cs="Times New Roman"/>
                <w:snapToGrid w:val="0"/>
                <w:color w:val="auto"/>
                <w:sz w:val="21"/>
                <w:szCs w:val="21"/>
                <w:highlight w:val="none"/>
                <w:lang w:eastAsia="zh-CN"/>
              </w:rPr>
              <w:t>平板玻璃、浮法玻璃、三氧化二铝、二氧化硅等镀膜原料</w:t>
            </w:r>
            <w:r>
              <w:rPr>
                <w:rFonts w:hint="default" w:ascii="Times New Roman" w:hAnsi="Times New Roman" w:cs="Times New Roman"/>
                <w:snapToGrid w:val="0"/>
                <w:color w:val="auto"/>
                <w:sz w:val="21"/>
                <w:szCs w:val="21"/>
                <w:highlight w:val="none"/>
              </w:rPr>
              <w:t>，所用资源能源为水和电，不涉及使用有毒有害和易燃易爆等危险物质，不涉及环境风险影响。</w:t>
            </w:r>
            <w:r>
              <w:rPr>
                <w:rFonts w:hint="default" w:ascii="Times New Roman" w:hAnsi="Times New Roman" w:cs="Times New Roman"/>
                <w:snapToGrid w:val="0"/>
                <w:color w:val="auto"/>
                <w:sz w:val="21"/>
                <w:szCs w:val="21"/>
                <w:highlight w:val="none"/>
              </w:rPr>
              <w:br w:type="textWrapping"/>
            </w:r>
            <w:r>
              <w:rPr>
                <w:rFonts w:hint="default" w:ascii="Times New Roman" w:hAnsi="Times New Roman" w:cs="Times New Roman"/>
                <w:snapToGrid w:val="0"/>
                <w:color w:val="auto"/>
                <w:sz w:val="21"/>
                <w:szCs w:val="21"/>
                <w:highlight w:val="none"/>
              </w:rPr>
              <w:br w:type="textWrapping"/>
            </w:r>
            <w:r>
              <w:rPr>
                <w:rFonts w:hint="default" w:ascii="Times New Roman" w:hAnsi="Times New Roman" w:cs="Times New Roman"/>
                <w:snapToGrid w:val="0"/>
                <w:color w:val="auto"/>
                <w:sz w:val="21"/>
                <w:szCs w:val="21"/>
                <w:highlight w:val="none"/>
              </w:rPr>
              <w:br w:type="textWrapping"/>
            </w:r>
            <w:r>
              <w:rPr>
                <w:rFonts w:hint="default" w:ascii="Times New Roman" w:hAnsi="Times New Roman" w:cs="Times New Roman"/>
                <w:snapToGrid w:val="0"/>
                <w:color w:val="auto"/>
                <w:sz w:val="21"/>
                <w:szCs w:val="21"/>
                <w:highlight w:val="none"/>
              </w:rPr>
              <w:br w:type="textWrapping"/>
            </w:r>
            <w:r>
              <w:rPr>
                <w:rFonts w:hint="default" w:ascii="Times New Roman" w:hAnsi="Times New Roman" w:cs="Times New Roman"/>
                <w:snapToGrid w:val="0"/>
                <w:color w:val="auto"/>
                <w:sz w:val="21"/>
                <w:szCs w:val="21"/>
                <w:highlight w:val="none"/>
              </w:rPr>
              <w:br w:type="textWrapping"/>
            </w:r>
          </w:p>
        </w:tc>
      </w:tr>
    </w:tbl>
    <w:p>
      <w:pPr>
        <w:rPr>
          <w:rFonts w:hint="default"/>
          <w:color w:val="auto"/>
        </w:rPr>
        <w:sectPr>
          <w:pgSz w:w="11907" w:h="16840"/>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2" w:name="_Hlk54167917"/>
      <w:r>
        <w:rPr>
          <w:rFonts w:hint="default" w:ascii="Times New Roman" w:hAnsi="Times New Roman" w:eastAsia="黑体" w:cs="Times New Roman"/>
          <w:snapToGrid w:val="0"/>
          <w:color w:val="auto"/>
          <w:sz w:val="30"/>
          <w:szCs w:val="30"/>
          <w:highlight w:val="none"/>
        </w:rPr>
        <w:t>环境保护措施监督检查清单</w:t>
      </w:r>
      <w:bookmarkEnd w:id="2"/>
    </w:p>
    <w:tbl>
      <w:tblPr>
        <w:tblStyle w:val="2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1319"/>
        <w:gridCol w:w="1423"/>
        <w:gridCol w:w="1457"/>
        <w:gridCol w:w="956"/>
        <w:gridCol w:w="19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pct"/>
            <w:tcBorders>
              <w:tl2br w:val="single" w:color="auto" w:sz="4" w:space="0"/>
            </w:tcBorders>
            <w:noWrap w:val="0"/>
            <w:vAlign w:val="top"/>
          </w:tcPr>
          <w:p>
            <w:pPr>
              <w:adjustRightInd w:val="0"/>
              <w:snapToGrid w:val="0"/>
              <w:jc w:val="righ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内容</w:t>
            </w:r>
          </w:p>
          <w:p>
            <w:pPr>
              <w:adjustRightInd w:val="0"/>
              <w:snapToGrid w:val="0"/>
              <w:rPr>
                <w:rFonts w:hint="default" w:ascii="Times New Roman" w:hAnsi="Times New Roman" w:cs="Times New Roman"/>
                <w:color w:val="auto"/>
                <w:sz w:val="21"/>
                <w:szCs w:val="21"/>
                <w:highlight w:val="none"/>
              </w:rPr>
            </w:pPr>
          </w:p>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要素</w:t>
            </w:r>
          </w:p>
        </w:tc>
        <w:tc>
          <w:tcPr>
            <w:tcW w:w="774"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编号、名称</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污染源</w:t>
            </w:r>
          </w:p>
        </w:tc>
        <w:tc>
          <w:tcPr>
            <w:tcW w:w="83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1416" w:type="pct"/>
            <w:gridSpan w:val="2"/>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环境保护措施</w:t>
            </w:r>
          </w:p>
        </w:tc>
        <w:tc>
          <w:tcPr>
            <w:tcW w:w="1150"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c>
          <w:tcPr>
            <w:tcW w:w="774"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835"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416" w:type="pct"/>
            <w:gridSpan w:val="2"/>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150" w:type="pct"/>
            <w:noWrap w:val="0"/>
            <w:vAlign w:val="center"/>
          </w:tcPr>
          <w:p>
            <w:pPr>
              <w:pStyle w:val="28"/>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pct"/>
            <w:vMerge w:val="restar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c>
          <w:tcPr>
            <w:tcW w:w="774" w:type="pct"/>
            <w:tcBorders>
              <w:top w:val="single" w:color="auto" w:sz="4" w:space="0"/>
            </w:tcBorders>
            <w:noWrap w:val="0"/>
            <w:vAlign w:val="center"/>
          </w:tcPr>
          <w:p>
            <w:pPr>
              <w:autoSpaceDE w:val="0"/>
              <w:autoSpaceDN w:val="0"/>
              <w:jc w:val="center"/>
              <w:rPr>
                <w:rFonts w:hint="default" w:ascii="Times New Roman" w:hAnsi="Times New Roman" w:cs="Times New Roman"/>
                <w:color w:val="auto"/>
                <w:kern w:val="0"/>
                <w:sz w:val="21"/>
                <w:szCs w:val="21"/>
                <w:highlight w:val="none"/>
                <w:lang w:val="zh-CN" w:eastAsia="en-US"/>
              </w:rPr>
            </w:pPr>
            <w:r>
              <w:rPr>
                <w:rFonts w:hint="default" w:ascii="Times New Roman" w:hAnsi="Times New Roman" w:cs="Times New Roman"/>
                <w:color w:val="auto"/>
                <w:kern w:val="0"/>
                <w:sz w:val="21"/>
                <w:szCs w:val="21"/>
                <w:highlight w:val="none"/>
                <w:lang w:val="zh-CN" w:eastAsia="en-US"/>
              </w:rPr>
              <w:t>生活废水</w:t>
            </w:r>
          </w:p>
        </w:tc>
        <w:tc>
          <w:tcPr>
            <w:tcW w:w="835"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pH、</w:t>
            </w:r>
            <w:r>
              <w:rPr>
                <w:rFonts w:hint="default" w:ascii="Times New Roman" w:hAnsi="Times New Roman" w:cs="Times New Roman"/>
                <w:color w:val="auto"/>
                <w:sz w:val="21"/>
                <w:szCs w:val="21"/>
                <w:highlight w:val="none"/>
              </w:rPr>
              <w:t>COD、BOD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TP</w:t>
            </w:r>
          </w:p>
        </w:tc>
        <w:tc>
          <w:tcPr>
            <w:tcW w:w="1416" w:type="pct"/>
            <w:gridSpan w:val="2"/>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化粪池（</w:t>
            </w:r>
            <w:r>
              <w:rPr>
                <w:rFonts w:hint="eastAsia"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处理后，接管网排入</w:t>
            </w:r>
            <w:r>
              <w:rPr>
                <w:rFonts w:hint="default" w:ascii="Times New Roman" w:hAnsi="Times New Roman" w:cs="Times New Roman"/>
                <w:color w:val="auto"/>
                <w:sz w:val="21"/>
                <w:szCs w:val="21"/>
                <w:highlight w:val="none"/>
                <w:lang w:val="en-US" w:eastAsia="zh-CN"/>
              </w:rPr>
              <w:t>新乡县综合污水处理厂</w:t>
            </w:r>
          </w:p>
        </w:tc>
        <w:tc>
          <w:tcPr>
            <w:tcW w:w="1150" w:type="pct"/>
            <w:vMerge w:val="restart"/>
            <w:tcBorders>
              <w:top w:val="single" w:color="000000" w:sz="4" w:space="0"/>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新乡县综合污水处理厂</w:t>
            </w:r>
            <w:r>
              <w:rPr>
                <w:rFonts w:hint="default" w:ascii="Times New Roman" w:hAnsi="Times New Roman" w:eastAsia="宋体" w:cs="Times New Roman"/>
                <w:color w:val="auto"/>
                <w:sz w:val="21"/>
                <w:szCs w:val="21"/>
                <w:highlight w:val="none"/>
                <w:lang w:val="en-US" w:eastAsia="zh-CN"/>
              </w:rPr>
              <w:t>收水标准和《污水综合排放标准》（GB8978-1996）表4三级标准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774" w:type="pct"/>
            <w:tcBorders>
              <w:top w:val="single" w:color="auto" w:sz="4" w:space="0"/>
            </w:tcBorders>
            <w:noWrap w:val="0"/>
            <w:vAlign w:val="center"/>
          </w:tcPr>
          <w:p>
            <w:pPr>
              <w:autoSpaceDE w:val="0"/>
              <w:autoSpaceDN w:val="0"/>
              <w:jc w:val="center"/>
              <w:rPr>
                <w:rFonts w:hint="default" w:ascii="Times New Roman" w:hAnsi="Times New Roman" w:cs="Times New Roman"/>
                <w:color w:val="auto"/>
                <w:kern w:val="0"/>
                <w:sz w:val="21"/>
                <w:szCs w:val="21"/>
                <w:highlight w:val="none"/>
                <w:lang w:val="zh-CN" w:eastAsia="en-US"/>
              </w:rPr>
            </w:pPr>
            <w:r>
              <w:rPr>
                <w:rFonts w:hint="eastAsia" w:cs="Times New Roman"/>
                <w:color w:val="auto"/>
                <w:kern w:val="0"/>
                <w:sz w:val="21"/>
                <w:szCs w:val="21"/>
                <w:highlight w:val="none"/>
                <w:lang w:val="zh-CN" w:eastAsia="en-US"/>
              </w:rPr>
              <w:t>下料、磨边、精磨、粗磨冲洗废水</w:t>
            </w:r>
          </w:p>
        </w:tc>
        <w:tc>
          <w:tcPr>
            <w:tcW w:w="835"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pH、COD、SS</w:t>
            </w:r>
          </w:p>
        </w:tc>
        <w:tc>
          <w:tcPr>
            <w:tcW w:w="855" w:type="pct"/>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72m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沉淀池处理后，循环使用，沉淀池废水定期排放至混凝沉淀池</w:t>
            </w:r>
          </w:p>
        </w:tc>
        <w:tc>
          <w:tcPr>
            <w:tcW w:w="561" w:type="pct"/>
            <w:vMerge w:val="restart"/>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混凝沉淀池处理后，接管网排入</w:t>
            </w:r>
            <w:r>
              <w:rPr>
                <w:rFonts w:hint="default" w:ascii="Times New Roman" w:hAnsi="Times New Roman" w:cs="Times New Roman"/>
                <w:color w:val="auto"/>
                <w:sz w:val="21"/>
                <w:szCs w:val="21"/>
                <w:highlight w:val="none"/>
                <w:lang w:val="en-US" w:eastAsia="zh-CN"/>
              </w:rPr>
              <w:t>新乡县综合污水处理厂</w:t>
            </w:r>
          </w:p>
        </w:tc>
        <w:tc>
          <w:tcPr>
            <w:tcW w:w="1150" w:type="pct"/>
            <w:vMerge w:val="continue"/>
            <w:tcBorders>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774" w:type="pct"/>
            <w:tcBorders>
              <w:top w:val="single" w:color="auto" w:sz="4" w:space="0"/>
            </w:tcBorders>
            <w:noWrap w:val="0"/>
            <w:vAlign w:val="center"/>
          </w:tcPr>
          <w:p>
            <w:pPr>
              <w:autoSpaceDE w:val="0"/>
              <w:autoSpaceDN w:val="0"/>
              <w:jc w:val="center"/>
              <w:rPr>
                <w:rFonts w:hint="eastAsia" w:cs="Times New Roman"/>
                <w:color w:val="auto"/>
                <w:kern w:val="0"/>
                <w:sz w:val="21"/>
                <w:szCs w:val="21"/>
                <w:highlight w:val="none"/>
                <w:lang w:val="zh-CN" w:eastAsia="en-US"/>
              </w:rPr>
            </w:pPr>
            <w:r>
              <w:rPr>
                <w:rFonts w:hint="eastAsia" w:cs="Times New Roman"/>
                <w:color w:val="auto"/>
                <w:kern w:val="0"/>
                <w:sz w:val="21"/>
                <w:szCs w:val="21"/>
                <w:highlight w:val="none"/>
                <w:lang w:val="zh-CN" w:eastAsia="en-US"/>
              </w:rPr>
              <w:t>镀膜前清洗废水</w:t>
            </w:r>
          </w:p>
        </w:tc>
        <w:tc>
          <w:tcPr>
            <w:tcW w:w="835" w:type="pct"/>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pH、COD、SS</w:t>
            </w:r>
          </w:p>
        </w:tc>
        <w:tc>
          <w:tcPr>
            <w:tcW w:w="855" w:type="pct"/>
            <w:vMerge w:val="restart"/>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61"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1150" w:type="pct"/>
            <w:vMerge w:val="continue"/>
            <w:tcBorders>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774" w:type="pct"/>
            <w:tcBorders>
              <w:top w:val="single" w:color="auto" w:sz="4" w:space="0"/>
            </w:tcBorders>
            <w:noWrap w:val="0"/>
            <w:vAlign w:val="center"/>
          </w:tcPr>
          <w:p>
            <w:pPr>
              <w:autoSpaceDE w:val="0"/>
              <w:autoSpaceDN w:val="0"/>
              <w:jc w:val="center"/>
              <w:rPr>
                <w:rFonts w:hint="eastAsia" w:cs="Times New Roman"/>
                <w:color w:val="auto"/>
                <w:kern w:val="0"/>
                <w:sz w:val="21"/>
                <w:szCs w:val="21"/>
                <w:highlight w:val="none"/>
                <w:lang w:val="zh-CN" w:eastAsia="en-US"/>
              </w:rPr>
            </w:pPr>
            <w:r>
              <w:rPr>
                <w:rFonts w:hint="eastAsia" w:cs="Times New Roman"/>
                <w:color w:val="auto"/>
                <w:kern w:val="0"/>
                <w:sz w:val="21"/>
                <w:szCs w:val="21"/>
                <w:highlight w:val="none"/>
                <w:lang w:val="zh-CN" w:eastAsia="en-US"/>
              </w:rPr>
              <w:t>镀膜后清洗废水</w:t>
            </w:r>
          </w:p>
        </w:tc>
        <w:tc>
          <w:tcPr>
            <w:tcW w:w="835" w:type="pct"/>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pH、COD、SS、NH</w:t>
            </w:r>
            <w:r>
              <w:rPr>
                <w:rFonts w:hint="eastAsia" w:cs="Times New Roman"/>
                <w:color w:val="auto"/>
                <w:sz w:val="21"/>
                <w:szCs w:val="21"/>
                <w:highlight w:val="none"/>
                <w:vertAlign w:val="subscript"/>
                <w:lang w:val="en-US" w:eastAsia="zh-CN"/>
              </w:rPr>
              <w:t>3</w:t>
            </w:r>
            <w:r>
              <w:rPr>
                <w:rFonts w:hint="eastAsia" w:cs="Times New Roman"/>
                <w:color w:val="auto"/>
                <w:sz w:val="21"/>
                <w:szCs w:val="21"/>
                <w:highlight w:val="none"/>
                <w:lang w:val="en-US" w:eastAsia="zh-CN"/>
              </w:rPr>
              <w:t>-N、LAS、TP</w:t>
            </w:r>
          </w:p>
        </w:tc>
        <w:tc>
          <w:tcPr>
            <w:tcW w:w="855"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561"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1150" w:type="pct"/>
            <w:vMerge w:val="continue"/>
            <w:tcBorders>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774" w:type="pct"/>
            <w:tcBorders>
              <w:top w:val="single" w:color="auto" w:sz="4" w:space="0"/>
            </w:tcBorders>
            <w:noWrap w:val="0"/>
            <w:vAlign w:val="center"/>
          </w:tcPr>
          <w:p>
            <w:pPr>
              <w:autoSpaceDE w:val="0"/>
              <w:autoSpaceDN w:val="0"/>
              <w:jc w:val="center"/>
              <w:rPr>
                <w:rFonts w:hint="default" w:ascii="Times New Roman" w:hAnsi="Times New Roman" w:cs="Times New Roman"/>
                <w:color w:val="auto"/>
                <w:kern w:val="0"/>
                <w:sz w:val="21"/>
                <w:szCs w:val="21"/>
                <w:highlight w:val="none"/>
                <w:lang w:val="zh-CN" w:eastAsia="en-US"/>
              </w:rPr>
            </w:pPr>
            <w:r>
              <w:rPr>
                <w:rFonts w:hint="default" w:ascii="Times New Roman" w:hAnsi="Times New Roman" w:cs="Times New Roman"/>
                <w:color w:val="auto"/>
                <w:kern w:val="0"/>
                <w:sz w:val="21"/>
                <w:szCs w:val="21"/>
                <w:highlight w:val="none"/>
                <w:lang w:val="zh-CN" w:eastAsia="en-US"/>
              </w:rPr>
              <w:t>软水制备浓水</w:t>
            </w:r>
          </w:p>
        </w:tc>
        <w:tc>
          <w:tcPr>
            <w:tcW w:w="835"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COD、SS</w:t>
            </w:r>
          </w:p>
        </w:tc>
        <w:tc>
          <w:tcPr>
            <w:tcW w:w="1416" w:type="pct"/>
            <w:gridSpan w:val="2"/>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150" w:type="pct"/>
            <w:vMerge w:val="continue"/>
            <w:tcBorders>
              <w:bottom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pct"/>
            <w:vMerge w:val="restar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774"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机械设备生产设备</w:t>
            </w:r>
          </w:p>
        </w:tc>
        <w:tc>
          <w:tcPr>
            <w:tcW w:w="83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机械</w:t>
            </w:r>
            <w:r>
              <w:rPr>
                <w:rFonts w:hint="default" w:ascii="Times New Roman" w:hAnsi="Times New Roman" w:cs="Times New Roman"/>
                <w:color w:val="auto"/>
                <w:sz w:val="21"/>
                <w:szCs w:val="21"/>
                <w:highlight w:val="none"/>
              </w:rPr>
              <w:t>噪声</w:t>
            </w:r>
          </w:p>
        </w:tc>
        <w:tc>
          <w:tcPr>
            <w:tcW w:w="1416" w:type="pct"/>
            <w:gridSpan w:val="2"/>
            <w:tcBorders>
              <w:top w:val="single" w:color="auto" w:sz="4" w:space="0"/>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低噪声设备、基础减振、厂房隔声</w:t>
            </w:r>
          </w:p>
        </w:tc>
        <w:tc>
          <w:tcPr>
            <w:tcW w:w="1150" w:type="pct"/>
            <w:vMerge w:val="restart"/>
            <w:tcBorders>
              <w:top w:val="single" w:color="auto" w:sz="4" w:space="0"/>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《工业企业厂界环境噪声排放标准》（GB12348-2008）</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774" w:type="pct"/>
            <w:noWrap w:val="0"/>
            <w:vAlign w:val="center"/>
          </w:tcPr>
          <w:p>
            <w:pPr>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空压机</w:t>
            </w:r>
          </w:p>
        </w:tc>
        <w:tc>
          <w:tcPr>
            <w:tcW w:w="835"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空气动力噪声</w:t>
            </w:r>
          </w:p>
        </w:tc>
        <w:tc>
          <w:tcPr>
            <w:tcW w:w="1416" w:type="pct"/>
            <w:gridSpan w:val="2"/>
            <w:tcBorders>
              <w:top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室内布置，安装隔声罩</w:t>
            </w:r>
          </w:p>
        </w:tc>
        <w:tc>
          <w:tcPr>
            <w:tcW w:w="1150" w:type="pct"/>
            <w:vMerge w:val="continue"/>
            <w:tcBorders>
              <w:bottom w:val="single" w:color="000000" w:sz="4" w:space="0"/>
            </w:tcBorders>
            <w:noWrap w:val="0"/>
            <w:vAlign w:val="center"/>
          </w:tcPr>
          <w:p>
            <w:pPr>
              <w:adjustRightInd w:val="0"/>
              <w:snapToGrid w:val="0"/>
              <w:jc w:val="center"/>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pct"/>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固体废物</w:t>
            </w:r>
          </w:p>
        </w:tc>
        <w:tc>
          <w:tcPr>
            <w:tcW w:w="4176" w:type="pct"/>
            <w:gridSpan w:val="5"/>
            <w:noWrap w:val="0"/>
            <w:vAlign w:val="center"/>
          </w:tcPr>
          <w:p>
            <w:pPr>
              <w:adjustRightInd w:val="0"/>
              <w:snapToGrid w:val="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①</w:t>
            </w:r>
            <w:r>
              <w:rPr>
                <w:rFonts w:hint="default" w:ascii="Times New Roman" w:hAnsi="Times New Roman" w:cs="Times New Roman"/>
                <w:bCs/>
                <w:color w:val="auto"/>
                <w:sz w:val="21"/>
                <w:szCs w:val="21"/>
                <w:highlight w:val="none"/>
                <w:lang w:eastAsia="zh-CN"/>
              </w:rPr>
              <w:t>废原辅材料包装、废边角料、不合格品</w:t>
            </w:r>
            <w:r>
              <w:rPr>
                <w:rFonts w:hint="eastAsia" w:cs="Times New Roman"/>
                <w:bCs/>
                <w:color w:val="auto"/>
                <w:sz w:val="21"/>
                <w:szCs w:val="21"/>
                <w:highlight w:val="none"/>
                <w:lang w:eastAsia="zh-CN"/>
              </w:rPr>
              <w:t>、废金刚砂</w:t>
            </w:r>
            <w:r>
              <w:rPr>
                <w:rFonts w:hint="default" w:ascii="Times New Roman" w:hAnsi="Times New Roman" w:cs="Times New Roman"/>
                <w:bCs/>
                <w:color w:val="auto"/>
                <w:sz w:val="21"/>
                <w:szCs w:val="21"/>
                <w:highlight w:val="none"/>
                <w:lang w:eastAsia="zh-CN"/>
              </w:rPr>
              <w:t>以及纯水设备更换的废石英砂、反渗透膜等均经</w:t>
            </w:r>
            <w:r>
              <w:rPr>
                <w:rFonts w:hint="default" w:ascii="Times New Roman" w:hAnsi="Times New Roman" w:cs="Times New Roman"/>
                <w:bCs/>
                <w:color w:val="auto"/>
                <w:sz w:val="21"/>
                <w:szCs w:val="21"/>
                <w:highlight w:val="none"/>
              </w:rPr>
              <w:t>设置的一般固废暂存区域（30m</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eastAsia="zh-CN"/>
              </w:rPr>
              <w:t>分类</w:t>
            </w:r>
            <w:r>
              <w:rPr>
                <w:rFonts w:hint="default" w:ascii="Times New Roman" w:hAnsi="Times New Roman" w:cs="Times New Roman"/>
                <w:bCs/>
                <w:color w:val="auto"/>
                <w:sz w:val="21"/>
                <w:szCs w:val="21"/>
                <w:highlight w:val="none"/>
              </w:rPr>
              <w:t>暂存后，</w:t>
            </w:r>
            <w:r>
              <w:rPr>
                <w:rFonts w:hint="default" w:ascii="Times New Roman" w:hAnsi="Times New Roman" w:cs="Times New Roman"/>
                <w:bCs/>
                <w:color w:val="auto"/>
                <w:sz w:val="21"/>
                <w:szCs w:val="21"/>
                <w:highlight w:val="none"/>
                <w:lang w:eastAsia="zh-CN"/>
              </w:rPr>
              <w:t>定期外售综合利用</w:t>
            </w:r>
            <w:r>
              <w:rPr>
                <w:rFonts w:hint="default" w:ascii="Times New Roman" w:hAnsi="Times New Roman" w:cs="Times New Roman"/>
                <w:bCs/>
                <w:color w:val="auto"/>
                <w:sz w:val="21"/>
                <w:szCs w:val="21"/>
                <w:highlight w:val="none"/>
              </w:rPr>
              <w:t>；</w:t>
            </w:r>
          </w:p>
          <w:p>
            <w:pPr>
              <w:adjustRightInd w:val="0"/>
              <w:snapToGrid w:val="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②</w:t>
            </w:r>
            <w:r>
              <w:rPr>
                <w:rFonts w:hint="default" w:ascii="Times New Roman" w:hAnsi="Times New Roman" w:cs="Times New Roman"/>
                <w:bCs/>
                <w:color w:val="auto"/>
                <w:sz w:val="21"/>
                <w:szCs w:val="21"/>
                <w:highlight w:val="none"/>
                <w:lang w:eastAsia="zh-CN"/>
              </w:rPr>
              <w:t>废无尘布、沉淀池清理沉渣以及生活垃圾均经</w:t>
            </w:r>
            <w:r>
              <w:rPr>
                <w:rFonts w:hint="default" w:ascii="Times New Roman" w:hAnsi="Times New Roman" w:cs="Times New Roman"/>
                <w:bCs/>
                <w:color w:val="auto"/>
                <w:sz w:val="21"/>
                <w:szCs w:val="21"/>
                <w:highlight w:val="none"/>
              </w:rPr>
              <w:t>设置的一般固废暂存区域（30m</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eastAsia="zh-CN"/>
              </w:rPr>
              <w:t>分类</w:t>
            </w:r>
            <w:r>
              <w:rPr>
                <w:rFonts w:hint="default" w:ascii="Times New Roman" w:hAnsi="Times New Roman" w:cs="Times New Roman"/>
                <w:bCs/>
                <w:color w:val="auto"/>
                <w:sz w:val="21"/>
                <w:szCs w:val="21"/>
                <w:highlight w:val="none"/>
              </w:rPr>
              <w:t>暂存后，</w:t>
            </w:r>
            <w:r>
              <w:rPr>
                <w:rFonts w:hint="default" w:ascii="Times New Roman" w:hAnsi="Times New Roman" w:cs="Times New Roman"/>
                <w:bCs/>
                <w:color w:val="auto"/>
                <w:sz w:val="21"/>
                <w:szCs w:val="21"/>
                <w:highlight w:val="none"/>
                <w:lang w:eastAsia="zh-CN"/>
              </w:rPr>
              <w:t>交由环卫部门清运处理</w:t>
            </w:r>
            <w:r>
              <w:rPr>
                <w:rFonts w:hint="default" w:ascii="Times New Roman" w:hAnsi="Times New Roman" w:cs="Times New Roman"/>
                <w:bCs/>
                <w:color w:val="auto"/>
                <w:sz w:val="21"/>
                <w:szCs w:val="21"/>
                <w:highlight w:val="none"/>
              </w:rPr>
              <w:t>；</w:t>
            </w:r>
          </w:p>
          <w:p>
            <w:pPr>
              <w:adjustRightInd w:val="0"/>
              <w:snapToGrid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highlight w:val="none"/>
              </w:rPr>
              <w:t>③</w:t>
            </w:r>
            <w:r>
              <w:rPr>
                <w:rFonts w:hint="default" w:ascii="Times New Roman" w:hAnsi="Times New Roman" w:cs="Times New Roman"/>
                <w:bCs/>
                <w:color w:val="auto"/>
                <w:sz w:val="21"/>
                <w:szCs w:val="21"/>
                <w:highlight w:val="none"/>
                <w:lang w:eastAsia="zh-CN"/>
              </w:rPr>
              <w:t>机械设备维护更换的废机油采用容器收集并于设置的危险固废暂存间（</w:t>
            </w:r>
            <w:r>
              <w:rPr>
                <w:rFonts w:hint="default" w:ascii="Times New Roman" w:hAnsi="Times New Roman" w:cs="Times New Roman"/>
                <w:bCs/>
                <w:color w:val="auto"/>
                <w:sz w:val="21"/>
                <w:szCs w:val="21"/>
                <w:highlight w:val="none"/>
                <w:lang w:val="en-US" w:eastAsia="zh-CN"/>
              </w:rPr>
              <w:t>10m</w:t>
            </w:r>
            <w:r>
              <w:rPr>
                <w:rFonts w:hint="default" w:ascii="Times New Roman" w:hAnsi="Times New Roman" w:cs="Times New Roman"/>
                <w:bCs/>
                <w:color w:val="auto"/>
                <w:sz w:val="21"/>
                <w:szCs w:val="21"/>
                <w:highlight w:val="none"/>
                <w:vertAlign w:val="superscript"/>
                <w:lang w:val="en-US" w:eastAsia="zh-CN"/>
              </w:rPr>
              <w:t>2</w:t>
            </w:r>
            <w:r>
              <w:rPr>
                <w:rFonts w:hint="default" w:ascii="Times New Roman" w:hAnsi="Times New Roman" w:cs="Times New Roman"/>
                <w:bCs/>
                <w:color w:val="auto"/>
                <w:sz w:val="21"/>
                <w:szCs w:val="21"/>
                <w:highlight w:val="none"/>
                <w:lang w:eastAsia="zh-CN"/>
              </w:rPr>
              <w:t>）暂存后，定期委托有资质的危废处置单位处理</w:t>
            </w:r>
            <w:r>
              <w:rPr>
                <w:rFonts w:hint="default" w:ascii="Times New Roman" w:hAnsi="Times New Roman" w:cs="Times New Roman"/>
                <w:bCs/>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土壤及地下水污染防治措施</w:t>
            </w:r>
          </w:p>
        </w:tc>
        <w:tc>
          <w:tcPr>
            <w:tcW w:w="4176"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fldChar w:fldCharType="begin"/>
            </w:r>
            <w:r>
              <w:rPr>
                <w:rFonts w:hint="default" w:ascii="Times New Roman" w:hAnsi="Times New Roman" w:cs="Times New Roman"/>
                <w:color w:val="auto"/>
                <w:sz w:val="21"/>
                <w:szCs w:val="21"/>
                <w:highlight w:val="none"/>
                <w:lang w:val="en-US" w:eastAsia="zh-CN"/>
              </w:rPr>
              <w:instrText xml:space="preserve">=1\*GB3\*MERGEFORMAT</w:instrText>
            </w:r>
            <w:r>
              <w:rPr>
                <w:rFonts w:hint="default" w:ascii="Times New Roman" w:hAnsi="Times New Roman"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highlight w:val="none"/>
              </w:rPr>
              <w:t>①</w:t>
            </w:r>
            <w:r>
              <w:rPr>
                <w:rFonts w:hint="default" w:ascii="Times New Roman" w:hAnsi="Times New Roman" w:cs="Times New Roman"/>
                <w:color w:val="auto"/>
                <w:sz w:val="21"/>
                <w:szCs w:val="21"/>
                <w:highlight w:val="none"/>
                <w:lang w:val="en-US" w:eastAsia="zh-CN"/>
              </w:rPr>
              <w:fldChar w:fldCharType="end"/>
            </w:r>
            <w:r>
              <w:rPr>
                <w:rFonts w:hint="default" w:ascii="Times New Roman" w:hAnsi="Times New Roman" w:cs="Times New Roman"/>
                <w:color w:val="auto"/>
                <w:sz w:val="21"/>
                <w:szCs w:val="21"/>
                <w:highlight w:val="none"/>
                <w:lang w:val="en-US" w:eastAsia="zh-CN"/>
              </w:rPr>
              <w:t>化粪池、沉淀池等污水处理设施及配套管线应做防渗、防泄漏处理。</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=2\*GB3\*MERGEFORMAT</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②</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一般固废储存区域应地面硬化，设置满足“</w:t>
            </w:r>
            <w:r>
              <w:rPr>
                <w:rFonts w:hint="default" w:ascii="Times New Roman" w:hAnsi="Times New Roman" w:cs="Times New Roman"/>
                <w:color w:val="auto"/>
                <w:sz w:val="21"/>
                <w:szCs w:val="21"/>
                <w:highlight w:val="none"/>
                <w:lang w:eastAsia="zh-CN"/>
              </w:rPr>
              <w:t>防渗漏</w:t>
            </w:r>
            <w:r>
              <w:rPr>
                <w:rFonts w:hint="default" w:ascii="Times New Roman" w:hAnsi="Times New Roman" w:cs="Times New Roman"/>
                <w:color w:val="auto"/>
                <w:sz w:val="21"/>
                <w:szCs w:val="21"/>
                <w:highlight w:val="none"/>
              </w:rPr>
              <w:t>、防雨</w:t>
            </w:r>
            <w:r>
              <w:rPr>
                <w:rFonts w:hint="default" w:ascii="Times New Roman" w:hAnsi="Times New Roman" w:cs="Times New Roman"/>
                <w:color w:val="auto"/>
                <w:sz w:val="21"/>
                <w:szCs w:val="21"/>
                <w:highlight w:val="none"/>
                <w:lang w:eastAsia="zh-CN"/>
              </w:rPr>
              <w:t>淋</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防扬尘</w:t>
            </w:r>
            <w:r>
              <w:rPr>
                <w:rFonts w:hint="default" w:ascii="Times New Roman" w:hAnsi="Times New Roman" w:cs="Times New Roman"/>
                <w:color w:val="auto"/>
                <w:sz w:val="21"/>
                <w:szCs w:val="21"/>
                <w:highlight w:val="none"/>
              </w:rPr>
              <w:t>”三防措施要求</w:t>
            </w:r>
            <w:r>
              <w:rPr>
                <w:rFonts w:hint="default" w:ascii="Times New Roman" w:hAnsi="Times New Roman"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=3\*GB3\*MERGEFORMAT</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③</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lang w:eastAsia="zh-CN"/>
              </w:rPr>
              <w:t>危废暂存间地面和墙面涂刷环氧树脂漆，并在危废暂存间内设置围堰，危废暂存间应满足《危险废物贮存污染控制标准》（GB18597-2001）及其修改单要求</w:t>
            </w:r>
            <w:r>
              <w:rPr>
                <w:rFonts w:hint="default" w:ascii="Times New Roman" w:hAnsi="Times New Roman" w:cs="Times New Roman"/>
                <w:color w:val="auto"/>
                <w:sz w:val="21"/>
                <w:szCs w:val="21"/>
                <w:highlight w:val="none"/>
                <w:lang w:eastAsia="zh-CN"/>
              </w:rPr>
              <w:br w:type="textWrapping"/>
            </w: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=4\*GB3\*MERGEFORMAT</w:instrText>
            </w:r>
            <w:r>
              <w:rPr>
                <w:rFonts w:hint="default" w:ascii="Times New Roman" w:hAnsi="Times New Roman" w:cs="Times New Roman"/>
                <w:color w:val="auto"/>
                <w:sz w:val="21"/>
                <w:szCs w:val="21"/>
                <w:highlight w:val="none"/>
                <w:lang w:eastAsia="zh-CN"/>
              </w:rPr>
              <w:fldChar w:fldCharType="separate"/>
            </w:r>
            <w:r>
              <w:rPr>
                <w:rFonts w:hint="default" w:ascii="Times New Roman" w:hAnsi="Times New Roman" w:cs="Times New Roman"/>
                <w:color w:val="auto"/>
                <w:sz w:val="21"/>
                <w:szCs w:val="21"/>
                <w:highlight w:val="none"/>
              </w:rPr>
              <w:t>④</w:t>
            </w:r>
            <w:r>
              <w:rPr>
                <w:rFonts w:hint="default" w:ascii="Times New Roman" w:hAnsi="Times New Roman" w:cs="Times New Roman"/>
                <w:color w:val="auto"/>
                <w:sz w:val="21"/>
                <w:szCs w:val="21"/>
                <w:highlight w:val="none"/>
                <w:lang w:eastAsia="zh-CN"/>
              </w:rPr>
              <w:fldChar w:fldCharType="end"/>
            </w:r>
            <w:r>
              <w:rPr>
                <w:rFonts w:hint="default" w:ascii="Times New Roman" w:hAnsi="Times New Roman" w:cs="Times New Roman"/>
                <w:color w:val="auto"/>
                <w:sz w:val="21"/>
                <w:szCs w:val="21"/>
                <w:highlight w:val="none"/>
                <w:lang w:eastAsia="zh-CN"/>
              </w:rPr>
              <w:t>建立规范生产运行制度，定期对厂区内生产设施、污染治理设施进行检修、维护，确保其处于正常运行状态。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3" w:type="pct"/>
            <w:noWrap w:val="0"/>
            <w:vAlign w:val="center"/>
          </w:tcPr>
          <w:p>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环境风险</w:t>
            </w:r>
          </w:p>
          <w:p>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防范措施</w:t>
            </w:r>
          </w:p>
        </w:tc>
        <w:tc>
          <w:tcPr>
            <w:tcW w:w="4176" w:type="pct"/>
            <w:gridSpan w:val="5"/>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823" w:type="pct"/>
            <w:noWrap w:val="0"/>
            <w:vAlign w:val="center"/>
          </w:tcPr>
          <w:p>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其他环境</w:t>
            </w:r>
          </w:p>
          <w:p>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管理要求</w:t>
            </w:r>
          </w:p>
        </w:tc>
        <w:tc>
          <w:tcPr>
            <w:tcW w:w="4176" w:type="pct"/>
            <w:gridSpan w:val="5"/>
            <w:noWrap w:val="0"/>
            <w:vAlign w:val="center"/>
          </w:tcPr>
          <w:p>
            <w:pPr>
              <w:keepNext w:val="0"/>
              <w:keepLines w:val="0"/>
              <w:pageBreakBefore w:val="0"/>
              <w:kinsoku/>
              <w:wordWrap/>
              <w:overflowPunct/>
              <w:topLinePunct w:val="0"/>
              <w:bidi w:val="0"/>
              <w:adjustRightInd/>
              <w:snapToGrid/>
              <w:spacing w:line="320" w:lineRule="exac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fldChar w:fldCharType="begin"/>
            </w:r>
            <w:r>
              <w:rPr>
                <w:rFonts w:hint="default" w:ascii="Times New Roman" w:hAnsi="Times New Roman" w:cs="Times New Roman"/>
                <w:bCs/>
                <w:color w:val="auto"/>
                <w:sz w:val="21"/>
                <w:szCs w:val="21"/>
                <w:highlight w:val="none"/>
              </w:rPr>
              <w:instrText xml:space="preserve">=1\*GB3\*MERGEFORMAT</w:instrText>
            </w:r>
            <w:r>
              <w:rPr>
                <w:rFonts w:hint="default" w:ascii="Times New Roman" w:hAnsi="Times New Roman" w:cs="Times New Roman"/>
                <w:bCs/>
                <w:color w:val="auto"/>
                <w:sz w:val="21"/>
                <w:szCs w:val="21"/>
                <w:highlight w:val="none"/>
              </w:rPr>
              <w:fldChar w:fldCharType="separate"/>
            </w:r>
            <w:r>
              <w:rPr>
                <w:rFonts w:hint="default" w:ascii="Times New Roman" w:hAnsi="Times New Roman" w:cs="Times New Roman"/>
                <w:color w:val="auto"/>
                <w:sz w:val="21"/>
                <w:szCs w:val="21"/>
                <w:highlight w:val="none"/>
              </w:rPr>
              <w:t>①</w:t>
            </w:r>
            <w:r>
              <w:rPr>
                <w:rFonts w:hint="default" w:ascii="Times New Roman" w:hAnsi="Times New Roman" w:cs="Times New Roman"/>
                <w:bCs/>
                <w:color w:val="auto"/>
                <w:sz w:val="21"/>
                <w:szCs w:val="21"/>
                <w:highlight w:val="none"/>
              </w:rPr>
              <w:fldChar w:fldCharType="end"/>
            </w:r>
            <w:r>
              <w:rPr>
                <w:rFonts w:hint="default" w:ascii="Times New Roman" w:hAnsi="Times New Roman" w:cs="Times New Roman"/>
                <w:bCs/>
                <w:color w:val="auto"/>
                <w:sz w:val="21"/>
                <w:szCs w:val="21"/>
                <w:highlight w:val="none"/>
              </w:rPr>
              <w:t>总用电位置、主要生产设施和污染治理设施安装用电量监控系统终端；</w:t>
            </w:r>
          </w:p>
          <w:p>
            <w:pPr>
              <w:adjustRightInd w:val="0"/>
              <w:snapToGrid w:val="0"/>
              <w:rPr>
                <w:rFonts w:hint="default" w:ascii="Times New Roman" w:hAnsi="Times New Roman" w:cs="Times New Roman"/>
                <w:bCs/>
                <w:color w:val="auto"/>
                <w:sz w:val="21"/>
                <w:szCs w:val="21"/>
                <w:highlight w:val="none"/>
                <w:lang w:eastAsia="zh-CN"/>
              </w:rPr>
            </w:pPr>
            <w:r>
              <w:rPr>
                <w:rFonts w:hint="default" w:ascii="Times New Roman" w:hAnsi="Times New Roman" w:cs="Times New Roman"/>
                <w:bCs/>
                <w:color w:val="auto"/>
                <w:sz w:val="21"/>
                <w:szCs w:val="21"/>
                <w:highlight w:val="none"/>
              </w:rPr>
              <w:fldChar w:fldCharType="begin"/>
            </w:r>
            <w:r>
              <w:rPr>
                <w:rFonts w:hint="default" w:ascii="Times New Roman" w:hAnsi="Times New Roman" w:cs="Times New Roman"/>
                <w:bCs/>
                <w:color w:val="auto"/>
                <w:sz w:val="21"/>
                <w:szCs w:val="21"/>
                <w:highlight w:val="none"/>
              </w:rPr>
              <w:instrText xml:space="preserve">=2\*GB3\*MERGEFORMAT</w:instrText>
            </w:r>
            <w:r>
              <w:rPr>
                <w:rFonts w:hint="default" w:ascii="Times New Roman" w:hAnsi="Times New Roman" w:cs="Times New Roman"/>
                <w:bCs/>
                <w:color w:val="auto"/>
                <w:sz w:val="21"/>
                <w:szCs w:val="21"/>
                <w:highlight w:val="none"/>
              </w:rPr>
              <w:fldChar w:fldCharType="separate"/>
            </w:r>
            <w:r>
              <w:rPr>
                <w:rFonts w:hint="default" w:ascii="Times New Roman" w:hAnsi="Times New Roman" w:cs="Times New Roman"/>
                <w:color w:val="auto"/>
                <w:sz w:val="21"/>
                <w:szCs w:val="21"/>
                <w:highlight w:val="none"/>
              </w:rPr>
              <w:t>②</w:t>
            </w:r>
            <w:r>
              <w:rPr>
                <w:rFonts w:hint="default" w:ascii="Times New Roman" w:hAnsi="Times New Roman" w:cs="Times New Roman"/>
                <w:bCs/>
                <w:color w:val="auto"/>
                <w:sz w:val="21"/>
                <w:szCs w:val="21"/>
                <w:highlight w:val="none"/>
              </w:rPr>
              <w:fldChar w:fldCharType="end"/>
            </w:r>
            <w:r>
              <w:rPr>
                <w:rFonts w:hint="default" w:ascii="Times New Roman" w:hAnsi="Times New Roman" w:cs="Times New Roman"/>
                <w:bCs/>
                <w:color w:val="auto"/>
                <w:sz w:val="21"/>
                <w:szCs w:val="21"/>
                <w:highlight w:val="none"/>
                <w:lang w:eastAsia="zh-CN"/>
              </w:rPr>
              <w:t>安装视频监控，对生产废水收集和治理设施运行情况24小时视频录像；</w:t>
            </w:r>
          </w:p>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lang w:eastAsia="zh-CN"/>
              </w:rPr>
              <w:fldChar w:fldCharType="begin"/>
            </w:r>
            <w:r>
              <w:rPr>
                <w:rFonts w:hint="default" w:ascii="Times New Roman" w:hAnsi="Times New Roman" w:cs="Times New Roman"/>
                <w:color w:val="auto"/>
                <w:highlight w:val="none"/>
                <w:lang w:eastAsia="zh-CN"/>
              </w:rPr>
              <w:instrText xml:space="preserve"> = 3 \* GB3 \* MERGEFORMAT </w:instrText>
            </w:r>
            <w:r>
              <w:rPr>
                <w:rFonts w:hint="default" w:ascii="Times New Roman" w:hAnsi="Times New Roman" w:cs="Times New Roman"/>
                <w:color w:val="auto"/>
                <w:highlight w:val="none"/>
                <w:lang w:eastAsia="zh-CN"/>
              </w:rPr>
              <w:fldChar w:fldCharType="separate"/>
            </w:r>
            <w:r>
              <w:rPr>
                <w:rFonts w:hint="default" w:ascii="Times New Roman" w:hAnsi="Times New Roman" w:cs="Times New Roman"/>
                <w:color w:val="auto"/>
                <w:highlight w:val="none"/>
              </w:rPr>
              <w:t>③</w:t>
            </w:r>
            <w:r>
              <w:rPr>
                <w:rFonts w:hint="default" w:ascii="Times New Roman" w:hAnsi="Times New Roman" w:cs="Times New Roman"/>
                <w:color w:val="auto"/>
                <w:highlight w:val="none"/>
                <w:lang w:eastAsia="zh-CN"/>
              </w:rPr>
              <w:fldChar w:fldCharType="end"/>
            </w:r>
            <w:r>
              <w:rPr>
                <w:rFonts w:hint="default" w:ascii="Times New Roman" w:hAnsi="Times New Roman" w:eastAsia="宋体" w:cs="Times New Roman"/>
                <w:b w:val="0"/>
                <w:bCs w:val="0"/>
                <w:color w:val="auto"/>
                <w:kern w:val="2"/>
                <w:sz w:val="21"/>
                <w:szCs w:val="24"/>
                <w:highlight w:val="none"/>
                <w:lang w:val="en-US" w:eastAsia="zh-CN" w:bidi="ar-SA"/>
              </w:rPr>
              <w:t>厂区大门设置自动感应门。</w:t>
            </w:r>
          </w:p>
        </w:tc>
      </w:tr>
    </w:tbl>
    <w:p>
      <w:pPr>
        <w:pStyle w:val="18"/>
        <w:jc w:val="center"/>
        <w:outlineLvl w:val="0"/>
        <w:rPr>
          <w:rFonts w:hint="default" w:ascii="Times New Roman" w:hAnsi="Times New Roman" w:cs="Times New Roman"/>
          <w:snapToGrid w:val="0"/>
          <w:color w:val="auto"/>
          <w:highlight w:val="none"/>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auto"/>
          <w:highlight w:val="none"/>
        </w:rPr>
        <w:br w:type="page"/>
      </w:r>
    </w:p>
    <w:p>
      <w:pPr>
        <w:pStyle w:val="18"/>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六、结论</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31" w:hRule="atLeast"/>
          <w:jc w:val="center"/>
        </w:trPr>
        <w:tc>
          <w:tcPr>
            <w:tcW w:w="5000" w:type="pct"/>
            <w:noWrap w:val="0"/>
            <w:vAlign w:val="top"/>
          </w:tcPr>
          <w:p>
            <w:pPr>
              <w:adjustRightInd w:val="0"/>
              <w:snapToGrid w:val="0"/>
              <w:spacing w:line="360" w:lineRule="auto"/>
              <w:ind w:firstLine="420" w:firstLineChars="20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新乡市百合光电有限公司生产线技术改造项目位于新乡市新乡县新乡经济开发区玉龙路西段，该项目的建设符合国家产业政策及相关规划，符合生态保护红线、资源利用上线、环境质量底线和环境准入负面清单等“三线一单”相关要求；项目采取的环保措施可行，能实现达标排放；各类污染物达标排放，环境保护措施可行。</w:t>
            </w:r>
          </w:p>
          <w:p>
            <w:pPr>
              <w:adjustRightInd w:val="0"/>
              <w:snapToGrid w:val="0"/>
              <w:spacing w:line="360" w:lineRule="auto"/>
              <w:ind w:firstLine="420" w:firstLineChars="20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因此，在建设单位加强项目的环境管理，严格遵守“三同时”等环保制度，严格落实本报告书提出的各项环保措施，确保污染防治设施稳定运行和污染物达标排放前提下，从环境保护角度，建设项目环境影响可行。</w:t>
            </w:r>
          </w:p>
          <w:p>
            <w:pPr>
              <w:spacing w:line="360" w:lineRule="auto"/>
              <w:jc w:val="right"/>
              <w:rPr>
                <w:rFonts w:hint="default" w:ascii="Times New Roman" w:hAnsi="Times New Roman" w:cs="Times New Roman"/>
                <w:color w:val="auto"/>
                <w:sz w:val="24"/>
                <w:highlight w:val="none"/>
              </w:rPr>
            </w:pPr>
          </w:p>
          <w:p>
            <w:pPr>
              <w:spacing w:line="360" w:lineRule="auto"/>
              <w:jc w:val="right"/>
              <w:rPr>
                <w:rFonts w:hint="default" w:ascii="Times New Roman" w:hAnsi="Times New Roman" w:cs="Times New Roman"/>
                <w:color w:val="auto"/>
                <w:sz w:val="24"/>
                <w:highlight w:val="none"/>
              </w:rPr>
            </w:pPr>
          </w:p>
          <w:p>
            <w:pPr>
              <w:spacing w:line="360" w:lineRule="auto"/>
              <w:jc w:val="right"/>
              <w:rPr>
                <w:rFonts w:hint="default" w:ascii="Times New Roman" w:hAnsi="Times New Roman" w:cs="Times New Roman"/>
                <w:color w:val="auto"/>
                <w:sz w:val="24"/>
                <w:highlight w:val="none"/>
              </w:rPr>
            </w:pPr>
          </w:p>
          <w:p>
            <w:pPr>
              <w:spacing w:line="360" w:lineRule="auto"/>
              <w:jc w:val="right"/>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4"/>
                <w:highlight w:val="none"/>
              </w:rPr>
              <w:br w:type="textWrapping"/>
            </w:r>
            <w:r>
              <w:rPr>
                <w:rFonts w:hint="default" w:ascii="Times New Roman" w:hAnsi="Times New Roman" w:cs="Times New Roman"/>
                <w:color w:val="auto"/>
                <w:sz w:val="24"/>
                <w:highlight w:val="none"/>
              </w:rPr>
              <w:br w:type="textWrapping"/>
            </w:r>
          </w:p>
          <w:p>
            <w:pPr>
              <w:spacing w:line="360" w:lineRule="auto"/>
              <w:jc w:val="righ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br w:type="textWrapping"/>
            </w:r>
          </w:p>
        </w:tc>
      </w:tr>
    </w:tbl>
    <w:p>
      <w:pPr>
        <w:rPr>
          <w:rFonts w:hint="default" w:ascii="Times New Roman" w:hAnsi="Times New Roman" w:cs="Times New Roman"/>
          <w:color w:val="auto"/>
          <w:highlight w:val="cya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附表</w:t>
      </w:r>
    </w:p>
    <w:p>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方正小标宋_GBK" w:cs="Times New Roman"/>
          <w:snapToGrid w:val="0"/>
          <w:color w:val="auto"/>
          <w:sz w:val="38"/>
          <w:szCs w:val="38"/>
          <w:highlight w:val="none"/>
        </w:rPr>
      </w:pPr>
      <w:r>
        <w:rPr>
          <w:rFonts w:hint="default" w:ascii="Times New Roman" w:hAnsi="Times New Roman" w:eastAsia="方正小标宋_GBK" w:cs="Times New Roman"/>
          <w:snapToGrid w:val="0"/>
          <w:color w:val="auto"/>
          <w:sz w:val="38"/>
          <w:szCs w:val="38"/>
          <w:highlight w:val="none"/>
        </w:rPr>
        <w:t>建设项目污染物排放量汇总表</w:t>
      </w:r>
    </w:p>
    <w:tbl>
      <w:tblPr>
        <w:tblStyle w:val="22"/>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2096"/>
        <w:gridCol w:w="1442"/>
        <w:gridCol w:w="1442"/>
        <w:gridCol w:w="1442"/>
        <w:gridCol w:w="1442"/>
        <w:gridCol w:w="1442"/>
        <w:gridCol w:w="1442"/>
        <w:gridCol w:w="14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11" w:type="pct"/>
            <w:tcBorders>
              <w:tl2br w:val="single" w:color="auto" w:sz="4" w:space="0"/>
            </w:tcBorders>
            <w:noWrap w:val="0"/>
            <w:tcMar>
              <w:left w:w="28" w:type="dxa"/>
              <w:right w:w="28" w:type="dxa"/>
            </w:tcMar>
            <w:vAlign w:val="center"/>
          </w:tcPr>
          <w:p>
            <w:pPr>
              <w:pStyle w:val="36"/>
              <w:spacing w:beforeLines="0" w:afterLines="0" w:line="240" w:lineRule="auto"/>
              <w:jc w:val="right"/>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项目</w:t>
            </w:r>
          </w:p>
          <w:p>
            <w:pPr>
              <w:pStyle w:val="36"/>
              <w:spacing w:beforeLines="0" w:afterLines="0" w:line="240" w:lineRule="auto"/>
              <w:jc w:val="left"/>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分类</w:t>
            </w:r>
          </w:p>
        </w:tc>
        <w:tc>
          <w:tcPr>
            <w:tcW w:w="788" w:type="pct"/>
            <w:noWrap w:val="0"/>
            <w:tcMar>
              <w:left w:w="28" w:type="dxa"/>
              <w:right w:w="28" w:type="dxa"/>
            </w:tcMar>
            <w:vAlign w:val="center"/>
          </w:tcPr>
          <w:p>
            <w:pPr>
              <w:pStyle w:val="36"/>
              <w:spacing w:beforeLines="0" w:afterLines="0" w:line="240" w:lineRule="auto"/>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污染物名称</w:t>
            </w:r>
          </w:p>
        </w:tc>
        <w:tc>
          <w:tcPr>
            <w:tcW w:w="542" w:type="pct"/>
            <w:noWrap w:val="0"/>
            <w:tcMar>
              <w:left w:w="28" w:type="dxa"/>
              <w:right w:w="28" w:type="dxa"/>
            </w:tcMar>
            <w:vAlign w:val="center"/>
          </w:tcPr>
          <w:p>
            <w:pPr>
              <w:pStyle w:val="36"/>
              <w:spacing w:beforeLines="0" w:afterLines="0" w:line="240" w:lineRule="auto"/>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pPr>
              <w:pStyle w:val="36"/>
              <w:spacing w:beforeLines="0" w:afterLines="0" w:line="240" w:lineRule="auto"/>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=1\*GB3\*MERGEFORMAT</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①</w:t>
            </w:r>
            <w:r>
              <w:rPr>
                <w:rFonts w:hint="default" w:ascii="Times New Roman" w:hAnsi="Times New Roman" w:eastAsia="黑体" w:cs="Times New Roman"/>
                <w:snapToGrid w:val="0"/>
                <w:color w:val="auto"/>
                <w:spacing w:val="-6"/>
                <w:kern w:val="21"/>
                <w:szCs w:val="21"/>
                <w:highlight w:val="none"/>
              </w:rPr>
              <w:fldChar w:fldCharType="end"/>
            </w:r>
          </w:p>
        </w:tc>
        <w:tc>
          <w:tcPr>
            <w:tcW w:w="542" w:type="pct"/>
            <w:noWrap w:val="0"/>
            <w:tcMar>
              <w:left w:w="28" w:type="dxa"/>
              <w:right w:w="28" w:type="dxa"/>
            </w:tcMar>
            <w:vAlign w:val="center"/>
          </w:tcPr>
          <w:p>
            <w:pPr>
              <w:pStyle w:val="36"/>
              <w:spacing w:beforeLines="0" w:afterLines="0" w:line="240" w:lineRule="auto"/>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pPr>
              <w:pStyle w:val="36"/>
              <w:spacing w:beforeLines="0" w:afterLines="0" w:line="240" w:lineRule="auto"/>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许可排放量</w:t>
            </w:r>
          </w:p>
          <w:p>
            <w:pPr>
              <w:pStyle w:val="36"/>
              <w:spacing w:beforeLines="0" w:afterLines="0"/>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=2\*GB3\*MERGEFORMAT</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snapToGrid w:val="0"/>
                <w:color w:val="auto"/>
                <w:spacing w:val="-6"/>
                <w:kern w:val="21"/>
                <w:szCs w:val="21"/>
                <w:highlight w:val="none"/>
              </w:rPr>
              <w:t>②</w:t>
            </w:r>
            <w:r>
              <w:rPr>
                <w:rFonts w:hint="default" w:ascii="Times New Roman" w:hAnsi="Times New Roman" w:eastAsia="黑体" w:cs="Times New Roman"/>
                <w:snapToGrid w:val="0"/>
                <w:color w:val="auto"/>
                <w:spacing w:val="-6"/>
                <w:kern w:val="21"/>
                <w:szCs w:val="21"/>
                <w:highlight w:val="none"/>
              </w:rPr>
              <w:fldChar w:fldCharType="end"/>
            </w:r>
          </w:p>
        </w:tc>
        <w:tc>
          <w:tcPr>
            <w:tcW w:w="542" w:type="pct"/>
            <w:noWrap w:val="0"/>
            <w:tcMar>
              <w:left w:w="28" w:type="dxa"/>
              <w:right w:w="28" w:type="dxa"/>
            </w:tcMar>
            <w:vAlign w:val="center"/>
          </w:tcPr>
          <w:p>
            <w:pPr>
              <w:pStyle w:val="36"/>
              <w:spacing w:beforeLines="0" w:afterLines="0" w:line="240" w:lineRule="auto"/>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在建工程</w:t>
            </w:r>
          </w:p>
          <w:p>
            <w:pPr>
              <w:pStyle w:val="36"/>
              <w:spacing w:beforeLines="0" w:afterLines="0" w:line="240" w:lineRule="auto"/>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=3\*GB3\*MERGEFORMAT</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③</w:t>
            </w:r>
            <w:r>
              <w:rPr>
                <w:rFonts w:hint="default" w:ascii="Times New Roman" w:hAnsi="Times New Roman" w:eastAsia="黑体" w:cs="Times New Roman"/>
                <w:snapToGrid w:val="0"/>
                <w:color w:val="auto"/>
                <w:spacing w:val="-6"/>
                <w:kern w:val="21"/>
                <w:szCs w:val="21"/>
                <w:highlight w:val="none"/>
              </w:rPr>
              <w:fldChar w:fldCharType="end"/>
            </w:r>
          </w:p>
        </w:tc>
        <w:tc>
          <w:tcPr>
            <w:tcW w:w="542" w:type="pct"/>
            <w:noWrap w:val="0"/>
            <w:tcMar>
              <w:left w:w="28" w:type="dxa"/>
              <w:right w:w="28" w:type="dxa"/>
            </w:tcMar>
            <w:vAlign w:val="center"/>
          </w:tcPr>
          <w:p>
            <w:pPr>
              <w:pStyle w:val="36"/>
              <w:spacing w:beforeLines="0" w:afterLines="0" w:line="240" w:lineRule="auto"/>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本项目</w:t>
            </w:r>
          </w:p>
          <w:p>
            <w:pPr>
              <w:pStyle w:val="36"/>
              <w:spacing w:beforeLines="0" w:afterLines="0" w:line="240" w:lineRule="auto"/>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=4\*GB3\*MERGEFORMAT</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④</w:t>
            </w:r>
            <w:r>
              <w:rPr>
                <w:rFonts w:hint="default" w:ascii="Times New Roman" w:hAnsi="Times New Roman" w:eastAsia="黑体" w:cs="Times New Roman"/>
                <w:snapToGrid w:val="0"/>
                <w:color w:val="auto"/>
                <w:spacing w:val="-6"/>
                <w:kern w:val="21"/>
                <w:szCs w:val="21"/>
                <w:highlight w:val="none"/>
              </w:rPr>
              <w:fldChar w:fldCharType="end"/>
            </w:r>
          </w:p>
        </w:tc>
        <w:tc>
          <w:tcPr>
            <w:tcW w:w="542" w:type="pct"/>
            <w:noWrap w:val="0"/>
            <w:tcMar>
              <w:left w:w="28" w:type="dxa"/>
              <w:right w:w="28" w:type="dxa"/>
            </w:tcMar>
            <w:vAlign w:val="center"/>
          </w:tcPr>
          <w:p>
            <w:pPr>
              <w:pStyle w:val="36"/>
              <w:spacing w:beforeLines="0" w:afterLines="0" w:line="240" w:lineRule="auto"/>
              <w:jc w:val="center"/>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以新带老削减量</w:t>
            </w:r>
          </w:p>
          <w:p>
            <w:pPr>
              <w:pStyle w:val="36"/>
              <w:spacing w:beforeLines="0" w:afterLines="0" w:line="240" w:lineRule="auto"/>
              <w:jc w:val="center"/>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（新建项目不填）</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=5\*GB3\*MERGEFORMAT</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⑤</w:t>
            </w:r>
            <w:r>
              <w:rPr>
                <w:rFonts w:hint="default" w:ascii="Times New Roman" w:hAnsi="Times New Roman" w:eastAsia="黑体" w:cs="Times New Roman"/>
                <w:snapToGrid w:val="0"/>
                <w:color w:val="auto"/>
                <w:spacing w:val="-16"/>
                <w:kern w:val="21"/>
                <w:szCs w:val="21"/>
                <w:highlight w:val="none"/>
              </w:rPr>
              <w:fldChar w:fldCharType="end"/>
            </w:r>
          </w:p>
        </w:tc>
        <w:tc>
          <w:tcPr>
            <w:tcW w:w="542" w:type="pct"/>
            <w:noWrap w:val="0"/>
            <w:tcMar>
              <w:left w:w="28" w:type="dxa"/>
              <w:right w:w="28" w:type="dxa"/>
            </w:tcMar>
            <w:vAlign w:val="center"/>
          </w:tcPr>
          <w:p>
            <w:pPr>
              <w:pStyle w:val="36"/>
              <w:spacing w:beforeLines="0" w:afterLines="0" w:line="240" w:lineRule="auto"/>
              <w:jc w:val="center"/>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本项目建成后</w:t>
            </w:r>
          </w:p>
          <w:p>
            <w:pPr>
              <w:pStyle w:val="36"/>
              <w:spacing w:beforeLines="0" w:afterLines="0" w:line="240" w:lineRule="auto"/>
              <w:jc w:val="center"/>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全厂排放量（固体废物产生量）</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=6\*GB3\*MERGEFORMAT</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⑥</w:t>
            </w:r>
            <w:r>
              <w:rPr>
                <w:rFonts w:hint="default" w:ascii="Times New Roman" w:hAnsi="Times New Roman" w:eastAsia="黑体" w:cs="Times New Roman"/>
                <w:snapToGrid w:val="0"/>
                <w:color w:val="auto"/>
                <w:spacing w:val="-16"/>
                <w:kern w:val="21"/>
                <w:szCs w:val="21"/>
                <w:highlight w:val="none"/>
              </w:rPr>
              <w:fldChar w:fldCharType="end"/>
            </w:r>
          </w:p>
        </w:tc>
        <w:tc>
          <w:tcPr>
            <w:tcW w:w="544" w:type="pct"/>
            <w:noWrap w:val="0"/>
            <w:tcMar>
              <w:left w:w="28" w:type="dxa"/>
              <w:right w:w="28" w:type="dxa"/>
            </w:tcMar>
            <w:vAlign w:val="center"/>
          </w:tcPr>
          <w:p>
            <w:pPr>
              <w:pStyle w:val="36"/>
              <w:spacing w:beforeLines="0" w:afterLines="0" w:line="240" w:lineRule="auto"/>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变化量</w:t>
            </w:r>
          </w:p>
          <w:p>
            <w:pPr>
              <w:pStyle w:val="36"/>
              <w:spacing w:beforeLines="0" w:afterLines="0" w:line="240" w:lineRule="auto"/>
              <w:jc w:val="center"/>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=7\*GB3\*MERGEFORMAT</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⑦</w:t>
            </w:r>
            <w:r>
              <w:rPr>
                <w:rFonts w:hint="default" w:ascii="Times New Roman" w:hAnsi="Times New Roman" w:eastAsia="黑体" w:cs="Times New Roman"/>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1" w:type="pct"/>
            <w:vMerge w:val="restart"/>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废水</w:t>
            </w:r>
          </w:p>
        </w:tc>
        <w:tc>
          <w:tcPr>
            <w:tcW w:w="788"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Cs w:val="21"/>
                <w:highlight w:val="none"/>
                <w:lang w:eastAsia="zh-CN"/>
              </w:rPr>
            </w:pPr>
            <w:r>
              <w:rPr>
                <w:rFonts w:hint="default" w:ascii="Times New Roman" w:hAnsi="Times New Roman" w:cs="Times New Roman"/>
                <w:snapToGrid w:val="0"/>
                <w:color w:val="auto"/>
                <w:kern w:val="21"/>
                <w:szCs w:val="21"/>
                <w:highlight w:val="none"/>
                <w:lang w:eastAsia="zh-CN"/>
              </w:rPr>
              <w:t>废水量（</w:t>
            </w:r>
            <w:r>
              <w:rPr>
                <w:rFonts w:hint="default" w:ascii="Times New Roman" w:hAnsi="Times New Roman" w:cs="Times New Roman"/>
                <w:snapToGrid w:val="0"/>
                <w:color w:val="auto"/>
                <w:kern w:val="21"/>
                <w:szCs w:val="21"/>
                <w:highlight w:val="none"/>
                <w:lang w:val="en-US" w:eastAsia="zh-CN"/>
              </w:rPr>
              <w:t>m</w:t>
            </w:r>
            <w:r>
              <w:rPr>
                <w:rFonts w:hint="default" w:ascii="Times New Roman" w:hAnsi="Times New Roman" w:cs="Times New Roman"/>
                <w:snapToGrid w:val="0"/>
                <w:color w:val="auto"/>
                <w:kern w:val="21"/>
                <w:szCs w:val="21"/>
                <w:highlight w:val="none"/>
                <w:vertAlign w:val="superscript"/>
                <w:lang w:val="en-US" w:eastAsia="zh-CN"/>
              </w:rPr>
              <w:t>3</w:t>
            </w:r>
            <w:r>
              <w:rPr>
                <w:rFonts w:hint="default" w:ascii="Times New Roman" w:hAnsi="Times New Roman" w:cs="Times New Roman"/>
                <w:snapToGrid w:val="0"/>
                <w:color w:val="auto"/>
                <w:kern w:val="21"/>
                <w:szCs w:val="21"/>
                <w:highlight w:val="none"/>
                <w:lang w:val="en-US" w:eastAsia="zh-CN"/>
              </w:rPr>
              <w:t>/a</w:t>
            </w:r>
            <w:r>
              <w:rPr>
                <w:rFonts w:hint="default" w:ascii="Times New Roman" w:hAnsi="Times New Roman" w:cs="Times New Roman"/>
                <w:snapToGrid w:val="0"/>
                <w:color w:val="auto"/>
                <w:kern w:val="21"/>
                <w:szCs w:val="21"/>
                <w:highlight w:val="none"/>
                <w:lang w:eastAsia="zh-CN"/>
              </w:rPr>
              <w:t>）</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3159.3105</w:t>
            </w:r>
          </w:p>
        </w:tc>
        <w:tc>
          <w:tcPr>
            <w:tcW w:w="542"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0</w:t>
            </w:r>
          </w:p>
        </w:tc>
        <w:tc>
          <w:tcPr>
            <w:tcW w:w="542"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0</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cyan"/>
                <w:lang w:val="en-US" w:eastAsia="zh-CN"/>
              </w:rPr>
            </w:pPr>
            <w:r>
              <w:rPr>
                <w:rFonts w:hint="eastAsia" w:cs="Times New Roman"/>
                <w:bCs/>
                <w:color w:val="auto"/>
                <w:sz w:val="21"/>
                <w:szCs w:val="21"/>
                <w:highlight w:val="none"/>
                <w:lang w:val="en-US" w:eastAsia="zh-CN"/>
              </w:rPr>
              <w:t>1904.1705</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3159.3105</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cyan"/>
                <w:lang w:val="en-US" w:eastAsia="zh-CN" w:bidi="ar-SA"/>
              </w:rPr>
            </w:pPr>
            <w:r>
              <w:rPr>
                <w:rFonts w:hint="eastAsia" w:cs="Times New Roman"/>
                <w:bCs/>
                <w:color w:val="auto"/>
                <w:sz w:val="21"/>
                <w:szCs w:val="21"/>
                <w:highlight w:val="none"/>
                <w:lang w:val="en-US" w:eastAsia="zh-CN"/>
              </w:rPr>
              <w:t>1904.1705</w:t>
            </w:r>
          </w:p>
        </w:tc>
        <w:tc>
          <w:tcPr>
            <w:tcW w:w="544" w:type="pct"/>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cyan"/>
                <w:lang w:val="en-US" w:eastAsia="zh-CN"/>
              </w:rPr>
            </w:pPr>
            <w:r>
              <w:rPr>
                <w:rFonts w:hint="eastAsia" w:cs="Times New Roman"/>
                <w:bCs/>
                <w:color w:val="auto"/>
                <w:sz w:val="21"/>
                <w:szCs w:val="21"/>
                <w:highlight w:val="none"/>
                <w:lang w:val="en-US" w:eastAsia="zh-CN"/>
              </w:rPr>
              <w:t>+1904.1705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1" w:type="pct"/>
            <w:vMerge w:val="continue"/>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rPr>
            </w:pPr>
          </w:p>
        </w:tc>
        <w:tc>
          <w:tcPr>
            <w:tcW w:w="7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COD（t/a）</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0.1264 </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0.0762 </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0.1264 </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0.0762 </w:t>
            </w:r>
          </w:p>
        </w:tc>
        <w:tc>
          <w:tcPr>
            <w:tcW w:w="54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+0.0762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1" w:type="pct"/>
            <w:vMerge w:val="continue"/>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rPr>
            </w:pPr>
          </w:p>
        </w:tc>
        <w:tc>
          <w:tcPr>
            <w:tcW w:w="7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0.0316 </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4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0.019</w:t>
            </w:r>
          </w:p>
        </w:tc>
        <w:tc>
          <w:tcPr>
            <w:tcW w:w="54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0.0316 </w:t>
            </w:r>
          </w:p>
        </w:tc>
        <w:tc>
          <w:tcPr>
            <w:tcW w:w="54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0.019</w:t>
            </w:r>
          </w:p>
        </w:tc>
        <w:tc>
          <w:tcPr>
            <w:tcW w:w="54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+0.019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1" w:type="pct"/>
            <w:vMerge w:val="continue"/>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rPr>
            </w:pPr>
          </w:p>
        </w:tc>
        <w:tc>
          <w:tcPr>
            <w:tcW w:w="7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SS（t/a）</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0.0316 </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4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0.019</w:t>
            </w:r>
          </w:p>
        </w:tc>
        <w:tc>
          <w:tcPr>
            <w:tcW w:w="54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0.0316 </w:t>
            </w:r>
          </w:p>
        </w:tc>
        <w:tc>
          <w:tcPr>
            <w:tcW w:w="54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0.019 </w:t>
            </w:r>
          </w:p>
        </w:tc>
        <w:tc>
          <w:tcPr>
            <w:tcW w:w="54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+0.019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1" w:type="pct"/>
            <w:vMerge w:val="continue"/>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rPr>
            </w:pPr>
          </w:p>
        </w:tc>
        <w:tc>
          <w:tcPr>
            <w:tcW w:w="7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-N（t/a）</w:t>
            </w:r>
          </w:p>
        </w:tc>
        <w:tc>
          <w:tcPr>
            <w:tcW w:w="54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0.0063 </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4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0.0038 </w:t>
            </w:r>
          </w:p>
        </w:tc>
        <w:tc>
          <w:tcPr>
            <w:tcW w:w="54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0.0063 </w:t>
            </w:r>
          </w:p>
        </w:tc>
        <w:tc>
          <w:tcPr>
            <w:tcW w:w="54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0.0038 </w:t>
            </w:r>
          </w:p>
        </w:tc>
        <w:tc>
          <w:tcPr>
            <w:tcW w:w="54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+0.0038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1" w:type="pct"/>
            <w:vMerge w:val="continue"/>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rPr>
            </w:pPr>
          </w:p>
        </w:tc>
        <w:tc>
          <w:tcPr>
            <w:tcW w:w="7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TP</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0.0013 </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4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0.0008 </w:t>
            </w:r>
          </w:p>
        </w:tc>
        <w:tc>
          <w:tcPr>
            <w:tcW w:w="54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0.0013 </w:t>
            </w:r>
          </w:p>
        </w:tc>
        <w:tc>
          <w:tcPr>
            <w:tcW w:w="54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0.0008 </w:t>
            </w:r>
          </w:p>
        </w:tc>
        <w:tc>
          <w:tcPr>
            <w:tcW w:w="54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+0.0008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1" w:type="pct"/>
            <w:vMerge w:val="continue"/>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rPr>
            </w:pPr>
          </w:p>
        </w:tc>
        <w:tc>
          <w:tcPr>
            <w:tcW w:w="7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LAS</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0.0009 </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0.0006 </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0.0009 </w:t>
            </w:r>
          </w:p>
        </w:tc>
        <w:tc>
          <w:tcPr>
            <w:tcW w:w="54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0.0006 </w:t>
            </w:r>
          </w:p>
        </w:tc>
        <w:tc>
          <w:tcPr>
            <w:tcW w:w="54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+0.0006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11" w:type="pct"/>
            <w:vMerge w:val="restart"/>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一般工业</w:t>
            </w:r>
          </w:p>
          <w:p>
            <w:pPr>
              <w:pStyle w:val="36"/>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固体废物</w:t>
            </w:r>
          </w:p>
        </w:tc>
        <w:tc>
          <w:tcPr>
            <w:tcW w:w="788"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废包装</w:t>
            </w:r>
            <w:r>
              <w:rPr>
                <w:rFonts w:hint="default" w:ascii="Times New Roman" w:hAnsi="Times New Roman" w:cs="Times New Roman"/>
                <w:snapToGrid w:val="0"/>
                <w:color w:val="auto"/>
                <w:kern w:val="21"/>
                <w:szCs w:val="21"/>
                <w:highlight w:val="none"/>
                <w:lang w:eastAsia="zh-CN"/>
              </w:rPr>
              <w:t>（</w:t>
            </w:r>
            <w:r>
              <w:rPr>
                <w:rFonts w:hint="default" w:ascii="Times New Roman" w:hAnsi="Times New Roman" w:cs="Times New Roman"/>
                <w:snapToGrid w:val="0"/>
                <w:color w:val="auto"/>
                <w:kern w:val="21"/>
                <w:szCs w:val="21"/>
                <w:highlight w:val="none"/>
                <w:lang w:val="en-US" w:eastAsia="zh-CN"/>
              </w:rPr>
              <w:t>t/a</w:t>
            </w:r>
            <w:r>
              <w:rPr>
                <w:rFonts w:hint="default" w:ascii="Times New Roman" w:hAnsi="Times New Roman" w:cs="Times New Roman"/>
                <w:snapToGrid w:val="0"/>
                <w:color w:val="auto"/>
                <w:kern w:val="21"/>
                <w:szCs w:val="21"/>
                <w:highlight w:val="none"/>
                <w:lang w:eastAsia="zh-CN"/>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0.277</w:t>
            </w:r>
          </w:p>
        </w:tc>
        <w:tc>
          <w:tcPr>
            <w:tcW w:w="542" w:type="pct"/>
            <w:noWrap w:val="0"/>
            <w:vAlign w:val="center"/>
          </w:tcPr>
          <w:p>
            <w:pPr>
              <w:pStyle w:val="36"/>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0</w:t>
            </w:r>
          </w:p>
        </w:tc>
        <w:tc>
          <w:tcPr>
            <w:tcW w:w="542" w:type="pct"/>
            <w:noWrap w:val="0"/>
            <w:vAlign w:val="center"/>
          </w:tcPr>
          <w:p>
            <w:pPr>
              <w:pStyle w:val="36"/>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0</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0.1385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0.277</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0.1385</w:t>
            </w:r>
          </w:p>
        </w:tc>
        <w:tc>
          <w:tcPr>
            <w:tcW w:w="544" w:type="pct"/>
            <w:noWrap w:val="0"/>
            <w:vAlign w:val="center"/>
          </w:tcPr>
          <w:p>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-0.1385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11" w:type="pct"/>
            <w:vMerge w:val="continue"/>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p>
        </w:tc>
        <w:tc>
          <w:tcPr>
            <w:tcW w:w="788"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废边角料</w:t>
            </w:r>
            <w:r>
              <w:rPr>
                <w:rFonts w:hint="default" w:ascii="Times New Roman" w:hAnsi="Times New Roman" w:cs="Times New Roman"/>
                <w:snapToGrid w:val="0"/>
                <w:color w:val="auto"/>
                <w:kern w:val="21"/>
                <w:szCs w:val="21"/>
                <w:highlight w:val="none"/>
                <w:lang w:eastAsia="zh-CN"/>
              </w:rPr>
              <w:t>（</w:t>
            </w:r>
            <w:r>
              <w:rPr>
                <w:rFonts w:hint="default" w:ascii="Times New Roman" w:hAnsi="Times New Roman" w:cs="Times New Roman"/>
                <w:snapToGrid w:val="0"/>
                <w:color w:val="auto"/>
                <w:kern w:val="21"/>
                <w:szCs w:val="21"/>
                <w:highlight w:val="none"/>
                <w:lang w:val="en-US" w:eastAsia="zh-CN"/>
              </w:rPr>
              <w:t>t/a</w:t>
            </w:r>
            <w:r>
              <w:rPr>
                <w:rFonts w:hint="default" w:ascii="Times New Roman" w:hAnsi="Times New Roman" w:cs="Times New Roman"/>
                <w:snapToGrid w:val="0"/>
                <w:color w:val="auto"/>
                <w:kern w:val="21"/>
                <w:szCs w:val="21"/>
                <w:highlight w:val="none"/>
                <w:lang w:eastAsia="zh-CN"/>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0.2</w:t>
            </w:r>
          </w:p>
        </w:tc>
        <w:tc>
          <w:tcPr>
            <w:tcW w:w="542"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0</w:t>
            </w:r>
          </w:p>
        </w:tc>
        <w:tc>
          <w:tcPr>
            <w:tcW w:w="542"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0</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0.1</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0.2</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0.1</w:t>
            </w:r>
          </w:p>
        </w:tc>
        <w:tc>
          <w:tcPr>
            <w:tcW w:w="544" w:type="pct"/>
            <w:noWrap w:val="0"/>
            <w:vAlign w:val="center"/>
          </w:tcPr>
          <w:p>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11" w:type="pct"/>
            <w:vMerge w:val="continue"/>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p>
        </w:tc>
        <w:tc>
          <w:tcPr>
            <w:tcW w:w="788"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不合格品</w:t>
            </w:r>
            <w:r>
              <w:rPr>
                <w:rFonts w:hint="default" w:ascii="Times New Roman" w:hAnsi="Times New Roman" w:cs="Times New Roman"/>
                <w:snapToGrid w:val="0"/>
                <w:color w:val="auto"/>
                <w:kern w:val="21"/>
                <w:szCs w:val="21"/>
                <w:highlight w:val="none"/>
                <w:lang w:eastAsia="zh-CN"/>
              </w:rPr>
              <w:t>（</w:t>
            </w:r>
            <w:r>
              <w:rPr>
                <w:rFonts w:hint="default" w:ascii="Times New Roman" w:hAnsi="Times New Roman" w:cs="Times New Roman"/>
                <w:snapToGrid w:val="0"/>
                <w:color w:val="auto"/>
                <w:kern w:val="21"/>
                <w:szCs w:val="21"/>
                <w:highlight w:val="none"/>
                <w:lang w:val="en-US" w:eastAsia="zh-CN"/>
              </w:rPr>
              <w:t>t/a</w:t>
            </w:r>
            <w:r>
              <w:rPr>
                <w:rFonts w:hint="default" w:ascii="Times New Roman" w:hAnsi="Times New Roman" w:cs="Times New Roman"/>
                <w:snapToGrid w:val="0"/>
                <w:color w:val="auto"/>
                <w:kern w:val="21"/>
                <w:szCs w:val="21"/>
                <w:highlight w:val="none"/>
                <w:lang w:eastAsia="zh-CN"/>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0.5</w:t>
            </w:r>
          </w:p>
        </w:tc>
        <w:tc>
          <w:tcPr>
            <w:tcW w:w="542" w:type="pct"/>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542" w:type="pct"/>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0.25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0.25</w:t>
            </w:r>
          </w:p>
        </w:tc>
        <w:tc>
          <w:tcPr>
            <w:tcW w:w="544" w:type="pct"/>
            <w:noWrap w:val="0"/>
            <w:vAlign w:val="center"/>
          </w:tcPr>
          <w:p>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11" w:type="pct"/>
            <w:vMerge w:val="continue"/>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p>
        </w:tc>
        <w:tc>
          <w:tcPr>
            <w:tcW w:w="788"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废石英砂、反渗透膜</w:t>
            </w:r>
            <w:r>
              <w:rPr>
                <w:rFonts w:hint="default" w:ascii="Times New Roman" w:hAnsi="Times New Roman" w:cs="Times New Roman"/>
                <w:snapToGrid w:val="0"/>
                <w:color w:val="auto"/>
                <w:kern w:val="21"/>
                <w:szCs w:val="21"/>
                <w:highlight w:val="none"/>
                <w:lang w:eastAsia="zh-CN"/>
              </w:rPr>
              <w:t>（</w:t>
            </w:r>
            <w:r>
              <w:rPr>
                <w:rFonts w:hint="default" w:ascii="Times New Roman" w:hAnsi="Times New Roman" w:cs="Times New Roman"/>
                <w:snapToGrid w:val="0"/>
                <w:color w:val="auto"/>
                <w:kern w:val="21"/>
                <w:szCs w:val="21"/>
                <w:highlight w:val="none"/>
                <w:lang w:val="en-US" w:eastAsia="zh-CN"/>
              </w:rPr>
              <w:t>t/a</w:t>
            </w:r>
            <w:r>
              <w:rPr>
                <w:rFonts w:hint="default" w:ascii="Times New Roman" w:hAnsi="Times New Roman" w:cs="Times New Roman"/>
                <w:snapToGrid w:val="0"/>
                <w:color w:val="auto"/>
                <w:kern w:val="21"/>
                <w:szCs w:val="21"/>
                <w:highlight w:val="none"/>
                <w:lang w:eastAsia="zh-CN"/>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0.045</w:t>
            </w:r>
          </w:p>
        </w:tc>
        <w:tc>
          <w:tcPr>
            <w:tcW w:w="542" w:type="pct"/>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542" w:type="pct"/>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0.045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0.045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0.045</w:t>
            </w:r>
          </w:p>
        </w:tc>
        <w:tc>
          <w:tcPr>
            <w:tcW w:w="544" w:type="pct"/>
            <w:noWrap w:val="0"/>
            <w:vAlign w:val="center"/>
          </w:tcPr>
          <w:p>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11" w:type="pct"/>
            <w:vMerge w:val="continue"/>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p>
        </w:tc>
        <w:tc>
          <w:tcPr>
            <w:tcW w:w="788"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废无尘布</w:t>
            </w:r>
            <w:r>
              <w:rPr>
                <w:rFonts w:hint="default" w:ascii="Times New Roman" w:hAnsi="Times New Roman" w:cs="Times New Roman"/>
                <w:snapToGrid w:val="0"/>
                <w:color w:val="auto"/>
                <w:kern w:val="21"/>
                <w:szCs w:val="21"/>
                <w:highlight w:val="none"/>
                <w:lang w:eastAsia="zh-CN"/>
              </w:rPr>
              <w:t>（</w:t>
            </w:r>
            <w:r>
              <w:rPr>
                <w:rFonts w:hint="default" w:ascii="Times New Roman" w:hAnsi="Times New Roman" w:cs="Times New Roman"/>
                <w:snapToGrid w:val="0"/>
                <w:color w:val="auto"/>
                <w:kern w:val="21"/>
                <w:szCs w:val="21"/>
                <w:highlight w:val="none"/>
                <w:lang w:val="en-US" w:eastAsia="zh-CN"/>
              </w:rPr>
              <w:t>t/a</w:t>
            </w:r>
            <w:r>
              <w:rPr>
                <w:rFonts w:hint="default" w:ascii="Times New Roman" w:hAnsi="Times New Roman" w:cs="Times New Roman"/>
                <w:snapToGrid w:val="0"/>
                <w:color w:val="auto"/>
                <w:kern w:val="21"/>
                <w:szCs w:val="21"/>
                <w:highlight w:val="none"/>
                <w:lang w:eastAsia="zh-CN"/>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0.044</w:t>
            </w:r>
          </w:p>
        </w:tc>
        <w:tc>
          <w:tcPr>
            <w:tcW w:w="542"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542"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0.022</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0.044</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0.022</w:t>
            </w:r>
          </w:p>
        </w:tc>
        <w:tc>
          <w:tcPr>
            <w:tcW w:w="544" w:type="pct"/>
            <w:noWrap w:val="0"/>
            <w:vAlign w:val="center"/>
          </w:tcPr>
          <w:p>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11" w:type="pct"/>
            <w:vMerge w:val="continue"/>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cyan"/>
                <w:lang w:val="en-US" w:eastAsia="zh-CN"/>
              </w:rPr>
            </w:pPr>
          </w:p>
        </w:tc>
        <w:tc>
          <w:tcPr>
            <w:tcW w:w="788"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沉渣</w:t>
            </w:r>
            <w:r>
              <w:rPr>
                <w:rFonts w:hint="default" w:ascii="Times New Roman" w:hAnsi="Times New Roman" w:cs="Times New Roman"/>
                <w:snapToGrid w:val="0"/>
                <w:color w:val="auto"/>
                <w:kern w:val="21"/>
                <w:szCs w:val="21"/>
                <w:highlight w:val="none"/>
                <w:lang w:eastAsia="zh-CN"/>
              </w:rPr>
              <w:t>（</w:t>
            </w:r>
            <w:r>
              <w:rPr>
                <w:rFonts w:hint="default" w:ascii="Times New Roman" w:hAnsi="Times New Roman" w:cs="Times New Roman"/>
                <w:snapToGrid w:val="0"/>
                <w:color w:val="auto"/>
                <w:kern w:val="21"/>
                <w:szCs w:val="21"/>
                <w:highlight w:val="none"/>
                <w:lang w:val="en-US" w:eastAsia="zh-CN"/>
              </w:rPr>
              <w:t>t/a</w:t>
            </w:r>
            <w:r>
              <w:rPr>
                <w:rFonts w:hint="default" w:ascii="Times New Roman" w:hAnsi="Times New Roman" w:cs="Times New Roman"/>
                <w:snapToGrid w:val="0"/>
                <w:color w:val="auto"/>
                <w:kern w:val="21"/>
                <w:szCs w:val="21"/>
                <w:highlight w:val="none"/>
                <w:lang w:eastAsia="zh-CN"/>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kern w:val="2"/>
                <w:sz w:val="21"/>
                <w:szCs w:val="21"/>
                <w:highlight w:val="none"/>
                <w:u w:val="none"/>
                <w:lang w:val="en-US" w:eastAsia="zh-CN" w:bidi="ar-SA"/>
              </w:rPr>
              <w:t>0.03</w:t>
            </w:r>
          </w:p>
        </w:tc>
        <w:tc>
          <w:tcPr>
            <w:tcW w:w="542"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542"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kern w:val="2"/>
                <w:sz w:val="21"/>
                <w:szCs w:val="21"/>
                <w:highlight w:val="none"/>
                <w:u w:val="none"/>
                <w:lang w:val="en-US" w:eastAsia="zh-CN" w:bidi="ar-SA"/>
              </w:rPr>
              <w:t>0.015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kern w:val="2"/>
                <w:sz w:val="21"/>
                <w:szCs w:val="21"/>
                <w:highlight w:val="none"/>
                <w:u w:val="none"/>
                <w:lang w:val="en-US" w:eastAsia="zh-CN" w:bidi="ar-SA"/>
              </w:rPr>
              <w:t>0.03</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kern w:val="2"/>
                <w:sz w:val="21"/>
                <w:szCs w:val="21"/>
                <w:highlight w:val="none"/>
                <w:u w:val="none"/>
                <w:lang w:val="en-US" w:eastAsia="zh-CN" w:bidi="ar-SA"/>
              </w:rPr>
              <w:t>0.015</w:t>
            </w:r>
          </w:p>
        </w:tc>
        <w:tc>
          <w:tcPr>
            <w:tcW w:w="544" w:type="pct"/>
            <w:noWrap w:val="0"/>
            <w:vAlign w:val="center"/>
          </w:tcPr>
          <w:p>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11" w:type="pct"/>
            <w:vMerge w:val="continue"/>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cyan"/>
                <w:lang w:val="en-US" w:eastAsia="zh-CN"/>
              </w:rPr>
            </w:pPr>
          </w:p>
        </w:tc>
        <w:tc>
          <w:tcPr>
            <w:tcW w:w="788"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废金刚砂</w:t>
            </w:r>
            <w:r>
              <w:rPr>
                <w:rFonts w:hint="default" w:ascii="Times New Roman" w:hAnsi="Times New Roman" w:cs="Times New Roman"/>
                <w:snapToGrid w:val="0"/>
                <w:color w:val="auto"/>
                <w:kern w:val="21"/>
                <w:szCs w:val="21"/>
                <w:highlight w:val="none"/>
                <w:lang w:eastAsia="zh-CN"/>
              </w:rPr>
              <w:t>（</w:t>
            </w:r>
            <w:r>
              <w:rPr>
                <w:rFonts w:hint="default" w:ascii="Times New Roman" w:hAnsi="Times New Roman" w:cs="Times New Roman"/>
                <w:snapToGrid w:val="0"/>
                <w:color w:val="auto"/>
                <w:kern w:val="21"/>
                <w:szCs w:val="21"/>
                <w:highlight w:val="none"/>
                <w:lang w:val="en-US" w:eastAsia="zh-CN"/>
              </w:rPr>
              <w:t>t/a</w:t>
            </w:r>
            <w:r>
              <w:rPr>
                <w:rFonts w:hint="default" w:ascii="Times New Roman" w:hAnsi="Times New Roman" w:cs="Times New Roman"/>
                <w:snapToGrid w:val="0"/>
                <w:color w:val="auto"/>
                <w:kern w:val="21"/>
                <w:szCs w:val="21"/>
                <w:highlight w:val="none"/>
                <w:lang w:eastAsia="zh-CN"/>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eastAsia" w:cs="Times New Roman" w:eastAsiaTheme="minorEastAsia"/>
                <w:b w:val="0"/>
                <w:bCs w:val="0"/>
                <w:color w:val="auto"/>
                <w:kern w:val="2"/>
                <w:sz w:val="21"/>
                <w:szCs w:val="21"/>
                <w:highlight w:val="none"/>
                <w:u w:val="none"/>
                <w:lang w:val="en-US" w:eastAsia="zh-CN" w:bidi="ar-SA"/>
              </w:rPr>
              <w:t>0</w:t>
            </w:r>
          </w:p>
        </w:tc>
        <w:tc>
          <w:tcPr>
            <w:tcW w:w="542" w:type="pct"/>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w:t>
            </w:r>
          </w:p>
        </w:tc>
        <w:tc>
          <w:tcPr>
            <w:tcW w:w="542" w:type="pct"/>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eastAsia" w:cs="Times New Roman" w:eastAsiaTheme="minorEastAsia"/>
                <w:b w:val="0"/>
                <w:bCs w:val="0"/>
                <w:color w:val="auto"/>
                <w:kern w:val="2"/>
                <w:sz w:val="21"/>
                <w:szCs w:val="21"/>
                <w:highlight w:val="none"/>
                <w:u w:val="none"/>
                <w:lang w:val="en-US" w:eastAsia="zh-CN" w:bidi="ar-SA"/>
              </w:rPr>
              <w:t>0.06</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eastAsia" w:cs="Times New Roman" w:eastAsiaTheme="minorEastAsia"/>
                <w:b w:val="0"/>
                <w:bCs w:val="0"/>
                <w:color w:val="auto"/>
                <w:kern w:val="2"/>
                <w:sz w:val="21"/>
                <w:szCs w:val="21"/>
                <w:highlight w:val="none"/>
                <w:u w:val="none"/>
                <w:lang w:val="en-US" w:eastAsia="zh-CN" w:bidi="ar-SA"/>
              </w:rPr>
              <w:t>0</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eastAsia" w:cs="Times New Roman" w:eastAsiaTheme="minorEastAsia"/>
                <w:b w:val="0"/>
                <w:bCs w:val="0"/>
                <w:color w:val="auto"/>
                <w:kern w:val="2"/>
                <w:sz w:val="21"/>
                <w:szCs w:val="21"/>
                <w:highlight w:val="none"/>
                <w:u w:val="none"/>
                <w:lang w:val="en-US" w:eastAsia="zh-CN" w:bidi="ar-SA"/>
              </w:rPr>
              <w:t>0.06</w:t>
            </w:r>
          </w:p>
        </w:tc>
        <w:tc>
          <w:tcPr>
            <w:tcW w:w="54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11" w:type="pct"/>
            <w:vMerge w:val="continue"/>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cyan"/>
                <w:lang w:val="en-US" w:eastAsia="zh-CN"/>
              </w:rPr>
            </w:pPr>
          </w:p>
        </w:tc>
        <w:tc>
          <w:tcPr>
            <w:tcW w:w="788"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生活垃圾</w:t>
            </w:r>
            <w:r>
              <w:rPr>
                <w:rFonts w:hint="default" w:ascii="Times New Roman" w:hAnsi="Times New Roman" w:cs="Times New Roman"/>
                <w:snapToGrid w:val="0"/>
                <w:color w:val="auto"/>
                <w:kern w:val="21"/>
                <w:szCs w:val="21"/>
                <w:highlight w:val="none"/>
                <w:lang w:eastAsia="zh-CN"/>
              </w:rPr>
              <w:t>（</w:t>
            </w:r>
            <w:r>
              <w:rPr>
                <w:rFonts w:hint="default" w:ascii="Times New Roman" w:hAnsi="Times New Roman" w:cs="Times New Roman"/>
                <w:snapToGrid w:val="0"/>
                <w:color w:val="auto"/>
                <w:kern w:val="21"/>
                <w:szCs w:val="21"/>
                <w:highlight w:val="none"/>
                <w:lang w:val="en-US" w:eastAsia="zh-CN"/>
              </w:rPr>
              <w:t>t/a</w:t>
            </w:r>
            <w:r>
              <w:rPr>
                <w:rFonts w:hint="default" w:ascii="Times New Roman" w:hAnsi="Times New Roman" w:cs="Times New Roman"/>
                <w:snapToGrid w:val="0"/>
                <w:color w:val="auto"/>
                <w:kern w:val="21"/>
                <w:szCs w:val="21"/>
                <w:highlight w:val="none"/>
                <w:lang w:eastAsia="zh-CN"/>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2.85</w:t>
            </w:r>
          </w:p>
        </w:tc>
        <w:tc>
          <w:tcPr>
            <w:tcW w:w="542"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542" w:type="pct"/>
            <w:noWrap w:val="0"/>
            <w:vAlign w:val="center"/>
          </w:tcPr>
          <w:p>
            <w:pPr>
              <w:pStyle w:val="36"/>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Cs w:val="21"/>
                <w:highlight w:val="none"/>
                <w:lang w:val="en-US" w:eastAsia="zh-CN"/>
              </w:rPr>
              <w:t>0</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2.85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2.85</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2.85</w:t>
            </w:r>
          </w:p>
        </w:tc>
        <w:tc>
          <w:tcPr>
            <w:tcW w:w="544" w:type="pct"/>
            <w:noWrap w:val="0"/>
            <w:vAlign w:val="center"/>
          </w:tcPr>
          <w:p>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11" w:type="pct"/>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危险固废</w:t>
            </w:r>
          </w:p>
        </w:tc>
        <w:tc>
          <w:tcPr>
            <w:tcW w:w="788"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废润滑油（</w:t>
            </w:r>
            <w:r>
              <w:rPr>
                <w:rFonts w:hint="default" w:ascii="Times New Roman" w:hAnsi="Times New Roman" w:cs="Times New Roman"/>
                <w:color w:val="auto"/>
                <w:sz w:val="21"/>
                <w:szCs w:val="21"/>
                <w:highlight w:val="none"/>
                <w:lang w:val="en-US" w:eastAsia="zh-CN"/>
              </w:rPr>
              <w:t>t/a</w:t>
            </w:r>
            <w:r>
              <w:rPr>
                <w:rFonts w:hint="default" w:ascii="Times New Roman" w:hAnsi="Times New Roman" w:cs="Times New Roman"/>
                <w:color w:val="auto"/>
                <w:sz w:val="21"/>
                <w:szCs w:val="21"/>
                <w:highlight w:val="none"/>
                <w:lang w:eastAsia="zh-CN"/>
              </w:rPr>
              <w:t>）</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0.0</w:t>
            </w:r>
            <w:r>
              <w:rPr>
                <w:rFonts w:hint="eastAsia" w:cs="Times New Roman" w:eastAsiaTheme="minorEastAsia"/>
                <w:b w:val="0"/>
                <w:bCs w:val="0"/>
                <w:color w:val="auto"/>
                <w:sz w:val="21"/>
                <w:szCs w:val="21"/>
                <w:highlight w:val="none"/>
                <w:u w:val="none"/>
                <w:lang w:val="en-US" w:eastAsia="zh-CN"/>
              </w:rPr>
              <w:t>1</w:t>
            </w:r>
          </w:p>
        </w:tc>
        <w:tc>
          <w:tcPr>
            <w:tcW w:w="542" w:type="pct"/>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542" w:type="pct"/>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kern w:val="2"/>
                <w:sz w:val="21"/>
                <w:szCs w:val="21"/>
                <w:highlight w:val="none"/>
                <w:u w:val="none"/>
                <w:lang w:val="en-US" w:eastAsia="zh-CN" w:bidi="ar-SA"/>
              </w:rPr>
            </w:pPr>
            <w:r>
              <w:rPr>
                <w:rFonts w:hint="default" w:ascii="Times New Roman" w:hAnsi="Times New Roman" w:cs="Times New Roman" w:eastAsiaTheme="minorEastAsia"/>
                <w:b w:val="0"/>
                <w:bCs w:val="0"/>
                <w:color w:val="auto"/>
                <w:sz w:val="21"/>
                <w:szCs w:val="21"/>
                <w:highlight w:val="none"/>
                <w:u w:val="none"/>
                <w:lang w:val="en-US" w:eastAsia="zh-CN"/>
              </w:rPr>
              <w:t>0.0</w:t>
            </w:r>
            <w:r>
              <w:rPr>
                <w:rFonts w:hint="eastAsia" w:cs="Times New Roman" w:eastAsiaTheme="minorEastAsia"/>
                <w:b w:val="0"/>
                <w:bCs w:val="0"/>
                <w:color w:val="auto"/>
                <w:sz w:val="21"/>
                <w:szCs w:val="21"/>
                <w:highlight w:val="none"/>
                <w:u w:val="none"/>
                <w:lang w:val="en-US" w:eastAsia="zh-CN"/>
              </w:rPr>
              <w:t>4</w:t>
            </w:r>
          </w:p>
        </w:tc>
        <w:tc>
          <w:tcPr>
            <w:tcW w:w="542" w:type="pct"/>
            <w:noWrap w:val="0"/>
            <w:vAlign w:val="center"/>
          </w:tcPr>
          <w:p>
            <w:pPr>
              <w:pStyle w:val="36"/>
              <w:spacing w:beforeLines="0" w:afterLines="0" w:line="240" w:lineRule="auto"/>
              <w:jc w:val="center"/>
              <w:rPr>
                <w:rFonts w:hint="default" w:ascii="Times New Roman" w:hAns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w:t>
            </w:r>
          </w:p>
        </w:tc>
        <w:tc>
          <w:tcPr>
            <w:tcW w:w="54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auto"/>
                <w:sz w:val="21"/>
                <w:szCs w:val="21"/>
                <w:highlight w:val="none"/>
                <w:u w:val="none"/>
                <w:lang w:val="en-US" w:eastAsia="zh-CN"/>
              </w:rPr>
            </w:pPr>
            <w:r>
              <w:rPr>
                <w:rFonts w:hint="default" w:ascii="Times New Roman" w:hAnsi="Times New Roman" w:cs="Times New Roman" w:eastAsiaTheme="minorEastAsia"/>
                <w:b w:val="0"/>
                <w:bCs w:val="0"/>
                <w:color w:val="auto"/>
                <w:sz w:val="21"/>
                <w:szCs w:val="21"/>
                <w:highlight w:val="none"/>
                <w:u w:val="none"/>
                <w:lang w:val="en-US" w:eastAsia="zh-CN"/>
              </w:rPr>
              <w:t>0.05</w:t>
            </w:r>
          </w:p>
        </w:tc>
        <w:tc>
          <w:tcPr>
            <w:tcW w:w="544"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+0.0</w:t>
            </w:r>
            <w:r>
              <w:rPr>
                <w:rFonts w:hint="eastAsia" w:cs="Times New Roman"/>
                <w:snapToGrid w:val="0"/>
                <w:color w:val="auto"/>
                <w:kern w:val="21"/>
                <w:szCs w:val="21"/>
                <w:highlight w:val="none"/>
                <w:lang w:val="en-US" w:eastAsia="zh-CN"/>
              </w:rPr>
              <w:t>4</w:t>
            </w:r>
          </w:p>
        </w:tc>
      </w:tr>
    </w:tbl>
    <w:p>
      <w:pPr>
        <w:pStyle w:val="36"/>
        <w:spacing w:before="192" w:beforeLines="80" w:after="24"/>
        <w:jc w:val="left"/>
        <w:rPr>
          <w:rFonts w:hint="default" w:ascii="Times New Roman" w:hAnsi="Times New Roman" w:cs="Times New Roman"/>
          <w:snapToGrid w:val="0"/>
          <w:color w:val="auto"/>
          <w:spacing w:val="-6"/>
          <w:kern w:val="21"/>
          <w:szCs w:val="21"/>
          <w:highlight w:val="none"/>
        </w:rPr>
        <w:sectPr>
          <w:footerReference r:id="rId6" w:type="default"/>
          <w:pgSz w:w="16838" w:h="11906" w:orient="landscape"/>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=6\*GB3\*MERGEFORMAT</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=1\*GB3\*MERGEFORMAT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=3\*GB3\*MERGEFORMAT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=4\*GB3\*MERGEFORMAT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=5\*GB3\*MERGEFORMAT</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=7\*GB3\*MERGEFORMAT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=6\*GB3\*MERGEFORMAT</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=1\*GB3\*MERGEFORMAT</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pPr>
        <w:rPr>
          <w:rFonts w:hint="eastAsia" w:eastAsia="宋体"/>
          <w:lang w:eastAsia="zh-CN"/>
        </w:rPr>
        <w:sectPr>
          <w:footerReference r:id="rId7" w:type="default"/>
          <w:pgSz w:w="11906" w:h="16838"/>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lang w:eastAsia="zh-CN"/>
        </w:rPr>
        <w:drawing>
          <wp:anchor distT="0" distB="0" distL="114300" distR="114300" simplePos="0" relativeHeight="251662336" behindDoc="0" locked="0" layoutInCell="1" allowOverlap="1">
            <wp:simplePos x="0" y="0"/>
            <wp:positionH relativeFrom="column">
              <wp:posOffset>-878840</wp:posOffset>
            </wp:positionH>
            <wp:positionV relativeFrom="paragraph">
              <wp:posOffset>-1195070</wp:posOffset>
            </wp:positionV>
            <wp:extent cx="7512050" cy="10323195"/>
            <wp:effectExtent l="0" t="0" r="12700" b="1905"/>
            <wp:wrapSquare wrapText="bothSides"/>
            <wp:docPr id="2" name="图片 2" descr="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001"/>
                    <pic:cNvPicPr>
                      <a:picLocks noChangeAspect="1"/>
                    </pic:cNvPicPr>
                  </pic:nvPicPr>
                  <pic:blipFill>
                    <a:blip r:embed="rId28"/>
                    <a:stretch>
                      <a:fillRect/>
                    </a:stretch>
                  </pic:blipFill>
                  <pic:spPr>
                    <a:xfrm>
                      <a:off x="0" y="0"/>
                      <a:ext cx="7512050" cy="10323195"/>
                    </a:xfrm>
                    <a:prstGeom prst="rect">
                      <a:avLst/>
                    </a:prstGeom>
                  </pic:spPr>
                </pic:pic>
              </a:graphicData>
            </a:graphic>
          </wp:anchor>
        </w:drawing>
      </w:r>
    </w:p>
    <w:p>
      <w:pPr>
        <w:rPr>
          <w:rFonts w:hint="eastAsia" w:eastAsia="宋体"/>
          <w:lang w:eastAsia="zh-CN"/>
        </w:rPr>
        <w:sectPr>
          <w:pgSz w:w="16838" w:h="11906" w:orient="landscape"/>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lang w:eastAsia="zh-CN"/>
        </w:rPr>
        <w:drawing>
          <wp:anchor distT="0" distB="0" distL="114300" distR="114300" simplePos="0" relativeHeight="251663360" behindDoc="0" locked="0" layoutInCell="1" allowOverlap="1">
            <wp:simplePos x="0" y="0"/>
            <wp:positionH relativeFrom="column">
              <wp:posOffset>555625</wp:posOffset>
            </wp:positionH>
            <wp:positionV relativeFrom="paragraph">
              <wp:posOffset>-2267585</wp:posOffset>
            </wp:positionV>
            <wp:extent cx="7456170" cy="10248265"/>
            <wp:effectExtent l="0" t="0" r="635" b="11430"/>
            <wp:wrapSquare wrapText="bothSides"/>
            <wp:docPr id="3" name="图片 3" descr="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002"/>
                    <pic:cNvPicPr>
                      <a:picLocks noChangeAspect="1"/>
                    </pic:cNvPicPr>
                  </pic:nvPicPr>
                  <pic:blipFill>
                    <a:blip r:embed="rId29"/>
                    <a:stretch>
                      <a:fillRect/>
                    </a:stretch>
                  </pic:blipFill>
                  <pic:spPr>
                    <a:xfrm rot="5400000">
                      <a:off x="0" y="0"/>
                      <a:ext cx="7456170" cy="10248265"/>
                    </a:xfrm>
                    <a:prstGeom prst="rect">
                      <a:avLst/>
                    </a:prstGeom>
                  </pic:spPr>
                </pic:pic>
              </a:graphicData>
            </a:graphic>
          </wp:anchor>
        </w:drawing>
      </w:r>
    </w:p>
    <w:p>
      <w:pPr>
        <w:rPr>
          <w:rFonts w:hint="eastAsia" w:eastAsia="宋体"/>
          <w:lang w:eastAsia="zh-CN"/>
        </w:rPr>
        <w:sectPr>
          <w:pgSz w:w="16838" w:h="11906" w:orient="landscape"/>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lang w:eastAsia="zh-CN"/>
        </w:rPr>
        <w:drawing>
          <wp:anchor distT="0" distB="0" distL="114300" distR="114300" simplePos="0" relativeHeight="251664384" behindDoc="0" locked="0" layoutInCell="1" allowOverlap="1">
            <wp:simplePos x="0" y="0"/>
            <wp:positionH relativeFrom="column">
              <wp:posOffset>402590</wp:posOffset>
            </wp:positionH>
            <wp:positionV relativeFrom="paragraph">
              <wp:posOffset>-2294255</wp:posOffset>
            </wp:positionV>
            <wp:extent cx="7523480" cy="10337800"/>
            <wp:effectExtent l="0" t="0" r="6350" b="1270"/>
            <wp:wrapSquare wrapText="bothSides"/>
            <wp:docPr id="11" name="图片 11" descr="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003"/>
                    <pic:cNvPicPr>
                      <a:picLocks noChangeAspect="1"/>
                    </pic:cNvPicPr>
                  </pic:nvPicPr>
                  <pic:blipFill>
                    <a:blip r:embed="rId30"/>
                    <a:stretch>
                      <a:fillRect/>
                    </a:stretch>
                  </pic:blipFill>
                  <pic:spPr>
                    <a:xfrm rot="5400000">
                      <a:off x="0" y="0"/>
                      <a:ext cx="7523480" cy="10337800"/>
                    </a:xfrm>
                    <a:prstGeom prst="rect">
                      <a:avLst/>
                    </a:prstGeom>
                  </pic:spPr>
                </pic:pic>
              </a:graphicData>
            </a:graphic>
          </wp:anchor>
        </w:drawing>
      </w:r>
    </w:p>
    <w:p>
      <w:pPr>
        <w:rPr>
          <w:rFonts w:hint="eastAsia" w:eastAsia="宋体"/>
          <w:lang w:eastAsia="zh-CN"/>
        </w:rPr>
        <w:sectPr>
          <w:pgSz w:w="16838" w:h="11906" w:orient="landscape"/>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lang w:eastAsia="zh-CN"/>
        </w:rPr>
        <w:drawing>
          <wp:anchor distT="0" distB="0" distL="114300" distR="114300" simplePos="0" relativeHeight="251665408" behindDoc="0" locked="0" layoutInCell="1" allowOverlap="1">
            <wp:simplePos x="0" y="0"/>
            <wp:positionH relativeFrom="column">
              <wp:posOffset>337820</wp:posOffset>
            </wp:positionH>
            <wp:positionV relativeFrom="paragraph">
              <wp:posOffset>-2326640</wp:posOffset>
            </wp:positionV>
            <wp:extent cx="7552690" cy="10378440"/>
            <wp:effectExtent l="0" t="0" r="3810" b="10160"/>
            <wp:wrapSquare wrapText="bothSides"/>
            <wp:docPr id="12" name="图片 12" descr="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004"/>
                    <pic:cNvPicPr>
                      <a:picLocks noChangeAspect="1"/>
                    </pic:cNvPicPr>
                  </pic:nvPicPr>
                  <pic:blipFill>
                    <a:blip r:embed="rId31"/>
                    <a:stretch>
                      <a:fillRect/>
                    </a:stretch>
                  </pic:blipFill>
                  <pic:spPr>
                    <a:xfrm rot="5400000">
                      <a:off x="0" y="0"/>
                      <a:ext cx="7552690" cy="10378440"/>
                    </a:xfrm>
                    <a:prstGeom prst="rect">
                      <a:avLst/>
                    </a:prstGeom>
                  </pic:spPr>
                </pic:pic>
              </a:graphicData>
            </a:graphic>
          </wp:anchor>
        </w:drawing>
      </w:r>
    </w:p>
    <w:p>
      <w:pPr>
        <w:rPr>
          <w:rFonts w:hint="eastAsia" w:eastAsia="宋体"/>
          <w:lang w:eastAsia="zh-CN"/>
        </w:rPr>
        <w:sectPr>
          <w:pgSz w:w="16838" w:h="11906" w:orient="landscape"/>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lang w:eastAsia="zh-CN"/>
        </w:rPr>
        <w:drawing>
          <wp:anchor distT="0" distB="0" distL="114300" distR="114300" simplePos="0" relativeHeight="251666432" behindDoc="0" locked="0" layoutInCell="1" allowOverlap="1">
            <wp:simplePos x="0" y="0"/>
            <wp:positionH relativeFrom="column">
              <wp:posOffset>287655</wp:posOffset>
            </wp:positionH>
            <wp:positionV relativeFrom="paragraph">
              <wp:posOffset>-2199005</wp:posOffset>
            </wp:positionV>
            <wp:extent cx="7414260" cy="10187940"/>
            <wp:effectExtent l="0" t="0" r="3810" b="15240"/>
            <wp:wrapSquare wrapText="bothSides"/>
            <wp:docPr id="13" name="图片 13" descr="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005"/>
                    <pic:cNvPicPr>
                      <a:picLocks noChangeAspect="1"/>
                    </pic:cNvPicPr>
                  </pic:nvPicPr>
                  <pic:blipFill>
                    <a:blip r:embed="rId32"/>
                    <a:stretch>
                      <a:fillRect/>
                    </a:stretch>
                  </pic:blipFill>
                  <pic:spPr>
                    <a:xfrm rot="5400000">
                      <a:off x="0" y="0"/>
                      <a:ext cx="7414260" cy="10187940"/>
                    </a:xfrm>
                    <a:prstGeom prst="rect">
                      <a:avLst/>
                    </a:prstGeom>
                  </pic:spPr>
                </pic:pic>
              </a:graphicData>
            </a:graphic>
          </wp:anchor>
        </w:drawing>
      </w:r>
    </w:p>
    <w:p>
      <w:pPr>
        <w:rPr>
          <w:rFonts w:hint="eastAsia" w:eastAsia="宋体"/>
          <w:lang w:eastAsia="zh-CN"/>
        </w:rPr>
        <w:sectPr>
          <w:pgSz w:w="11906" w:h="16838"/>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3" w:name="_GoBack"/>
      <w:r>
        <w:rPr>
          <w:rFonts w:hint="eastAsia" w:eastAsia="宋体"/>
          <w:lang w:eastAsia="zh-CN"/>
        </w:rPr>
        <w:drawing>
          <wp:anchor distT="0" distB="0" distL="114300" distR="114300" simplePos="0" relativeHeight="251681792" behindDoc="0" locked="0" layoutInCell="1" allowOverlap="1">
            <wp:simplePos x="0" y="0"/>
            <wp:positionH relativeFrom="column">
              <wp:posOffset>-914400</wp:posOffset>
            </wp:positionH>
            <wp:positionV relativeFrom="paragraph">
              <wp:posOffset>-1143000</wp:posOffset>
            </wp:positionV>
            <wp:extent cx="7552055" cy="10386060"/>
            <wp:effectExtent l="0" t="0" r="10795" b="15240"/>
            <wp:wrapSquare wrapText="bothSides"/>
            <wp:docPr id="6" name="图片 6" descr="微信图片_2023020911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209111659"/>
                    <pic:cNvPicPr>
                      <a:picLocks noChangeAspect="1"/>
                    </pic:cNvPicPr>
                  </pic:nvPicPr>
                  <pic:blipFill>
                    <a:blip r:embed="rId33"/>
                    <a:stretch>
                      <a:fillRect/>
                    </a:stretch>
                  </pic:blipFill>
                  <pic:spPr>
                    <a:xfrm>
                      <a:off x="0" y="0"/>
                      <a:ext cx="7552055" cy="10386060"/>
                    </a:xfrm>
                    <a:prstGeom prst="rect">
                      <a:avLst/>
                    </a:prstGeom>
                  </pic:spPr>
                </pic:pic>
              </a:graphicData>
            </a:graphic>
          </wp:anchor>
        </w:drawing>
      </w:r>
      <w:bookmarkEnd w:id="3"/>
    </w:p>
    <w:p>
      <w:pPr>
        <w:pStyle w:val="2"/>
        <w:rPr>
          <w:rFonts w:hint="eastAsia" w:eastAsia="黑体"/>
          <w:lang w:eastAsia="zh-CN"/>
        </w:rPr>
        <w:sectPr>
          <w:pgSz w:w="11906" w:h="16838"/>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黑体"/>
          <w:lang w:eastAsia="zh-CN"/>
        </w:rPr>
        <w:drawing>
          <wp:anchor distT="0" distB="0" distL="114300" distR="114300" simplePos="0" relativeHeight="251667456" behindDoc="0" locked="0" layoutInCell="1" allowOverlap="1">
            <wp:simplePos x="0" y="0"/>
            <wp:positionH relativeFrom="column">
              <wp:posOffset>-914400</wp:posOffset>
            </wp:positionH>
            <wp:positionV relativeFrom="paragraph">
              <wp:posOffset>-1143000</wp:posOffset>
            </wp:positionV>
            <wp:extent cx="7538085" cy="10358120"/>
            <wp:effectExtent l="0" t="0" r="5715" b="5080"/>
            <wp:wrapSquare wrapText="bothSides"/>
            <wp:docPr id="14" name="图片 14" descr="1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0006"/>
                    <pic:cNvPicPr>
                      <a:picLocks noChangeAspect="1"/>
                    </pic:cNvPicPr>
                  </pic:nvPicPr>
                  <pic:blipFill>
                    <a:blip r:embed="rId34"/>
                    <a:stretch>
                      <a:fillRect/>
                    </a:stretch>
                  </pic:blipFill>
                  <pic:spPr>
                    <a:xfrm>
                      <a:off x="0" y="0"/>
                      <a:ext cx="7538085" cy="10358120"/>
                    </a:xfrm>
                    <a:prstGeom prst="rect">
                      <a:avLst/>
                    </a:prstGeom>
                  </pic:spPr>
                </pic:pic>
              </a:graphicData>
            </a:graphic>
          </wp:anchor>
        </w:drawing>
      </w:r>
    </w:p>
    <w:p>
      <w:pPr>
        <w:rPr>
          <w:rFonts w:hint="eastAsia" w:eastAsia="宋体"/>
          <w:lang w:eastAsia="zh-CN"/>
        </w:rPr>
        <w:sectPr>
          <w:pgSz w:w="11906" w:h="16838"/>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lang w:eastAsia="zh-CN"/>
        </w:rPr>
        <w:drawing>
          <wp:anchor distT="0" distB="0" distL="114300" distR="114300" simplePos="0" relativeHeight="251668480" behindDoc="0" locked="0" layoutInCell="1" allowOverlap="1">
            <wp:simplePos x="0" y="0"/>
            <wp:positionH relativeFrom="column">
              <wp:posOffset>-914400</wp:posOffset>
            </wp:positionH>
            <wp:positionV relativeFrom="paragraph">
              <wp:posOffset>-1143000</wp:posOffset>
            </wp:positionV>
            <wp:extent cx="7474585" cy="10271125"/>
            <wp:effectExtent l="0" t="0" r="12065" b="15875"/>
            <wp:wrapSquare wrapText="bothSides"/>
            <wp:docPr id="15" name="图片 15" descr="1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0007"/>
                    <pic:cNvPicPr>
                      <a:picLocks noChangeAspect="1"/>
                    </pic:cNvPicPr>
                  </pic:nvPicPr>
                  <pic:blipFill>
                    <a:blip r:embed="rId35"/>
                    <a:stretch>
                      <a:fillRect/>
                    </a:stretch>
                  </pic:blipFill>
                  <pic:spPr>
                    <a:xfrm>
                      <a:off x="0" y="0"/>
                      <a:ext cx="7474585" cy="10271125"/>
                    </a:xfrm>
                    <a:prstGeom prst="rect">
                      <a:avLst/>
                    </a:prstGeom>
                  </pic:spPr>
                </pic:pic>
              </a:graphicData>
            </a:graphic>
          </wp:anchor>
        </w:drawing>
      </w:r>
    </w:p>
    <w:p>
      <w:pPr>
        <w:pStyle w:val="2"/>
        <w:rPr>
          <w:rFonts w:hint="eastAsia" w:eastAsia="黑体"/>
          <w:lang w:eastAsia="zh-CN"/>
        </w:rPr>
        <w:sectPr>
          <w:pgSz w:w="11906" w:h="16838"/>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黑体"/>
          <w:lang w:eastAsia="zh-CN"/>
        </w:rPr>
        <w:drawing>
          <wp:anchor distT="0" distB="0" distL="114300" distR="114300" simplePos="0" relativeHeight="251669504" behindDoc="0" locked="0" layoutInCell="1" allowOverlap="1">
            <wp:simplePos x="0" y="0"/>
            <wp:positionH relativeFrom="column">
              <wp:posOffset>-914400</wp:posOffset>
            </wp:positionH>
            <wp:positionV relativeFrom="paragraph">
              <wp:posOffset>-1143000</wp:posOffset>
            </wp:positionV>
            <wp:extent cx="7664450" cy="10532110"/>
            <wp:effectExtent l="0" t="0" r="12700" b="2540"/>
            <wp:wrapSquare wrapText="bothSides"/>
            <wp:docPr id="16" name="图片 16" descr="1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0008"/>
                    <pic:cNvPicPr>
                      <a:picLocks noChangeAspect="1"/>
                    </pic:cNvPicPr>
                  </pic:nvPicPr>
                  <pic:blipFill>
                    <a:blip r:embed="rId36"/>
                    <a:stretch>
                      <a:fillRect/>
                    </a:stretch>
                  </pic:blipFill>
                  <pic:spPr>
                    <a:xfrm>
                      <a:off x="0" y="0"/>
                      <a:ext cx="7664450" cy="10532110"/>
                    </a:xfrm>
                    <a:prstGeom prst="rect">
                      <a:avLst/>
                    </a:prstGeom>
                  </pic:spPr>
                </pic:pic>
              </a:graphicData>
            </a:graphic>
          </wp:anchor>
        </w:drawing>
      </w:r>
    </w:p>
    <w:p>
      <w:pPr>
        <w:rPr>
          <w:rFonts w:hint="eastAsia" w:eastAsia="宋体"/>
          <w:lang w:eastAsia="zh-CN"/>
        </w:rPr>
        <w:sectPr>
          <w:pgSz w:w="11906" w:h="16838"/>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lang w:eastAsia="zh-CN"/>
        </w:rPr>
        <w:drawing>
          <wp:anchor distT="0" distB="0" distL="114300" distR="114300" simplePos="0" relativeHeight="251670528" behindDoc="0" locked="0" layoutInCell="1" allowOverlap="1">
            <wp:simplePos x="0" y="0"/>
            <wp:positionH relativeFrom="column">
              <wp:posOffset>-914400</wp:posOffset>
            </wp:positionH>
            <wp:positionV relativeFrom="paragraph">
              <wp:posOffset>-1143000</wp:posOffset>
            </wp:positionV>
            <wp:extent cx="7664450" cy="10532110"/>
            <wp:effectExtent l="0" t="0" r="12700" b="2540"/>
            <wp:wrapSquare wrapText="bothSides"/>
            <wp:docPr id="17" name="图片 17" descr="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009"/>
                    <pic:cNvPicPr>
                      <a:picLocks noChangeAspect="1"/>
                    </pic:cNvPicPr>
                  </pic:nvPicPr>
                  <pic:blipFill>
                    <a:blip r:embed="rId37"/>
                    <a:stretch>
                      <a:fillRect/>
                    </a:stretch>
                  </pic:blipFill>
                  <pic:spPr>
                    <a:xfrm>
                      <a:off x="0" y="0"/>
                      <a:ext cx="7664450" cy="10532110"/>
                    </a:xfrm>
                    <a:prstGeom prst="rect">
                      <a:avLst/>
                    </a:prstGeom>
                  </pic:spPr>
                </pic:pic>
              </a:graphicData>
            </a:graphic>
          </wp:anchor>
        </w:drawing>
      </w:r>
    </w:p>
    <w:p>
      <w:pPr>
        <w:pStyle w:val="2"/>
        <w:rPr>
          <w:rFonts w:hint="eastAsia" w:eastAsia="黑体"/>
          <w:lang w:eastAsia="zh-CN"/>
        </w:rPr>
        <w:sectPr>
          <w:pgSz w:w="11906" w:h="16838"/>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黑体"/>
          <w:lang w:eastAsia="zh-CN"/>
        </w:rPr>
        <w:drawing>
          <wp:anchor distT="0" distB="0" distL="114300" distR="114300" simplePos="0" relativeHeight="251671552" behindDoc="0" locked="0" layoutInCell="1" allowOverlap="1">
            <wp:simplePos x="0" y="0"/>
            <wp:positionH relativeFrom="column">
              <wp:posOffset>-914400</wp:posOffset>
            </wp:positionH>
            <wp:positionV relativeFrom="paragraph">
              <wp:posOffset>-1143000</wp:posOffset>
            </wp:positionV>
            <wp:extent cx="7505700" cy="10313670"/>
            <wp:effectExtent l="0" t="0" r="0" b="11430"/>
            <wp:wrapSquare wrapText="bothSides"/>
            <wp:docPr id="18" name="图片 18" descr="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0010"/>
                    <pic:cNvPicPr>
                      <a:picLocks noChangeAspect="1"/>
                    </pic:cNvPicPr>
                  </pic:nvPicPr>
                  <pic:blipFill>
                    <a:blip r:embed="rId38"/>
                    <a:stretch>
                      <a:fillRect/>
                    </a:stretch>
                  </pic:blipFill>
                  <pic:spPr>
                    <a:xfrm>
                      <a:off x="0" y="0"/>
                      <a:ext cx="7505700" cy="10313670"/>
                    </a:xfrm>
                    <a:prstGeom prst="rect">
                      <a:avLst/>
                    </a:prstGeom>
                  </pic:spPr>
                </pic:pic>
              </a:graphicData>
            </a:graphic>
          </wp:anchor>
        </w:drawing>
      </w:r>
    </w:p>
    <w:p>
      <w:pPr>
        <w:rPr>
          <w:rFonts w:hint="eastAsia" w:eastAsia="宋体"/>
          <w:lang w:eastAsia="zh-CN"/>
        </w:rPr>
        <w:sectPr>
          <w:pgSz w:w="11906" w:h="16838"/>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lang w:eastAsia="zh-CN"/>
        </w:rPr>
        <w:drawing>
          <wp:anchor distT="0" distB="0" distL="114300" distR="114300" simplePos="0" relativeHeight="251672576" behindDoc="0" locked="0" layoutInCell="1" allowOverlap="1">
            <wp:simplePos x="0" y="0"/>
            <wp:positionH relativeFrom="column">
              <wp:posOffset>-914400</wp:posOffset>
            </wp:positionH>
            <wp:positionV relativeFrom="paragraph">
              <wp:posOffset>-1143000</wp:posOffset>
            </wp:positionV>
            <wp:extent cx="7474585" cy="10271125"/>
            <wp:effectExtent l="0" t="0" r="12065" b="15875"/>
            <wp:wrapSquare wrapText="bothSides"/>
            <wp:docPr id="19" name="图片 19" descr="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0011"/>
                    <pic:cNvPicPr>
                      <a:picLocks noChangeAspect="1"/>
                    </pic:cNvPicPr>
                  </pic:nvPicPr>
                  <pic:blipFill>
                    <a:blip r:embed="rId39"/>
                    <a:stretch>
                      <a:fillRect/>
                    </a:stretch>
                  </pic:blipFill>
                  <pic:spPr>
                    <a:xfrm>
                      <a:off x="0" y="0"/>
                      <a:ext cx="7474585" cy="10271125"/>
                    </a:xfrm>
                    <a:prstGeom prst="rect">
                      <a:avLst/>
                    </a:prstGeom>
                  </pic:spPr>
                </pic:pic>
              </a:graphicData>
            </a:graphic>
          </wp:anchor>
        </w:drawing>
      </w:r>
    </w:p>
    <w:p>
      <w:pPr>
        <w:pStyle w:val="2"/>
        <w:rPr>
          <w:rFonts w:hint="eastAsia" w:eastAsia="黑体"/>
          <w:lang w:eastAsia="zh-CN"/>
        </w:rPr>
        <w:sectPr>
          <w:pgSz w:w="11906" w:h="16838"/>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黑体"/>
          <w:lang w:eastAsia="zh-CN"/>
        </w:rPr>
        <w:drawing>
          <wp:anchor distT="0" distB="0" distL="114300" distR="114300" simplePos="0" relativeHeight="251673600" behindDoc="0" locked="0" layoutInCell="1" allowOverlap="1">
            <wp:simplePos x="0" y="0"/>
            <wp:positionH relativeFrom="column">
              <wp:posOffset>-914400</wp:posOffset>
            </wp:positionH>
            <wp:positionV relativeFrom="paragraph">
              <wp:posOffset>-1143000</wp:posOffset>
            </wp:positionV>
            <wp:extent cx="7538085" cy="10358120"/>
            <wp:effectExtent l="0" t="0" r="5715" b="5080"/>
            <wp:wrapSquare wrapText="bothSides"/>
            <wp:docPr id="20" name="图片 20" descr="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0012"/>
                    <pic:cNvPicPr>
                      <a:picLocks noChangeAspect="1"/>
                    </pic:cNvPicPr>
                  </pic:nvPicPr>
                  <pic:blipFill>
                    <a:blip r:embed="rId40"/>
                    <a:stretch>
                      <a:fillRect/>
                    </a:stretch>
                  </pic:blipFill>
                  <pic:spPr>
                    <a:xfrm>
                      <a:off x="0" y="0"/>
                      <a:ext cx="7538085" cy="10358120"/>
                    </a:xfrm>
                    <a:prstGeom prst="rect">
                      <a:avLst/>
                    </a:prstGeom>
                  </pic:spPr>
                </pic:pic>
              </a:graphicData>
            </a:graphic>
          </wp:anchor>
        </w:drawing>
      </w:r>
    </w:p>
    <w:p>
      <w:pPr>
        <w:rPr>
          <w:rFonts w:hint="eastAsia" w:eastAsia="宋体"/>
          <w:lang w:eastAsia="zh-CN"/>
        </w:rPr>
        <w:sectPr>
          <w:pgSz w:w="11906" w:h="16838"/>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lang w:eastAsia="zh-CN"/>
        </w:rPr>
        <w:drawing>
          <wp:anchor distT="0" distB="0" distL="114300" distR="114300" simplePos="0" relativeHeight="251674624" behindDoc="0" locked="0" layoutInCell="1" allowOverlap="1">
            <wp:simplePos x="0" y="0"/>
            <wp:positionH relativeFrom="column">
              <wp:posOffset>-914400</wp:posOffset>
            </wp:positionH>
            <wp:positionV relativeFrom="paragraph">
              <wp:posOffset>-1143000</wp:posOffset>
            </wp:positionV>
            <wp:extent cx="7505700" cy="10313670"/>
            <wp:effectExtent l="0" t="0" r="0" b="11430"/>
            <wp:wrapSquare wrapText="bothSides"/>
            <wp:docPr id="21" name="图片 21" descr="1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013"/>
                    <pic:cNvPicPr>
                      <a:picLocks noChangeAspect="1"/>
                    </pic:cNvPicPr>
                  </pic:nvPicPr>
                  <pic:blipFill>
                    <a:blip r:embed="rId41"/>
                    <a:stretch>
                      <a:fillRect/>
                    </a:stretch>
                  </pic:blipFill>
                  <pic:spPr>
                    <a:xfrm>
                      <a:off x="0" y="0"/>
                      <a:ext cx="7505700" cy="10313670"/>
                    </a:xfrm>
                    <a:prstGeom prst="rect">
                      <a:avLst/>
                    </a:prstGeom>
                  </pic:spPr>
                </pic:pic>
              </a:graphicData>
            </a:graphic>
          </wp:anchor>
        </w:drawing>
      </w:r>
    </w:p>
    <w:p>
      <w:pPr>
        <w:rPr>
          <w:rFonts w:hint="eastAsia" w:eastAsia="宋体"/>
          <w:lang w:eastAsia="zh-CN"/>
        </w:rPr>
        <w:sectPr>
          <w:pgSz w:w="11906" w:h="16838"/>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lang w:eastAsia="zh-CN"/>
        </w:rPr>
        <w:drawing>
          <wp:anchor distT="0" distB="0" distL="114300" distR="114300" simplePos="0" relativeHeight="251675648" behindDoc="0" locked="0" layoutInCell="1" allowOverlap="1">
            <wp:simplePos x="0" y="0"/>
            <wp:positionH relativeFrom="column">
              <wp:posOffset>-914400</wp:posOffset>
            </wp:positionH>
            <wp:positionV relativeFrom="paragraph">
              <wp:posOffset>-1143000</wp:posOffset>
            </wp:positionV>
            <wp:extent cx="7505700" cy="10313670"/>
            <wp:effectExtent l="0" t="0" r="0" b="11430"/>
            <wp:wrapSquare wrapText="bothSides"/>
            <wp:docPr id="22" name="图片 22" descr="1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0014"/>
                    <pic:cNvPicPr>
                      <a:picLocks noChangeAspect="1"/>
                    </pic:cNvPicPr>
                  </pic:nvPicPr>
                  <pic:blipFill>
                    <a:blip r:embed="rId42"/>
                    <a:stretch>
                      <a:fillRect/>
                    </a:stretch>
                  </pic:blipFill>
                  <pic:spPr>
                    <a:xfrm>
                      <a:off x="0" y="0"/>
                      <a:ext cx="7505700" cy="10313670"/>
                    </a:xfrm>
                    <a:prstGeom prst="rect">
                      <a:avLst/>
                    </a:prstGeom>
                  </pic:spPr>
                </pic:pic>
              </a:graphicData>
            </a:graphic>
          </wp:anchor>
        </w:drawing>
      </w:r>
    </w:p>
    <w:p>
      <w:pPr>
        <w:pStyle w:val="2"/>
        <w:rPr>
          <w:rFonts w:hint="eastAsia" w:eastAsia="黑体"/>
          <w:lang w:eastAsia="zh-CN"/>
        </w:rPr>
        <w:sectPr>
          <w:pgSz w:w="11906" w:h="16838"/>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黑体"/>
          <w:lang w:eastAsia="zh-CN"/>
        </w:rPr>
        <w:drawing>
          <wp:anchor distT="0" distB="0" distL="114300" distR="114300" simplePos="0" relativeHeight="251676672" behindDoc="0" locked="0" layoutInCell="1" allowOverlap="1">
            <wp:simplePos x="0" y="0"/>
            <wp:positionH relativeFrom="column">
              <wp:posOffset>-914400</wp:posOffset>
            </wp:positionH>
            <wp:positionV relativeFrom="paragraph">
              <wp:posOffset>-1143000</wp:posOffset>
            </wp:positionV>
            <wp:extent cx="7505700" cy="10313670"/>
            <wp:effectExtent l="0" t="0" r="0" b="11430"/>
            <wp:wrapSquare wrapText="bothSides"/>
            <wp:docPr id="23" name="图片 23" descr="1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0015"/>
                    <pic:cNvPicPr>
                      <a:picLocks noChangeAspect="1"/>
                    </pic:cNvPicPr>
                  </pic:nvPicPr>
                  <pic:blipFill>
                    <a:blip r:embed="rId43"/>
                    <a:stretch>
                      <a:fillRect/>
                    </a:stretch>
                  </pic:blipFill>
                  <pic:spPr>
                    <a:xfrm>
                      <a:off x="0" y="0"/>
                      <a:ext cx="7505700" cy="10313670"/>
                    </a:xfrm>
                    <a:prstGeom prst="rect">
                      <a:avLst/>
                    </a:prstGeom>
                  </pic:spPr>
                </pic:pic>
              </a:graphicData>
            </a:graphic>
          </wp:anchor>
        </w:drawing>
      </w:r>
    </w:p>
    <w:p>
      <w:pPr>
        <w:rPr>
          <w:rFonts w:hint="eastAsia" w:eastAsia="宋体"/>
          <w:lang w:eastAsia="zh-CN"/>
        </w:rPr>
      </w:pPr>
      <w:r>
        <w:rPr>
          <w:rFonts w:hint="eastAsia" w:eastAsia="宋体"/>
          <w:lang w:eastAsia="zh-CN"/>
        </w:rPr>
        <w:drawing>
          <wp:anchor distT="0" distB="0" distL="114300" distR="114300" simplePos="0" relativeHeight="251677696" behindDoc="0" locked="0" layoutInCell="1" allowOverlap="1">
            <wp:simplePos x="0" y="0"/>
            <wp:positionH relativeFrom="column">
              <wp:posOffset>-914400</wp:posOffset>
            </wp:positionH>
            <wp:positionV relativeFrom="paragraph">
              <wp:posOffset>-1143000</wp:posOffset>
            </wp:positionV>
            <wp:extent cx="7664450" cy="10532110"/>
            <wp:effectExtent l="0" t="0" r="12700" b="2540"/>
            <wp:wrapSquare wrapText="bothSides"/>
            <wp:docPr id="24" name="图片 24" descr="1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0016"/>
                    <pic:cNvPicPr>
                      <a:picLocks noChangeAspect="1"/>
                    </pic:cNvPicPr>
                  </pic:nvPicPr>
                  <pic:blipFill>
                    <a:blip r:embed="rId44"/>
                    <a:stretch>
                      <a:fillRect/>
                    </a:stretch>
                  </pic:blipFill>
                  <pic:spPr>
                    <a:xfrm>
                      <a:off x="0" y="0"/>
                      <a:ext cx="7664450" cy="10532110"/>
                    </a:xfrm>
                    <a:prstGeom prst="rect">
                      <a:avLst/>
                    </a:prstGeom>
                  </pic:spPr>
                </pic:pic>
              </a:graphicData>
            </a:graphic>
          </wp:anchor>
        </w:drawing>
      </w:r>
    </w:p>
    <w:sectPr>
      <w:pgSz w:w="11906" w:h="16838"/>
      <w:pgMar w:top="1800" w:right="1440" w:bottom="1800" w:left="144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font-weight : 400">
    <w:altName w:val="Segoe Print"/>
    <w:panose1 w:val="00000000000000000000"/>
    <w:charset w:val="00"/>
    <w:family w:val="auto"/>
    <w:pitch w:val="default"/>
    <w:sig w:usb0="00000000" w:usb1="00000000" w:usb2="00000000" w:usb3="00000000" w:csb0="00000001" w:csb1="00000000"/>
  </w:font>
  <w:font w:name="MingLiU">
    <w:panose1 w:val="02020509000000000000"/>
    <w:charset w:val="88"/>
    <w:family w:val="modern"/>
    <w:pitch w:val="default"/>
    <w:sig w:usb0="A00002FF" w:usb1="28CFFCFA" w:usb2="00000016" w:usb3="00000000" w:csb0="00100001" w:csb1="00000000"/>
  </w:font>
  <w:font w:name="Wingdings 2">
    <w:panose1 w:val="05020102010507070707"/>
    <w:charset w:val="02"/>
    <w:family w:val="roman"/>
    <w:pitch w:val="default"/>
    <w:sig w:usb0="00000000" w:usb1="00000000" w:usb2="00000000" w:usb3="00000000" w:csb0="80000000"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方正小标宋_GBK">
    <w:altName w:val="Arial Unicode MS"/>
    <w:panose1 w:val="03000509000000000000"/>
    <w:charset w:val="86"/>
    <w:family w:val="script"/>
    <w:pitch w:val="default"/>
    <w:sig w:usb0="00000000" w:usb1="00000000" w:usb2="00000000" w:usb3="00000000" w:csb0="00040000" w:csb1="00000000"/>
  </w:font>
  <w:font w:name="PMingLiU">
    <w:panose1 w:val="02020500000000000000"/>
    <w:charset w:val="88"/>
    <w:family w:val="auto"/>
    <w:pitch w:val="default"/>
    <w:sig w:usb0="A00002FF" w:usb1="28CFFCFA" w:usb2="00000016" w:usb3="00000000" w:csb0="0010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-56515</wp:posOffset>
              </wp:positionV>
              <wp:extent cx="1828800" cy="1968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96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both"/>
                            <w:rPr>
                              <w:rStyle w:val="25"/>
                              <w:rFonts w:hint="default" w:ascii="Times New Roman" w:hAnsi="Times New Roman" w:cs="Times New Roman"/>
                              <w:sz w:val="21"/>
                              <w:szCs w:val="21"/>
                            </w:rPr>
                          </w:pPr>
                          <w:r>
                            <w:rPr>
                              <w:rStyle w:val="25"/>
                              <w:rFonts w:hint="default" w:ascii="Times New Roman" w:hAnsi="Times New Roman" w:cs="Times New Roman"/>
                              <w:sz w:val="21"/>
                              <w:szCs w:val="21"/>
                            </w:rPr>
                            <w:t xml:space="preserve">— </w:t>
                          </w:r>
                          <w:r>
                            <w:rPr>
                              <w:rStyle w:val="25"/>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rPr>
                            <w:fldChar w:fldCharType="begin"/>
                          </w:r>
                          <w:r>
                            <w:rPr>
                              <w:rStyle w:val="25"/>
                              <w:rFonts w:hint="default" w:ascii="Times New Roman" w:hAnsi="Times New Roman" w:eastAsia="宋体" w:cs="Times New Roman"/>
                              <w:sz w:val="21"/>
                              <w:szCs w:val="21"/>
                            </w:rPr>
                            <w:instrText xml:space="preserve">PAGE  </w:instrText>
                          </w:r>
                          <w:r>
                            <w:rPr>
                              <w:rFonts w:hint="default" w:ascii="Times New Roman" w:hAnsi="Times New Roman" w:eastAsia="宋体" w:cs="Times New Roman"/>
                              <w:sz w:val="21"/>
                              <w:szCs w:val="21"/>
                            </w:rPr>
                            <w:fldChar w:fldCharType="separate"/>
                          </w:r>
                          <w:r>
                            <w:rPr>
                              <w:rStyle w:val="25"/>
                              <w:rFonts w:hint="default" w:ascii="Times New Roman" w:hAnsi="Times New Roman" w:eastAsia="宋体" w:cs="Times New Roman"/>
                              <w:sz w:val="21"/>
                              <w:szCs w:val="21"/>
                            </w:rPr>
                            <w:t>23</w:t>
                          </w:r>
                          <w:r>
                            <w:rPr>
                              <w:rFonts w:hint="default" w:ascii="Times New Roman" w:hAnsi="Times New Roman" w:eastAsia="宋体" w:cs="Times New Roman"/>
                              <w:sz w:val="21"/>
                              <w:szCs w:val="21"/>
                            </w:rPr>
                            <w:fldChar w:fldCharType="end"/>
                          </w:r>
                          <w:r>
                            <w:rPr>
                              <w:rStyle w:val="25"/>
                              <w:rFonts w:hint="default" w:ascii="Times New Roman" w:hAnsi="Times New Roman" w:eastAsia="宋体" w:cs="Times New Roman"/>
                              <w:sz w:val="21"/>
                              <w:szCs w:val="21"/>
                            </w:rPr>
                            <w:t xml:space="preserve"> </w:t>
                          </w:r>
                          <w:r>
                            <w:rPr>
                              <w:rStyle w:val="25"/>
                              <w:rFonts w:hint="default" w:ascii="Times New Roman" w:hAnsi="Times New Roman" w:cs="Times New Roman"/>
                              <w:sz w:val="21"/>
                              <w:szCs w:val="21"/>
                            </w:rPr>
                            <w:t xml:space="preserve"> —</w:t>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4.45pt;height:15.5pt;width:144pt;mso-position-horizontal:center;mso-position-horizontal-relative:margin;mso-wrap-style:none;z-index:251661312;mso-width-relative:page;mso-height-relative:page;" filled="f" stroked="f" coordsize="21600,21600" o:gfxdata="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5vHbLVAAAABgEAAA8AAAAAAAAAAQAgAAAAIgAAAGRycy9kb3ducmV2Lnht&#10;bFBLAQIUABQAAAAIAIdO4kCtaz8SNQIAAGAEAAAOAAAAAAAAAAEAIAAAACQBAABkcnMvZTJvRG9j&#10;LnhtbFBLBQYAAAAABgAGAFkBAADLBQAAAAA=&#10;">
              <v:fill on="f" focussize="0,0"/>
              <v:stroke on="f" weight="0.5pt"/>
              <v:imagedata o:title=""/>
              <o:lock v:ext="edit" aspectratio="f"/>
              <v:textbox inset="0mm,0mm,0mm,0mm">
                <w:txbxContent>
                  <w:p>
                    <w:pPr>
                      <w:pStyle w:val="15"/>
                      <w:jc w:val="both"/>
                      <w:rPr>
                        <w:rStyle w:val="25"/>
                        <w:rFonts w:hint="default" w:ascii="Times New Roman" w:hAnsi="Times New Roman" w:cs="Times New Roman"/>
                        <w:sz w:val="21"/>
                        <w:szCs w:val="21"/>
                      </w:rPr>
                    </w:pPr>
                    <w:r>
                      <w:rPr>
                        <w:rStyle w:val="25"/>
                        <w:rFonts w:hint="default" w:ascii="Times New Roman" w:hAnsi="Times New Roman" w:cs="Times New Roman"/>
                        <w:sz w:val="21"/>
                        <w:szCs w:val="21"/>
                      </w:rPr>
                      <w:t xml:space="preserve">— </w:t>
                    </w:r>
                    <w:r>
                      <w:rPr>
                        <w:rStyle w:val="25"/>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rPr>
                      <w:fldChar w:fldCharType="begin"/>
                    </w:r>
                    <w:r>
                      <w:rPr>
                        <w:rStyle w:val="25"/>
                        <w:rFonts w:hint="default" w:ascii="Times New Roman" w:hAnsi="Times New Roman" w:eastAsia="宋体" w:cs="Times New Roman"/>
                        <w:sz w:val="21"/>
                        <w:szCs w:val="21"/>
                      </w:rPr>
                      <w:instrText xml:space="preserve">PAGE  </w:instrText>
                    </w:r>
                    <w:r>
                      <w:rPr>
                        <w:rFonts w:hint="default" w:ascii="Times New Roman" w:hAnsi="Times New Roman" w:eastAsia="宋体" w:cs="Times New Roman"/>
                        <w:sz w:val="21"/>
                        <w:szCs w:val="21"/>
                      </w:rPr>
                      <w:fldChar w:fldCharType="separate"/>
                    </w:r>
                    <w:r>
                      <w:rPr>
                        <w:rStyle w:val="25"/>
                        <w:rFonts w:hint="default" w:ascii="Times New Roman" w:hAnsi="Times New Roman" w:eastAsia="宋体" w:cs="Times New Roman"/>
                        <w:sz w:val="21"/>
                        <w:szCs w:val="21"/>
                      </w:rPr>
                      <w:t>23</w:t>
                    </w:r>
                    <w:r>
                      <w:rPr>
                        <w:rFonts w:hint="default" w:ascii="Times New Roman" w:hAnsi="Times New Roman" w:eastAsia="宋体" w:cs="Times New Roman"/>
                        <w:sz w:val="21"/>
                        <w:szCs w:val="21"/>
                      </w:rPr>
                      <w:fldChar w:fldCharType="end"/>
                    </w:r>
                    <w:r>
                      <w:rPr>
                        <w:rStyle w:val="25"/>
                        <w:rFonts w:hint="default" w:ascii="Times New Roman" w:hAnsi="Times New Roman" w:eastAsia="宋体" w:cs="Times New Roman"/>
                        <w:sz w:val="21"/>
                        <w:szCs w:val="21"/>
                      </w:rPr>
                      <w:t xml:space="preserve"> </w:t>
                    </w:r>
                    <w:r>
                      <w:rPr>
                        <w:rStyle w:val="25"/>
                        <w:rFonts w:hint="default" w:ascii="Times New Roman" w:hAnsi="Times New Roman" w:cs="Times New Roman"/>
                        <w:sz w:val="21"/>
                        <w:szCs w:val="21"/>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-56515</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Fonts w:ascii="宋体" w:hAnsi="宋体"/>
                              <w:sz w:val="26"/>
                              <w:szCs w:val="26"/>
                            </w:rPr>
                            <w:fldChar w:fldCharType="begin"/>
                          </w:r>
                          <w:r>
                            <w:rPr>
                              <w:rStyle w:val="25"/>
                              <w:rFonts w:ascii="宋体" w:hAnsi="宋体"/>
                              <w:sz w:val="26"/>
                              <w:szCs w:val="26"/>
                            </w:rPr>
                            <w:instrText xml:space="preserve">PAGE  </w:instrText>
                          </w:r>
                          <w:r>
                            <w:rPr>
                              <w:rFonts w:ascii="宋体" w:hAnsi="宋体"/>
                              <w:sz w:val="26"/>
                              <w:szCs w:val="26"/>
                            </w:rPr>
                            <w:fldChar w:fldCharType="separate"/>
                          </w:r>
                          <w:r>
                            <w:rPr>
                              <w:rStyle w:val="25"/>
                              <w:rFonts w:ascii="宋体" w:hAnsi="宋体"/>
                              <w:sz w:val="26"/>
                              <w:szCs w:val="26"/>
                            </w:rPr>
                            <w:t>69</w:t>
                          </w:r>
                          <w:r>
                            <w:rPr>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4.45pt;height:144pt;width:144pt;mso-position-horizontal:center;mso-position-horizontal-relative:margin;mso-wrap-style:none;z-index:251659264;mso-width-relative:page;mso-height-relative:page;" filled="f" stroked="f" coordsize="21600,21600" o:gfxdata="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687nnVAAAABwEAAA8AAAAAAAAAAQAgAAAAIgAAAGRycy9kb3ducmV2LnhtbFBL&#10;AQIUABQAAAAIAIdO4kC6jDgrMgIAAGEEAAAOAAAAAAAAAAEAIAAAACQBAABkcnMvZTJvRG9jLnht&#10;bFBLBQYAAAAABgAGAFkBAADIBQAAAAA=&#10;">
              <v:fill on="f" focussize="0,0"/>
              <v:stroke on="f" weight="0.5pt"/>
              <v:imagedata o:title=""/>
              <o:lock v:ext="edit" aspectratio="f"/>
              <v:textbox inset="0mm,0mm,0mm,0mm" style="mso-fit-shape-to-text:t;">
                <w:txbxContent>
                  <w:p>
                    <w:pPr>
                      <w:pStyle w:val="15"/>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Fonts w:ascii="宋体" w:hAnsi="宋体"/>
                        <w:sz w:val="26"/>
                        <w:szCs w:val="26"/>
                      </w:rPr>
                      <w:fldChar w:fldCharType="begin"/>
                    </w:r>
                    <w:r>
                      <w:rPr>
                        <w:rStyle w:val="25"/>
                        <w:rFonts w:ascii="宋体" w:hAnsi="宋体"/>
                        <w:sz w:val="26"/>
                        <w:szCs w:val="26"/>
                      </w:rPr>
                      <w:instrText xml:space="preserve">PAGE  </w:instrText>
                    </w:r>
                    <w:r>
                      <w:rPr>
                        <w:rFonts w:ascii="宋体" w:hAnsi="宋体"/>
                        <w:sz w:val="26"/>
                        <w:szCs w:val="26"/>
                      </w:rPr>
                      <w:fldChar w:fldCharType="separate"/>
                    </w:r>
                    <w:r>
                      <w:rPr>
                        <w:rStyle w:val="25"/>
                        <w:rFonts w:ascii="宋体" w:hAnsi="宋体"/>
                        <w:sz w:val="26"/>
                        <w:szCs w:val="26"/>
                      </w:rPr>
                      <w:t>69</w:t>
                    </w:r>
                    <w:r>
                      <w:rPr>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right"/>
      <w:rPr>
        <w:rFonts w:hint="eastAsia"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E5040"/>
    <w:multiLevelType w:val="singleLevel"/>
    <w:tmpl w:val="853E5040"/>
    <w:lvl w:ilvl="0" w:tentative="0">
      <w:start w:val="1"/>
      <w:numFmt w:val="decimal"/>
      <w:suff w:val="nothing"/>
      <w:lvlText w:val="表%1   "/>
      <w:lvlJc w:val="left"/>
      <w:pPr>
        <w:tabs>
          <w:tab w:val="left" w:pos="0"/>
        </w:tabs>
      </w:pPr>
      <w:rPr>
        <w:rFonts w:hint="default" w:ascii="Times New Roman" w:hAnsi="Times New Roman" w:eastAsia="黑体" w:cs="宋体"/>
        <w:sz w:val="18"/>
      </w:rPr>
    </w:lvl>
  </w:abstractNum>
  <w:abstractNum w:abstractNumId="1">
    <w:nsid w:val="A1556DF4"/>
    <w:multiLevelType w:val="multilevel"/>
    <w:tmpl w:val="A1556DF4"/>
    <w:lvl w:ilvl="0" w:tentative="0">
      <w:start w:val="1"/>
      <w:numFmt w:val="decimal"/>
      <w:lvlText w:val="图%1   "/>
      <w:lvlJc w:val="center"/>
      <w:pPr>
        <w:ind w:left="900" w:hanging="420"/>
      </w:pPr>
      <w:rPr>
        <w:rFonts w:hint="default" w:ascii="Times New Roman" w:hAnsi="Times New Roman" w:eastAsia="黑体" w:cs="宋体"/>
        <w:b w:val="0"/>
        <w:i w:val="0"/>
        <w:color w:val="000000"/>
        <w:sz w:val="21"/>
        <w:szCs w:val="21"/>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AD7DE2AC"/>
    <w:multiLevelType w:val="multilevel"/>
    <w:tmpl w:val="AD7DE2AC"/>
    <w:lvl w:ilvl="0" w:tentative="0">
      <w:start w:val="1"/>
      <w:numFmt w:val="decimal"/>
      <w:pStyle w:val="17"/>
      <w:lvlText w:val="表%1"/>
      <w:lvlJc w:val="left"/>
      <w:pPr>
        <w:ind w:left="1260" w:hanging="780"/>
      </w:pPr>
      <w:rPr>
        <w:rFonts w:hint="default" w:ascii="Times New Roman" w:hAnsi="Times New Roman" w:eastAsia="黑体" w:cs="宋体"/>
        <w:sz w:val="21"/>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ADA0BB06"/>
    <w:multiLevelType w:val="singleLevel"/>
    <w:tmpl w:val="ADA0BB06"/>
    <w:lvl w:ilvl="0" w:tentative="0">
      <w:start w:val="1"/>
      <w:numFmt w:val="decimal"/>
      <w:suff w:val="nothing"/>
      <w:lvlText w:val="（%1）"/>
      <w:lvlJc w:val="left"/>
    </w:lvl>
  </w:abstractNum>
  <w:abstractNum w:abstractNumId="4">
    <w:nsid w:val="B2FDE060"/>
    <w:multiLevelType w:val="singleLevel"/>
    <w:tmpl w:val="B2FDE060"/>
    <w:lvl w:ilvl="0" w:tentative="0">
      <w:start w:val="2"/>
      <w:numFmt w:val="decimal"/>
      <w:suff w:val="nothing"/>
      <w:lvlText w:val="（%1）"/>
      <w:lvlJc w:val="left"/>
      <w:pPr>
        <w:ind w:left="210"/>
      </w:pPr>
    </w:lvl>
  </w:abstractNum>
  <w:abstractNum w:abstractNumId="5">
    <w:nsid w:val="CD5D5123"/>
    <w:multiLevelType w:val="singleLevel"/>
    <w:tmpl w:val="CD5D5123"/>
    <w:lvl w:ilvl="0" w:tentative="0">
      <w:start w:val="1"/>
      <w:numFmt w:val="decimal"/>
      <w:suff w:val="nothing"/>
      <w:lvlText w:val="（%1）"/>
      <w:lvlJc w:val="left"/>
    </w:lvl>
  </w:abstractNum>
  <w:abstractNum w:abstractNumId="6">
    <w:nsid w:val="F5318663"/>
    <w:multiLevelType w:val="singleLevel"/>
    <w:tmpl w:val="F5318663"/>
    <w:lvl w:ilvl="0" w:tentative="0">
      <w:start w:val="4"/>
      <w:numFmt w:val="decimal"/>
      <w:suff w:val="nothing"/>
      <w:lvlText w:val="%1、"/>
      <w:lvlJc w:val="left"/>
      <w:pPr>
        <w:ind w:left="-2"/>
      </w:pPr>
    </w:lvl>
  </w:abstractNum>
  <w:abstractNum w:abstractNumId="7">
    <w:nsid w:val="00000005"/>
    <w:multiLevelType w:val="singleLevel"/>
    <w:tmpl w:val="00000005"/>
    <w:lvl w:ilvl="0" w:tentative="0">
      <w:start w:val="1"/>
      <w:numFmt w:val="decimal"/>
      <w:suff w:val="space"/>
      <w:lvlText w:val="%1."/>
      <w:lvlJc w:val="left"/>
    </w:lvl>
  </w:abstractNum>
  <w:abstractNum w:abstractNumId="8">
    <w:nsid w:val="0000000C"/>
    <w:multiLevelType w:val="singleLevel"/>
    <w:tmpl w:val="0000000C"/>
    <w:lvl w:ilvl="0" w:tentative="0">
      <w:start w:val="1"/>
      <w:numFmt w:val="decimal"/>
      <w:suff w:val="space"/>
      <w:lvlText w:val="%1."/>
      <w:lvlJc w:val="left"/>
    </w:lvl>
  </w:abstractNum>
  <w:abstractNum w:abstractNumId="9">
    <w:nsid w:val="10A40EB6"/>
    <w:multiLevelType w:val="singleLevel"/>
    <w:tmpl w:val="10A40EB6"/>
    <w:lvl w:ilvl="0" w:tentative="0">
      <w:start w:val="1"/>
      <w:numFmt w:val="decimal"/>
      <w:suff w:val="nothing"/>
      <w:lvlText w:val="%1、"/>
      <w:lvlJc w:val="left"/>
    </w:lvl>
  </w:abstractNum>
  <w:abstractNum w:abstractNumId="10">
    <w:nsid w:val="1879A793"/>
    <w:multiLevelType w:val="multilevel"/>
    <w:tmpl w:val="1879A793"/>
    <w:lvl w:ilvl="0" w:tentative="0">
      <w:start w:val="1"/>
      <w:numFmt w:val="decimal"/>
      <w:lvlText w:val="图%1   "/>
      <w:lvlJc w:val="center"/>
      <w:pPr>
        <w:ind w:left="900" w:hanging="420"/>
      </w:pPr>
      <w:rPr>
        <w:rFonts w:hint="default" w:ascii="Times New Roman" w:hAnsi="Times New Roman" w:eastAsia="宋体" w:cs="宋体"/>
        <w:b w:val="0"/>
        <w:i w:val="0"/>
        <w:color w:val="000000"/>
        <w:sz w:val="21"/>
        <w:szCs w:val="21"/>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1F33F909"/>
    <w:multiLevelType w:val="singleLevel"/>
    <w:tmpl w:val="1F33F909"/>
    <w:lvl w:ilvl="0" w:tentative="0">
      <w:start w:val="1"/>
      <w:numFmt w:val="decimal"/>
      <w:suff w:val="nothing"/>
      <w:lvlText w:val="（%1）"/>
      <w:lvlJc w:val="left"/>
    </w:lvl>
  </w:abstractNum>
  <w:abstractNum w:abstractNumId="12">
    <w:nsid w:val="3722F74E"/>
    <w:multiLevelType w:val="singleLevel"/>
    <w:tmpl w:val="3722F74E"/>
    <w:lvl w:ilvl="0" w:tentative="0">
      <w:start w:val="1"/>
      <w:numFmt w:val="decimal"/>
      <w:suff w:val="nothing"/>
      <w:lvlText w:val="（%1）"/>
      <w:lvlJc w:val="left"/>
    </w:lvl>
  </w:abstractNum>
  <w:abstractNum w:abstractNumId="13">
    <w:nsid w:val="3E132775"/>
    <w:multiLevelType w:val="multilevel"/>
    <w:tmpl w:val="3E132775"/>
    <w:lvl w:ilvl="0" w:tentative="0">
      <w:start w:val="1"/>
      <w:numFmt w:val="decimal"/>
      <w:suff w:val="nothing"/>
      <w:lvlText w:val="%1、"/>
      <w:lvlJc w:val="left"/>
      <w:pPr>
        <w:ind w:left="-424"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26698DB"/>
    <w:multiLevelType w:val="singleLevel"/>
    <w:tmpl w:val="426698DB"/>
    <w:lvl w:ilvl="0" w:tentative="0">
      <w:start w:val="1"/>
      <w:numFmt w:val="lowerLetter"/>
      <w:suff w:val="nothing"/>
      <w:lvlText w:val="%1、"/>
      <w:lvlJc w:val="left"/>
    </w:lvl>
  </w:abstractNum>
  <w:abstractNum w:abstractNumId="15">
    <w:nsid w:val="44C87CF6"/>
    <w:multiLevelType w:val="multilevel"/>
    <w:tmpl w:val="44C87CF6"/>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7441E78"/>
    <w:multiLevelType w:val="singleLevel"/>
    <w:tmpl w:val="57441E78"/>
    <w:lvl w:ilvl="0" w:tentative="0">
      <w:start w:val="1"/>
      <w:numFmt w:val="decimal"/>
      <w:suff w:val="nothing"/>
      <w:lvlText w:val="%1、"/>
      <w:lvlJc w:val="left"/>
    </w:lvl>
  </w:abstractNum>
  <w:abstractNum w:abstractNumId="17">
    <w:nsid w:val="62C77A49"/>
    <w:multiLevelType w:val="singleLevel"/>
    <w:tmpl w:val="62C77A49"/>
    <w:lvl w:ilvl="0" w:tentative="0">
      <w:start w:val="1"/>
      <w:numFmt w:val="decimal"/>
      <w:suff w:val="nothing"/>
      <w:lvlText w:val="（%1）"/>
      <w:lvlJc w:val="left"/>
    </w:lvl>
  </w:abstractNum>
  <w:abstractNum w:abstractNumId="18">
    <w:nsid w:val="6FDE00CD"/>
    <w:multiLevelType w:val="singleLevel"/>
    <w:tmpl w:val="6FDE00CD"/>
    <w:lvl w:ilvl="0" w:tentative="0">
      <w:start w:val="1"/>
      <w:numFmt w:val="decimal"/>
      <w:suff w:val="nothing"/>
      <w:lvlText w:val="（%1）"/>
      <w:lvlJc w:val="left"/>
    </w:lvl>
  </w:abstractNum>
  <w:num w:numId="1">
    <w:abstractNumId w:val="2"/>
  </w:num>
  <w:num w:numId="2">
    <w:abstractNumId w:val="0"/>
  </w:num>
  <w:num w:numId="3">
    <w:abstractNumId w:val="6"/>
  </w:num>
  <w:num w:numId="4">
    <w:abstractNumId w:val="4"/>
  </w:num>
  <w:num w:numId="5">
    <w:abstractNumId w:val="7"/>
  </w:num>
  <w:num w:numId="6">
    <w:abstractNumId w:val="8"/>
  </w:num>
  <w:num w:numId="7">
    <w:abstractNumId w:val="15"/>
  </w:num>
  <w:num w:numId="8">
    <w:abstractNumId w:val="18"/>
  </w:num>
  <w:num w:numId="9">
    <w:abstractNumId w:val="13"/>
  </w:num>
  <w:num w:numId="10">
    <w:abstractNumId w:val="10"/>
  </w:num>
  <w:num w:numId="11">
    <w:abstractNumId w:val="5"/>
  </w:num>
  <w:num w:numId="12">
    <w:abstractNumId w:val="3"/>
  </w:num>
  <w:num w:numId="13">
    <w:abstractNumId w:val="11"/>
  </w:num>
  <w:num w:numId="14">
    <w:abstractNumId w:val="12"/>
  </w:num>
  <w:num w:numId="15">
    <w:abstractNumId w:val="16"/>
  </w:num>
  <w:num w:numId="16">
    <w:abstractNumId w:val="9"/>
  </w:num>
  <w:num w:numId="17">
    <w:abstractNumId w:val="17"/>
  </w:num>
  <w:num w:numId="18">
    <w:abstractNumId w:val="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iZWQ1ZDRmODgxNGI4Y2YzOTFhZTNjMDRiYTBkY2IifQ=="/>
  </w:docVars>
  <w:rsids>
    <w:rsidRoot w:val="00A14947"/>
    <w:rsid w:val="000060B3"/>
    <w:rsid w:val="00007E50"/>
    <w:rsid w:val="00026E08"/>
    <w:rsid w:val="000302E4"/>
    <w:rsid w:val="000327D0"/>
    <w:rsid w:val="00043000"/>
    <w:rsid w:val="0004364B"/>
    <w:rsid w:val="00054221"/>
    <w:rsid w:val="0005554E"/>
    <w:rsid w:val="00061B1F"/>
    <w:rsid w:val="00072FA6"/>
    <w:rsid w:val="000733C4"/>
    <w:rsid w:val="00074783"/>
    <w:rsid w:val="0008070B"/>
    <w:rsid w:val="000810AC"/>
    <w:rsid w:val="000815C3"/>
    <w:rsid w:val="00081A02"/>
    <w:rsid w:val="00082231"/>
    <w:rsid w:val="00085D0C"/>
    <w:rsid w:val="000908BA"/>
    <w:rsid w:val="00092D38"/>
    <w:rsid w:val="0009377B"/>
    <w:rsid w:val="000A02B9"/>
    <w:rsid w:val="000A20C9"/>
    <w:rsid w:val="000A24FF"/>
    <w:rsid w:val="000A68E6"/>
    <w:rsid w:val="000B058F"/>
    <w:rsid w:val="000B25CD"/>
    <w:rsid w:val="000B4467"/>
    <w:rsid w:val="000B4DB9"/>
    <w:rsid w:val="000B6885"/>
    <w:rsid w:val="000C09AC"/>
    <w:rsid w:val="000C5E85"/>
    <w:rsid w:val="000C668B"/>
    <w:rsid w:val="000C767F"/>
    <w:rsid w:val="000D5A44"/>
    <w:rsid w:val="000D79E4"/>
    <w:rsid w:val="000E10C8"/>
    <w:rsid w:val="000E3ED2"/>
    <w:rsid w:val="000E4493"/>
    <w:rsid w:val="00122B34"/>
    <w:rsid w:val="00131F42"/>
    <w:rsid w:val="0013285B"/>
    <w:rsid w:val="001357F1"/>
    <w:rsid w:val="00135F68"/>
    <w:rsid w:val="00140FA8"/>
    <w:rsid w:val="00142FEB"/>
    <w:rsid w:val="00143A2D"/>
    <w:rsid w:val="00145A41"/>
    <w:rsid w:val="001460D7"/>
    <w:rsid w:val="00151675"/>
    <w:rsid w:val="00157435"/>
    <w:rsid w:val="00172995"/>
    <w:rsid w:val="0017504D"/>
    <w:rsid w:val="0017671A"/>
    <w:rsid w:val="00177422"/>
    <w:rsid w:val="00184590"/>
    <w:rsid w:val="001870D1"/>
    <w:rsid w:val="0018781E"/>
    <w:rsid w:val="00190B22"/>
    <w:rsid w:val="0019262D"/>
    <w:rsid w:val="00194AEF"/>
    <w:rsid w:val="001A1B35"/>
    <w:rsid w:val="001A48A2"/>
    <w:rsid w:val="001A6F61"/>
    <w:rsid w:val="001B72B8"/>
    <w:rsid w:val="001C69B3"/>
    <w:rsid w:val="001D5595"/>
    <w:rsid w:val="001D6736"/>
    <w:rsid w:val="001D69B2"/>
    <w:rsid w:val="001D7874"/>
    <w:rsid w:val="001D7F22"/>
    <w:rsid w:val="001E22E0"/>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11E5"/>
    <w:rsid w:val="00284204"/>
    <w:rsid w:val="002870BA"/>
    <w:rsid w:val="00291773"/>
    <w:rsid w:val="002A168C"/>
    <w:rsid w:val="002A2253"/>
    <w:rsid w:val="002A3DC7"/>
    <w:rsid w:val="002B49E2"/>
    <w:rsid w:val="002B7B00"/>
    <w:rsid w:val="002B7C44"/>
    <w:rsid w:val="002C0B4F"/>
    <w:rsid w:val="002C2B17"/>
    <w:rsid w:val="002D3DD0"/>
    <w:rsid w:val="002E1F3A"/>
    <w:rsid w:val="002E298A"/>
    <w:rsid w:val="002E4F2F"/>
    <w:rsid w:val="002F10CC"/>
    <w:rsid w:val="002F35E8"/>
    <w:rsid w:val="00301596"/>
    <w:rsid w:val="00301978"/>
    <w:rsid w:val="0030332C"/>
    <w:rsid w:val="00303688"/>
    <w:rsid w:val="003051C2"/>
    <w:rsid w:val="00312296"/>
    <w:rsid w:val="00314614"/>
    <w:rsid w:val="00314F0E"/>
    <w:rsid w:val="00321D8E"/>
    <w:rsid w:val="00325928"/>
    <w:rsid w:val="003265B2"/>
    <w:rsid w:val="003302DC"/>
    <w:rsid w:val="00332863"/>
    <w:rsid w:val="0033684D"/>
    <w:rsid w:val="00337B42"/>
    <w:rsid w:val="003412F6"/>
    <w:rsid w:val="00341861"/>
    <w:rsid w:val="00341A92"/>
    <w:rsid w:val="00341B42"/>
    <w:rsid w:val="0034348F"/>
    <w:rsid w:val="00356653"/>
    <w:rsid w:val="003570CD"/>
    <w:rsid w:val="0035743F"/>
    <w:rsid w:val="00357BE2"/>
    <w:rsid w:val="0036170C"/>
    <w:rsid w:val="00363C08"/>
    <w:rsid w:val="00366E0F"/>
    <w:rsid w:val="00381A72"/>
    <w:rsid w:val="00384676"/>
    <w:rsid w:val="00390857"/>
    <w:rsid w:val="00390FBC"/>
    <w:rsid w:val="003A4BF3"/>
    <w:rsid w:val="003B420D"/>
    <w:rsid w:val="003C6C16"/>
    <w:rsid w:val="003D103A"/>
    <w:rsid w:val="003D794D"/>
    <w:rsid w:val="003E3058"/>
    <w:rsid w:val="003E76A9"/>
    <w:rsid w:val="003F0809"/>
    <w:rsid w:val="003F6A8C"/>
    <w:rsid w:val="003F755C"/>
    <w:rsid w:val="00402E2F"/>
    <w:rsid w:val="00404681"/>
    <w:rsid w:val="00406F01"/>
    <w:rsid w:val="004076E2"/>
    <w:rsid w:val="0041641A"/>
    <w:rsid w:val="00416B38"/>
    <w:rsid w:val="00416D50"/>
    <w:rsid w:val="00416FD5"/>
    <w:rsid w:val="00417772"/>
    <w:rsid w:val="00420E6A"/>
    <w:rsid w:val="00421AFC"/>
    <w:rsid w:val="00424A21"/>
    <w:rsid w:val="00424D09"/>
    <w:rsid w:val="00425A9E"/>
    <w:rsid w:val="00426D6B"/>
    <w:rsid w:val="00431E6C"/>
    <w:rsid w:val="00433CE7"/>
    <w:rsid w:val="00434115"/>
    <w:rsid w:val="00452738"/>
    <w:rsid w:val="00456091"/>
    <w:rsid w:val="00466321"/>
    <w:rsid w:val="00473C2C"/>
    <w:rsid w:val="00484B9B"/>
    <w:rsid w:val="004855F6"/>
    <w:rsid w:val="0048661E"/>
    <w:rsid w:val="00494670"/>
    <w:rsid w:val="004A3823"/>
    <w:rsid w:val="004B60EC"/>
    <w:rsid w:val="004D49DD"/>
    <w:rsid w:val="004E6946"/>
    <w:rsid w:val="004F1AD8"/>
    <w:rsid w:val="005039CB"/>
    <w:rsid w:val="0050558F"/>
    <w:rsid w:val="00506286"/>
    <w:rsid w:val="00507241"/>
    <w:rsid w:val="00510813"/>
    <w:rsid w:val="00511990"/>
    <w:rsid w:val="00511DE0"/>
    <w:rsid w:val="00514870"/>
    <w:rsid w:val="00514B9B"/>
    <w:rsid w:val="00515AFC"/>
    <w:rsid w:val="00517F02"/>
    <w:rsid w:val="00524303"/>
    <w:rsid w:val="005258A2"/>
    <w:rsid w:val="00530544"/>
    <w:rsid w:val="005401AE"/>
    <w:rsid w:val="00542E07"/>
    <w:rsid w:val="00545424"/>
    <w:rsid w:val="00551F30"/>
    <w:rsid w:val="00554A7B"/>
    <w:rsid w:val="005550E8"/>
    <w:rsid w:val="0055572C"/>
    <w:rsid w:val="005579AE"/>
    <w:rsid w:val="0056106A"/>
    <w:rsid w:val="005720AE"/>
    <w:rsid w:val="00574637"/>
    <w:rsid w:val="0058374D"/>
    <w:rsid w:val="00583829"/>
    <w:rsid w:val="0058514E"/>
    <w:rsid w:val="00592F95"/>
    <w:rsid w:val="00594D77"/>
    <w:rsid w:val="005969E4"/>
    <w:rsid w:val="005A06B7"/>
    <w:rsid w:val="005A1759"/>
    <w:rsid w:val="005A68A7"/>
    <w:rsid w:val="005A7860"/>
    <w:rsid w:val="005D36AB"/>
    <w:rsid w:val="005F6807"/>
    <w:rsid w:val="00600129"/>
    <w:rsid w:val="006042F8"/>
    <w:rsid w:val="00617CC3"/>
    <w:rsid w:val="00635E3A"/>
    <w:rsid w:val="006377A6"/>
    <w:rsid w:val="00637A3D"/>
    <w:rsid w:val="006411EF"/>
    <w:rsid w:val="00650856"/>
    <w:rsid w:val="00655B52"/>
    <w:rsid w:val="006651BE"/>
    <w:rsid w:val="0066627D"/>
    <w:rsid w:val="006748B8"/>
    <w:rsid w:val="006775C3"/>
    <w:rsid w:val="00683099"/>
    <w:rsid w:val="0068486D"/>
    <w:rsid w:val="00686843"/>
    <w:rsid w:val="0069290A"/>
    <w:rsid w:val="0069775A"/>
    <w:rsid w:val="00697813"/>
    <w:rsid w:val="006A3EE8"/>
    <w:rsid w:val="006A72BF"/>
    <w:rsid w:val="006B0064"/>
    <w:rsid w:val="006B03F2"/>
    <w:rsid w:val="006B0FCF"/>
    <w:rsid w:val="006B37DC"/>
    <w:rsid w:val="006B4F68"/>
    <w:rsid w:val="006B6329"/>
    <w:rsid w:val="006C0592"/>
    <w:rsid w:val="006C272E"/>
    <w:rsid w:val="006C5479"/>
    <w:rsid w:val="006C63AE"/>
    <w:rsid w:val="006D13B5"/>
    <w:rsid w:val="006D5CE2"/>
    <w:rsid w:val="006D7D80"/>
    <w:rsid w:val="006E12FF"/>
    <w:rsid w:val="006E607E"/>
    <w:rsid w:val="006F7C9C"/>
    <w:rsid w:val="00702968"/>
    <w:rsid w:val="00706C5D"/>
    <w:rsid w:val="007206B7"/>
    <w:rsid w:val="00730CC4"/>
    <w:rsid w:val="00732922"/>
    <w:rsid w:val="007360CF"/>
    <w:rsid w:val="00747594"/>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054B"/>
    <w:rsid w:val="007B1056"/>
    <w:rsid w:val="007B72B8"/>
    <w:rsid w:val="007B7A58"/>
    <w:rsid w:val="007C1741"/>
    <w:rsid w:val="007C21B5"/>
    <w:rsid w:val="007C4FA5"/>
    <w:rsid w:val="007D4296"/>
    <w:rsid w:val="007E4BD2"/>
    <w:rsid w:val="007E79B2"/>
    <w:rsid w:val="00801393"/>
    <w:rsid w:val="00802F88"/>
    <w:rsid w:val="0081293E"/>
    <w:rsid w:val="00815465"/>
    <w:rsid w:val="00817E9A"/>
    <w:rsid w:val="00823F79"/>
    <w:rsid w:val="008243F1"/>
    <w:rsid w:val="00826E3B"/>
    <w:rsid w:val="008277F7"/>
    <w:rsid w:val="008306BD"/>
    <w:rsid w:val="008318AF"/>
    <w:rsid w:val="00831A80"/>
    <w:rsid w:val="00833743"/>
    <w:rsid w:val="008340A4"/>
    <w:rsid w:val="0084064D"/>
    <w:rsid w:val="00844CFE"/>
    <w:rsid w:val="00851E7D"/>
    <w:rsid w:val="0087135F"/>
    <w:rsid w:val="00872D94"/>
    <w:rsid w:val="00876435"/>
    <w:rsid w:val="00880364"/>
    <w:rsid w:val="00891592"/>
    <w:rsid w:val="00891E9E"/>
    <w:rsid w:val="008A2F68"/>
    <w:rsid w:val="008B4FA6"/>
    <w:rsid w:val="008B5282"/>
    <w:rsid w:val="008B5429"/>
    <w:rsid w:val="008B7C17"/>
    <w:rsid w:val="008C2D01"/>
    <w:rsid w:val="008C40E6"/>
    <w:rsid w:val="008C424F"/>
    <w:rsid w:val="008C6747"/>
    <w:rsid w:val="008D0B58"/>
    <w:rsid w:val="008D0F7A"/>
    <w:rsid w:val="008D68E4"/>
    <w:rsid w:val="008E0506"/>
    <w:rsid w:val="008E0CFF"/>
    <w:rsid w:val="008E5D6B"/>
    <w:rsid w:val="008E76F0"/>
    <w:rsid w:val="008F12C3"/>
    <w:rsid w:val="008F15FE"/>
    <w:rsid w:val="008F2D29"/>
    <w:rsid w:val="008F5187"/>
    <w:rsid w:val="008F60D8"/>
    <w:rsid w:val="00902727"/>
    <w:rsid w:val="0090312B"/>
    <w:rsid w:val="00907F7B"/>
    <w:rsid w:val="00911E34"/>
    <w:rsid w:val="0091736D"/>
    <w:rsid w:val="00925E7E"/>
    <w:rsid w:val="009268FC"/>
    <w:rsid w:val="0093037A"/>
    <w:rsid w:val="00932FAD"/>
    <w:rsid w:val="0094154D"/>
    <w:rsid w:val="00946B22"/>
    <w:rsid w:val="0095155F"/>
    <w:rsid w:val="00954429"/>
    <w:rsid w:val="009563CE"/>
    <w:rsid w:val="0095707D"/>
    <w:rsid w:val="00957F6B"/>
    <w:rsid w:val="00971415"/>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798F"/>
    <w:rsid w:val="009E227D"/>
    <w:rsid w:val="009E4788"/>
    <w:rsid w:val="009E5019"/>
    <w:rsid w:val="009F66F1"/>
    <w:rsid w:val="00A04F1B"/>
    <w:rsid w:val="00A0501B"/>
    <w:rsid w:val="00A14947"/>
    <w:rsid w:val="00A308EF"/>
    <w:rsid w:val="00A3274E"/>
    <w:rsid w:val="00A32A83"/>
    <w:rsid w:val="00A368DB"/>
    <w:rsid w:val="00A423AA"/>
    <w:rsid w:val="00A5167A"/>
    <w:rsid w:val="00A52169"/>
    <w:rsid w:val="00A53EC6"/>
    <w:rsid w:val="00A55C0F"/>
    <w:rsid w:val="00A6280A"/>
    <w:rsid w:val="00A63179"/>
    <w:rsid w:val="00A731F9"/>
    <w:rsid w:val="00A8713F"/>
    <w:rsid w:val="00A90BA1"/>
    <w:rsid w:val="00A97A9A"/>
    <w:rsid w:val="00AA0671"/>
    <w:rsid w:val="00AA2531"/>
    <w:rsid w:val="00AA728E"/>
    <w:rsid w:val="00AA7AD8"/>
    <w:rsid w:val="00AB1E09"/>
    <w:rsid w:val="00AB5330"/>
    <w:rsid w:val="00AB7747"/>
    <w:rsid w:val="00AC14CE"/>
    <w:rsid w:val="00AC1E97"/>
    <w:rsid w:val="00AC2A56"/>
    <w:rsid w:val="00AC6282"/>
    <w:rsid w:val="00AD055E"/>
    <w:rsid w:val="00AD47A7"/>
    <w:rsid w:val="00AD4A34"/>
    <w:rsid w:val="00AE1DEB"/>
    <w:rsid w:val="00AF0CBF"/>
    <w:rsid w:val="00AF257F"/>
    <w:rsid w:val="00AF33CF"/>
    <w:rsid w:val="00AF4D50"/>
    <w:rsid w:val="00AF517A"/>
    <w:rsid w:val="00AF6179"/>
    <w:rsid w:val="00B07785"/>
    <w:rsid w:val="00B10585"/>
    <w:rsid w:val="00B11166"/>
    <w:rsid w:val="00B1218C"/>
    <w:rsid w:val="00B1295A"/>
    <w:rsid w:val="00B20A45"/>
    <w:rsid w:val="00B21A2D"/>
    <w:rsid w:val="00B22C5C"/>
    <w:rsid w:val="00B24B4D"/>
    <w:rsid w:val="00B24F30"/>
    <w:rsid w:val="00B25F51"/>
    <w:rsid w:val="00B2657A"/>
    <w:rsid w:val="00B31ABF"/>
    <w:rsid w:val="00B33BE3"/>
    <w:rsid w:val="00B3401A"/>
    <w:rsid w:val="00B53B5D"/>
    <w:rsid w:val="00B6055E"/>
    <w:rsid w:val="00B6317D"/>
    <w:rsid w:val="00B76659"/>
    <w:rsid w:val="00B7723F"/>
    <w:rsid w:val="00B80534"/>
    <w:rsid w:val="00B8433C"/>
    <w:rsid w:val="00B87491"/>
    <w:rsid w:val="00BA05D6"/>
    <w:rsid w:val="00BA29E9"/>
    <w:rsid w:val="00BA7142"/>
    <w:rsid w:val="00BB237C"/>
    <w:rsid w:val="00BB41A3"/>
    <w:rsid w:val="00BC32DC"/>
    <w:rsid w:val="00BC35B6"/>
    <w:rsid w:val="00BD1B51"/>
    <w:rsid w:val="00BD4596"/>
    <w:rsid w:val="00BE1405"/>
    <w:rsid w:val="00BE312D"/>
    <w:rsid w:val="00BF1C20"/>
    <w:rsid w:val="00BF20B6"/>
    <w:rsid w:val="00C10578"/>
    <w:rsid w:val="00C10A74"/>
    <w:rsid w:val="00C135BC"/>
    <w:rsid w:val="00C15C95"/>
    <w:rsid w:val="00C2596A"/>
    <w:rsid w:val="00C25CE3"/>
    <w:rsid w:val="00C27537"/>
    <w:rsid w:val="00C328FE"/>
    <w:rsid w:val="00C33507"/>
    <w:rsid w:val="00C4409D"/>
    <w:rsid w:val="00C44E72"/>
    <w:rsid w:val="00C45A06"/>
    <w:rsid w:val="00C47E5B"/>
    <w:rsid w:val="00C5252C"/>
    <w:rsid w:val="00C56AD6"/>
    <w:rsid w:val="00C61E4B"/>
    <w:rsid w:val="00C64BFF"/>
    <w:rsid w:val="00C704E9"/>
    <w:rsid w:val="00C727CE"/>
    <w:rsid w:val="00C763C9"/>
    <w:rsid w:val="00C80057"/>
    <w:rsid w:val="00C82232"/>
    <w:rsid w:val="00C82913"/>
    <w:rsid w:val="00C91539"/>
    <w:rsid w:val="00C93560"/>
    <w:rsid w:val="00C94A8B"/>
    <w:rsid w:val="00C972B1"/>
    <w:rsid w:val="00CA2CCE"/>
    <w:rsid w:val="00CA43FD"/>
    <w:rsid w:val="00CA7EF8"/>
    <w:rsid w:val="00CB0A42"/>
    <w:rsid w:val="00CB42AC"/>
    <w:rsid w:val="00CC2240"/>
    <w:rsid w:val="00CC489B"/>
    <w:rsid w:val="00CC7B45"/>
    <w:rsid w:val="00CD2BCD"/>
    <w:rsid w:val="00CD3A4C"/>
    <w:rsid w:val="00CE10E9"/>
    <w:rsid w:val="00CE2910"/>
    <w:rsid w:val="00CE3362"/>
    <w:rsid w:val="00CE3778"/>
    <w:rsid w:val="00CE5393"/>
    <w:rsid w:val="00CF10E9"/>
    <w:rsid w:val="00CF36BE"/>
    <w:rsid w:val="00CF6000"/>
    <w:rsid w:val="00D003F3"/>
    <w:rsid w:val="00D0364F"/>
    <w:rsid w:val="00D06834"/>
    <w:rsid w:val="00D15DB3"/>
    <w:rsid w:val="00D214EB"/>
    <w:rsid w:val="00D26002"/>
    <w:rsid w:val="00D308ED"/>
    <w:rsid w:val="00D36D86"/>
    <w:rsid w:val="00D428AA"/>
    <w:rsid w:val="00D50A34"/>
    <w:rsid w:val="00D53EFA"/>
    <w:rsid w:val="00D6517C"/>
    <w:rsid w:val="00D761B9"/>
    <w:rsid w:val="00D82AB9"/>
    <w:rsid w:val="00D86D43"/>
    <w:rsid w:val="00D94A7C"/>
    <w:rsid w:val="00D95896"/>
    <w:rsid w:val="00D95955"/>
    <w:rsid w:val="00DB2983"/>
    <w:rsid w:val="00DC1257"/>
    <w:rsid w:val="00DC3DC0"/>
    <w:rsid w:val="00DC5B2B"/>
    <w:rsid w:val="00DD318D"/>
    <w:rsid w:val="00DD5A43"/>
    <w:rsid w:val="00DF2E12"/>
    <w:rsid w:val="00DF514A"/>
    <w:rsid w:val="00DF662A"/>
    <w:rsid w:val="00DF6690"/>
    <w:rsid w:val="00DF6804"/>
    <w:rsid w:val="00E0358D"/>
    <w:rsid w:val="00E04323"/>
    <w:rsid w:val="00E070A2"/>
    <w:rsid w:val="00E0764F"/>
    <w:rsid w:val="00E14D92"/>
    <w:rsid w:val="00E25C10"/>
    <w:rsid w:val="00E2656A"/>
    <w:rsid w:val="00E30EC1"/>
    <w:rsid w:val="00E33B2F"/>
    <w:rsid w:val="00E412D0"/>
    <w:rsid w:val="00E56322"/>
    <w:rsid w:val="00E60982"/>
    <w:rsid w:val="00E62C62"/>
    <w:rsid w:val="00E654C1"/>
    <w:rsid w:val="00E65D97"/>
    <w:rsid w:val="00E72A5A"/>
    <w:rsid w:val="00E73354"/>
    <w:rsid w:val="00E74627"/>
    <w:rsid w:val="00E9242D"/>
    <w:rsid w:val="00EA2F6A"/>
    <w:rsid w:val="00EB5255"/>
    <w:rsid w:val="00EB565A"/>
    <w:rsid w:val="00EB5C47"/>
    <w:rsid w:val="00EC1672"/>
    <w:rsid w:val="00ED0639"/>
    <w:rsid w:val="00ED747A"/>
    <w:rsid w:val="00EF4755"/>
    <w:rsid w:val="00EF6951"/>
    <w:rsid w:val="00EF7135"/>
    <w:rsid w:val="00F01ABA"/>
    <w:rsid w:val="00F027DB"/>
    <w:rsid w:val="00F03C1D"/>
    <w:rsid w:val="00F06514"/>
    <w:rsid w:val="00F14A7A"/>
    <w:rsid w:val="00F22985"/>
    <w:rsid w:val="00F31C19"/>
    <w:rsid w:val="00F3383E"/>
    <w:rsid w:val="00F35CDB"/>
    <w:rsid w:val="00F368A1"/>
    <w:rsid w:val="00F465A7"/>
    <w:rsid w:val="00F50B7C"/>
    <w:rsid w:val="00F550E6"/>
    <w:rsid w:val="00F70670"/>
    <w:rsid w:val="00F72B3A"/>
    <w:rsid w:val="00F74345"/>
    <w:rsid w:val="00F767AB"/>
    <w:rsid w:val="00F80A0A"/>
    <w:rsid w:val="00F80ACA"/>
    <w:rsid w:val="00F81904"/>
    <w:rsid w:val="00F82B19"/>
    <w:rsid w:val="00F914C5"/>
    <w:rsid w:val="00F9212D"/>
    <w:rsid w:val="00F965DA"/>
    <w:rsid w:val="00FA406A"/>
    <w:rsid w:val="00FB166C"/>
    <w:rsid w:val="00FB20DD"/>
    <w:rsid w:val="00FB503A"/>
    <w:rsid w:val="00FB516C"/>
    <w:rsid w:val="00FD0236"/>
    <w:rsid w:val="00FD18F4"/>
    <w:rsid w:val="00FD54DB"/>
    <w:rsid w:val="00FD619F"/>
    <w:rsid w:val="00FE2DB2"/>
    <w:rsid w:val="01290F7E"/>
    <w:rsid w:val="01485A4C"/>
    <w:rsid w:val="015D1E09"/>
    <w:rsid w:val="017D7944"/>
    <w:rsid w:val="01855C6A"/>
    <w:rsid w:val="018E2172"/>
    <w:rsid w:val="01BC156D"/>
    <w:rsid w:val="020C4849"/>
    <w:rsid w:val="02320536"/>
    <w:rsid w:val="02697903"/>
    <w:rsid w:val="02780112"/>
    <w:rsid w:val="02A6619F"/>
    <w:rsid w:val="02CA57CD"/>
    <w:rsid w:val="02E005BD"/>
    <w:rsid w:val="02F96191"/>
    <w:rsid w:val="02F96569"/>
    <w:rsid w:val="03252FF0"/>
    <w:rsid w:val="032C6BE5"/>
    <w:rsid w:val="032E4F76"/>
    <w:rsid w:val="033A6511"/>
    <w:rsid w:val="034C26CD"/>
    <w:rsid w:val="035328D5"/>
    <w:rsid w:val="035F2367"/>
    <w:rsid w:val="03660AEE"/>
    <w:rsid w:val="03823DDF"/>
    <w:rsid w:val="03825685"/>
    <w:rsid w:val="03E5503B"/>
    <w:rsid w:val="03EA7B21"/>
    <w:rsid w:val="03F60234"/>
    <w:rsid w:val="043D6C25"/>
    <w:rsid w:val="04550B68"/>
    <w:rsid w:val="04561E59"/>
    <w:rsid w:val="04606C82"/>
    <w:rsid w:val="04747742"/>
    <w:rsid w:val="048D12FC"/>
    <w:rsid w:val="04E41BF7"/>
    <w:rsid w:val="050E43A9"/>
    <w:rsid w:val="051B2911"/>
    <w:rsid w:val="05261757"/>
    <w:rsid w:val="05335DBA"/>
    <w:rsid w:val="056D51A3"/>
    <w:rsid w:val="056E595F"/>
    <w:rsid w:val="05704BDF"/>
    <w:rsid w:val="0571479C"/>
    <w:rsid w:val="05815051"/>
    <w:rsid w:val="05955D14"/>
    <w:rsid w:val="0598567E"/>
    <w:rsid w:val="05C70CE5"/>
    <w:rsid w:val="05F83EAE"/>
    <w:rsid w:val="06226991"/>
    <w:rsid w:val="063D75BD"/>
    <w:rsid w:val="063E7D85"/>
    <w:rsid w:val="065C7192"/>
    <w:rsid w:val="06606218"/>
    <w:rsid w:val="066D2D6F"/>
    <w:rsid w:val="066E070B"/>
    <w:rsid w:val="068E3384"/>
    <w:rsid w:val="06A00999"/>
    <w:rsid w:val="06C65CA6"/>
    <w:rsid w:val="07267D9E"/>
    <w:rsid w:val="07293586"/>
    <w:rsid w:val="07295285"/>
    <w:rsid w:val="072E66BA"/>
    <w:rsid w:val="0744316F"/>
    <w:rsid w:val="07631336"/>
    <w:rsid w:val="07636392"/>
    <w:rsid w:val="07770C56"/>
    <w:rsid w:val="07BE74DF"/>
    <w:rsid w:val="07C34A79"/>
    <w:rsid w:val="08184E64"/>
    <w:rsid w:val="08246091"/>
    <w:rsid w:val="084B268B"/>
    <w:rsid w:val="08764548"/>
    <w:rsid w:val="08790C71"/>
    <w:rsid w:val="08B42A7F"/>
    <w:rsid w:val="08FE6E0B"/>
    <w:rsid w:val="092217DD"/>
    <w:rsid w:val="093A7294"/>
    <w:rsid w:val="096D3B08"/>
    <w:rsid w:val="096E78BD"/>
    <w:rsid w:val="0A044ACB"/>
    <w:rsid w:val="0A263993"/>
    <w:rsid w:val="0A274598"/>
    <w:rsid w:val="0A2D3AC2"/>
    <w:rsid w:val="0A730DFA"/>
    <w:rsid w:val="0A795074"/>
    <w:rsid w:val="0AA755DF"/>
    <w:rsid w:val="0AD33E3F"/>
    <w:rsid w:val="0B120D44"/>
    <w:rsid w:val="0B3413A6"/>
    <w:rsid w:val="0B550FB2"/>
    <w:rsid w:val="0B59637A"/>
    <w:rsid w:val="0B68340B"/>
    <w:rsid w:val="0B7104A4"/>
    <w:rsid w:val="0BB7115F"/>
    <w:rsid w:val="0BD11B68"/>
    <w:rsid w:val="0BD27BF6"/>
    <w:rsid w:val="0C396525"/>
    <w:rsid w:val="0C3B3C7D"/>
    <w:rsid w:val="0C4B242C"/>
    <w:rsid w:val="0CAB2EAE"/>
    <w:rsid w:val="0CC47EE3"/>
    <w:rsid w:val="0D023FAF"/>
    <w:rsid w:val="0D1B7A79"/>
    <w:rsid w:val="0D424F6A"/>
    <w:rsid w:val="0D574B6B"/>
    <w:rsid w:val="0D621C7D"/>
    <w:rsid w:val="0D693DEC"/>
    <w:rsid w:val="0D6E0ACA"/>
    <w:rsid w:val="0D7B67C8"/>
    <w:rsid w:val="0DB4739C"/>
    <w:rsid w:val="0DE03144"/>
    <w:rsid w:val="0DE551F8"/>
    <w:rsid w:val="0E3B7D90"/>
    <w:rsid w:val="0E73034D"/>
    <w:rsid w:val="0E7C70F4"/>
    <w:rsid w:val="0EC5612E"/>
    <w:rsid w:val="0ECB5585"/>
    <w:rsid w:val="0ED53B2A"/>
    <w:rsid w:val="0EF00EB7"/>
    <w:rsid w:val="0F13775A"/>
    <w:rsid w:val="0F1A19B0"/>
    <w:rsid w:val="0F325B5E"/>
    <w:rsid w:val="0F5E4995"/>
    <w:rsid w:val="0F5F45FE"/>
    <w:rsid w:val="0F9A112B"/>
    <w:rsid w:val="0FAE54B7"/>
    <w:rsid w:val="0FD42EF8"/>
    <w:rsid w:val="0FE04B75"/>
    <w:rsid w:val="101E01DD"/>
    <w:rsid w:val="10301D81"/>
    <w:rsid w:val="103269DD"/>
    <w:rsid w:val="104650B3"/>
    <w:rsid w:val="105703E4"/>
    <w:rsid w:val="10624026"/>
    <w:rsid w:val="106B3A2C"/>
    <w:rsid w:val="106D2F64"/>
    <w:rsid w:val="108C5DD6"/>
    <w:rsid w:val="10934C0E"/>
    <w:rsid w:val="10B63710"/>
    <w:rsid w:val="10DF0599"/>
    <w:rsid w:val="10F10820"/>
    <w:rsid w:val="111C2F7A"/>
    <w:rsid w:val="11665CA1"/>
    <w:rsid w:val="11755C50"/>
    <w:rsid w:val="11C61A8C"/>
    <w:rsid w:val="11E16828"/>
    <w:rsid w:val="12280C71"/>
    <w:rsid w:val="12360D76"/>
    <w:rsid w:val="128027A8"/>
    <w:rsid w:val="1284714D"/>
    <w:rsid w:val="1285133D"/>
    <w:rsid w:val="12974E1B"/>
    <w:rsid w:val="12CB0AED"/>
    <w:rsid w:val="12D660F5"/>
    <w:rsid w:val="12F763AA"/>
    <w:rsid w:val="12FD40A6"/>
    <w:rsid w:val="13676A59"/>
    <w:rsid w:val="13787FF3"/>
    <w:rsid w:val="138F33AD"/>
    <w:rsid w:val="13951726"/>
    <w:rsid w:val="13AC1380"/>
    <w:rsid w:val="140F63C5"/>
    <w:rsid w:val="142A4318"/>
    <w:rsid w:val="14396509"/>
    <w:rsid w:val="14400BDC"/>
    <w:rsid w:val="14491918"/>
    <w:rsid w:val="14786D6E"/>
    <w:rsid w:val="148A6C34"/>
    <w:rsid w:val="14A050A1"/>
    <w:rsid w:val="14B51A09"/>
    <w:rsid w:val="14DD2C3C"/>
    <w:rsid w:val="14F75D95"/>
    <w:rsid w:val="14FB1AB6"/>
    <w:rsid w:val="15056B25"/>
    <w:rsid w:val="15081722"/>
    <w:rsid w:val="157024A3"/>
    <w:rsid w:val="157A2DDF"/>
    <w:rsid w:val="15950FF7"/>
    <w:rsid w:val="16087E1D"/>
    <w:rsid w:val="16360D52"/>
    <w:rsid w:val="16506019"/>
    <w:rsid w:val="16683188"/>
    <w:rsid w:val="167959FC"/>
    <w:rsid w:val="16963F61"/>
    <w:rsid w:val="16BB3179"/>
    <w:rsid w:val="174B58EB"/>
    <w:rsid w:val="17701D14"/>
    <w:rsid w:val="17735226"/>
    <w:rsid w:val="17904284"/>
    <w:rsid w:val="179130B8"/>
    <w:rsid w:val="17CF18D3"/>
    <w:rsid w:val="17ED46B2"/>
    <w:rsid w:val="180B1118"/>
    <w:rsid w:val="182860D2"/>
    <w:rsid w:val="183541AA"/>
    <w:rsid w:val="183D3240"/>
    <w:rsid w:val="189519C1"/>
    <w:rsid w:val="18984BAC"/>
    <w:rsid w:val="189F624C"/>
    <w:rsid w:val="18A101D5"/>
    <w:rsid w:val="18DC79EE"/>
    <w:rsid w:val="18F358AD"/>
    <w:rsid w:val="190C227B"/>
    <w:rsid w:val="197860D8"/>
    <w:rsid w:val="197F3D74"/>
    <w:rsid w:val="19CE0A77"/>
    <w:rsid w:val="19EC64CE"/>
    <w:rsid w:val="1A1C66C0"/>
    <w:rsid w:val="1A287335"/>
    <w:rsid w:val="1A3E7156"/>
    <w:rsid w:val="1A42393B"/>
    <w:rsid w:val="1A495CDA"/>
    <w:rsid w:val="1A4D3AB7"/>
    <w:rsid w:val="1AA51FBC"/>
    <w:rsid w:val="1AAD45DE"/>
    <w:rsid w:val="1B046F80"/>
    <w:rsid w:val="1B1464DA"/>
    <w:rsid w:val="1B220A43"/>
    <w:rsid w:val="1B3267B5"/>
    <w:rsid w:val="1B40161D"/>
    <w:rsid w:val="1B441859"/>
    <w:rsid w:val="1B6606B1"/>
    <w:rsid w:val="1B755999"/>
    <w:rsid w:val="1BBC1669"/>
    <w:rsid w:val="1BE67576"/>
    <w:rsid w:val="1BFD7D5B"/>
    <w:rsid w:val="1C001F82"/>
    <w:rsid w:val="1C1912D5"/>
    <w:rsid w:val="1C342603"/>
    <w:rsid w:val="1C366666"/>
    <w:rsid w:val="1C4400B9"/>
    <w:rsid w:val="1C44540E"/>
    <w:rsid w:val="1C5E7925"/>
    <w:rsid w:val="1C996C1A"/>
    <w:rsid w:val="1CA52842"/>
    <w:rsid w:val="1CBD38F2"/>
    <w:rsid w:val="1CE23580"/>
    <w:rsid w:val="1CFD070F"/>
    <w:rsid w:val="1D0471D5"/>
    <w:rsid w:val="1D1C1676"/>
    <w:rsid w:val="1D4838C7"/>
    <w:rsid w:val="1D5F6196"/>
    <w:rsid w:val="1D6132A5"/>
    <w:rsid w:val="1D6412AC"/>
    <w:rsid w:val="1D8E56D5"/>
    <w:rsid w:val="1DAF4B03"/>
    <w:rsid w:val="1DCB640B"/>
    <w:rsid w:val="1E00400F"/>
    <w:rsid w:val="1E463A8F"/>
    <w:rsid w:val="1E474C1C"/>
    <w:rsid w:val="1E505DFB"/>
    <w:rsid w:val="1E51478E"/>
    <w:rsid w:val="1E7A43DA"/>
    <w:rsid w:val="1EAF6A76"/>
    <w:rsid w:val="1ECB3940"/>
    <w:rsid w:val="1EE37343"/>
    <w:rsid w:val="1EF03A1A"/>
    <w:rsid w:val="1F022AED"/>
    <w:rsid w:val="1F027A3B"/>
    <w:rsid w:val="1F2F0C59"/>
    <w:rsid w:val="1F415A17"/>
    <w:rsid w:val="1F45479F"/>
    <w:rsid w:val="1F615F75"/>
    <w:rsid w:val="1F6F73AB"/>
    <w:rsid w:val="1FE7539E"/>
    <w:rsid w:val="20066C64"/>
    <w:rsid w:val="200A7D12"/>
    <w:rsid w:val="20671BE0"/>
    <w:rsid w:val="20963CB8"/>
    <w:rsid w:val="20A81A1B"/>
    <w:rsid w:val="20B07FB6"/>
    <w:rsid w:val="20B646FB"/>
    <w:rsid w:val="20C47E37"/>
    <w:rsid w:val="20C87FC7"/>
    <w:rsid w:val="2124591D"/>
    <w:rsid w:val="213B74B1"/>
    <w:rsid w:val="215A2310"/>
    <w:rsid w:val="215D0E96"/>
    <w:rsid w:val="21602A8E"/>
    <w:rsid w:val="21751EDF"/>
    <w:rsid w:val="21C151E6"/>
    <w:rsid w:val="21DE318A"/>
    <w:rsid w:val="21EA5DD8"/>
    <w:rsid w:val="21EF5B80"/>
    <w:rsid w:val="21F42464"/>
    <w:rsid w:val="21FB74DB"/>
    <w:rsid w:val="223E6D4D"/>
    <w:rsid w:val="225350C5"/>
    <w:rsid w:val="22576990"/>
    <w:rsid w:val="225B13B4"/>
    <w:rsid w:val="225C7729"/>
    <w:rsid w:val="22661F3D"/>
    <w:rsid w:val="228E181E"/>
    <w:rsid w:val="22A83271"/>
    <w:rsid w:val="22C619DE"/>
    <w:rsid w:val="22F47480"/>
    <w:rsid w:val="23076125"/>
    <w:rsid w:val="230F70F6"/>
    <w:rsid w:val="23121140"/>
    <w:rsid w:val="23380DC8"/>
    <w:rsid w:val="234C526C"/>
    <w:rsid w:val="236A73C0"/>
    <w:rsid w:val="23706BC0"/>
    <w:rsid w:val="239209EB"/>
    <w:rsid w:val="23C67D21"/>
    <w:rsid w:val="23DE1C48"/>
    <w:rsid w:val="240210CD"/>
    <w:rsid w:val="243436FD"/>
    <w:rsid w:val="24AA2DC5"/>
    <w:rsid w:val="24B5731B"/>
    <w:rsid w:val="24B73CC6"/>
    <w:rsid w:val="24B968EC"/>
    <w:rsid w:val="24BA7E5E"/>
    <w:rsid w:val="24BF09F7"/>
    <w:rsid w:val="24DC368D"/>
    <w:rsid w:val="24FB60FE"/>
    <w:rsid w:val="25056E93"/>
    <w:rsid w:val="251F7FF4"/>
    <w:rsid w:val="252D53FE"/>
    <w:rsid w:val="253E5AE3"/>
    <w:rsid w:val="25675A7C"/>
    <w:rsid w:val="2592300E"/>
    <w:rsid w:val="25EC2D81"/>
    <w:rsid w:val="25F27D0E"/>
    <w:rsid w:val="25F71060"/>
    <w:rsid w:val="26003F42"/>
    <w:rsid w:val="26094088"/>
    <w:rsid w:val="261F1AB0"/>
    <w:rsid w:val="262F5F40"/>
    <w:rsid w:val="263C2F28"/>
    <w:rsid w:val="26502390"/>
    <w:rsid w:val="270F25D9"/>
    <w:rsid w:val="277057A2"/>
    <w:rsid w:val="27E2159C"/>
    <w:rsid w:val="27F1254F"/>
    <w:rsid w:val="27F806C6"/>
    <w:rsid w:val="28000A90"/>
    <w:rsid w:val="285366EF"/>
    <w:rsid w:val="286059A6"/>
    <w:rsid w:val="28A84786"/>
    <w:rsid w:val="28AE7239"/>
    <w:rsid w:val="28D76D98"/>
    <w:rsid w:val="28F27EBE"/>
    <w:rsid w:val="29040F40"/>
    <w:rsid w:val="29206EB8"/>
    <w:rsid w:val="292D5AF0"/>
    <w:rsid w:val="29380084"/>
    <w:rsid w:val="29393BAF"/>
    <w:rsid w:val="29583ABD"/>
    <w:rsid w:val="29595666"/>
    <w:rsid w:val="295B2136"/>
    <w:rsid w:val="296975DD"/>
    <w:rsid w:val="29874881"/>
    <w:rsid w:val="29996542"/>
    <w:rsid w:val="29BC7957"/>
    <w:rsid w:val="29CE794B"/>
    <w:rsid w:val="29E325E0"/>
    <w:rsid w:val="29E83863"/>
    <w:rsid w:val="29EF75EF"/>
    <w:rsid w:val="29FC4E24"/>
    <w:rsid w:val="2A251353"/>
    <w:rsid w:val="2A2A02B0"/>
    <w:rsid w:val="2A3F2C9F"/>
    <w:rsid w:val="2A452503"/>
    <w:rsid w:val="2A7C6D63"/>
    <w:rsid w:val="2AC04A1A"/>
    <w:rsid w:val="2ADD5D1D"/>
    <w:rsid w:val="2AEE732B"/>
    <w:rsid w:val="2B281564"/>
    <w:rsid w:val="2B89429C"/>
    <w:rsid w:val="2BA936A8"/>
    <w:rsid w:val="2BEB3043"/>
    <w:rsid w:val="2C315A5A"/>
    <w:rsid w:val="2C402762"/>
    <w:rsid w:val="2C4B1C25"/>
    <w:rsid w:val="2C4D4F8A"/>
    <w:rsid w:val="2C5644A4"/>
    <w:rsid w:val="2C6A2454"/>
    <w:rsid w:val="2C7A3E4F"/>
    <w:rsid w:val="2C8D5332"/>
    <w:rsid w:val="2CAA78E3"/>
    <w:rsid w:val="2CF12373"/>
    <w:rsid w:val="2D0E5B5D"/>
    <w:rsid w:val="2D152148"/>
    <w:rsid w:val="2D1C2D2D"/>
    <w:rsid w:val="2D217279"/>
    <w:rsid w:val="2D402802"/>
    <w:rsid w:val="2D615DD6"/>
    <w:rsid w:val="2D9E56F5"/>
    <w:rsid w:val="2DB156D7"/>
    <w:rsid w:val="2DD77B84"/>
    <w:rsid w:val="2E1858B1"/>
    <w:rsid w:val="2E2850A7"/>
    <w:rsid w:val="2E667F96"/>
    <w:rsid w:val="2E68321A"/>
    <w:rsid w:val="2E7523D2"/>
    <w:rsid w:val="2E8226AB"/>
    <w:rsid w:val="2EBD1B9A"/>
    <w:rsid w:val="2EC94703"/>
    <w:rsid w:val="2F0A1A9E"/>
    <w:rsid w:val="2F5C183B"/>
    <w:rsid w:val="2F8B1378"/>
    <w:rsid w:val="2FB01D97"/>
    <w:rsid w:val="2FD065E6"/>
    <w:rsid w:val="2FD96870"/>
    <w:rsid w:val="2FF43E4A"/>
    <w:rsid w:val="300C7443"/>
    <w:rsid w:val="300E5FA9"/>
    <w:rsid w:val="30263124"/>
    <w:rsid w:val="30580BC9"/>
    <w:rsid w:val="30997C37"/>
    <w:rsid w:val="30DD3C0A"/>
    <w:rsid w:val="30E466A3"/>
    <w:rsid w:val="311E2ED7"/>
    <w:rsid w:val="312A782E"/>
    <w:rsid w:val="315619EE"/>
    <w:rsid w:val="315C449C"/>
    <w:rsid w:val="31653093"/>
    <w:rsid w:val="318D1393"/>
    <w:rsid w:val="31B82709"/>
    <w:rsid w:val="31BA1377"/>
    <w:rsid w:val="31D05482"/>
    <w:rsid w:val="31F37147"/>
    <w:rsid w:val="31F847A3"/>
    <w:rsid w:val="32154937"/>
    <w:rsid w:val="32400B34"/>
    <w:rsid w:val="325B2C7D"/>
    <w:rsid w:val="32616EEE"/>
    <w:rsid w:val="326E4074"/>
    <w:rsid w:val="32966E2E"/>
    <w:rsid w:val="329E6876"/>
    <w:rsid w:val="32D53372"/>
    <w:rsid w:val="330F6E52"/>
    <w:rsid w:val="33226A2C"/>
    <w:rsid w:val="333015F2"/>
    <w:rsid w:val="334B6320"/>
    <w:rsid w:val="33845A38"/>
    <w:rsid w:val="33C54C16"/>
    <w:rsid w:val="33D0721B"/>
    <w:rsid w:val="33D934D4"/>
    <w:rsid w:val="33F1333E"/>
    <w:rsid w:val="33F27534"/>
    <w:rsid w:val="33FE2F6A"/>
    <w:rsid w:val="340E07E5"/>
    <w:rsid w:val="34235BF7"/>
    <w:rsid w:val="3455188C"/>
    <w:rsid w:val="34796072"/>
    <w:rsid w:val="34B5067E"/>
    <w:rsid w:val="34B70A70"/>
    <w:rsid w:val="34B72695"/>
    <w:rsid w:val="34C83A8C"/>
    <w:rsid w:val="34E1503D"/>
    <w:rsid w:val="34EB6CAD"/>
    <w:rsid w:val="35022D13"/>
    <w:rsid w:val="350B3509"/>
    <w:rsid w:val="35101310"/>
    <w:rsid w:val="35361921"/>
    <w:rsid w:val="355A38AE"/>
    <w:rsid w:val="357323CB"/>
    <w:rsid w:val="358C286A"/>
    <w:rsid w:val="358C5FA8"/>
    <w:rsid w:val="35A563B0"/>
    <w:rsid w:val="35AF4E72"/>
    <w:rsid w:val="35C15DF1"/>
    <w:rsid w:val="35F727E8"/>
    <w:rsid w:val="35FE6760"/>
    <w:rsid w:val="36074A7F"/>
    <w:rsid w:val="36263B6B"/>
    <w:rsid w:val="3671265B"/>
    <w:rsid w:val="36765F29"/>
    <w:rsid w:val="368C0F81"/>
    <w:rsid w:val="36923549"/>
    <w:rsid w:val="36B75FBF"/>
    <w:rsid w:val="36BD0C45"/>
    <w:rsid w:val="36D64732"/>
    <w:rsid w:val="370D077C"/>
    <w:rsid w:val="372F4B08"/>
    <w:rsid w:val="373E3B81"/>
    <w:rsid w:val="37482E8A"/>
    <w:rsid w:val="375675BD"/>
    <w:rsid w:val="37D11581"/>
    <w:rsid w:val="37D80577"/>
    <w:rsid w:val="37E00298"/>
    <w:rsid w:val="383F40D2"/>
    <w:rsid w:val="38443FB2"/>
    <w:rsid w:val="38833B06"/>
    <w:rsid w:val="38B16F14"/>
    <w:rsid w:val="38B302F9"/>
    <w:rsid w:val="38B44C77"/>
    <w:rsid w:val="38B777C4"/>
    <w:rsid w:val="38B86C0B"/>
    <w:rsid w:val="38D2217A"/>
    <w:rsid w:val="38E504E6"/>
    <w:rsid w:val="38F12CD3"/>
    <w:rsid w:val="38F300CE"/>
    <w:rsid w:val="38F94775"/>
    <w:rsid w:val="392971ED"/>
    <w:rsid w:val="39325651"/>
    <w:rsid w:val="39735EE0"/>
    <w:rsid w:val="398D4014"/>
    <w:rsid w:val="39AC240D"/>
    <w:rsid w:val="39B4222B"/>
    <w:rsid w:val="39EB0DC3"/>
    <w:rsid w:val="3A2200D0"/>
    <w:rsid w:val="3A3267E2"/>
    <w:rsid w:val="3A7C5676"/>
    <w:rsid w:val="3A7E5D02"/>
    <w:rsid w:val="3A872856"/>
    <w:rsid w:val="3AB203B2"/>
    <w:rsid w:val="3AB47B44"/>
    <w:rsid w:val="3AD15794"/>
    <w:rsid w:val="3AE72E6B"/>
    <w:rsid w:val="3AFB1DF4"/>
    <w:rsid w:val="3B082D9E"/>
    <w:rsid w:val="3B2A6745"/>
    <w:rsid w:val="3B3763D1"/>
    <w:rsid w:val="3B5812A0"/>
    <w:rsid w:val="3B5C33D4"/>
    <w:rsid w:val="3B79712A"/>
    <w:rsid w:val="3B924904"/>
    <w:rsid w:val="3BE22B25"/>
    <w:rsid w:val="3C025096"/>
    <w:rsid w:val="3C0E3279"/>
    <w:rsid w:val="3C120D8C"/>
    <w:rsid w:val="3C14312B"/>
    <w:rsid w:val="3C2F6E1E"/>
    <w:rsid w:val="3C314AE6"/>
    <w:rsid w:val="3C4979E3"/>
    <w:rsid w:val="3C4F64BA"/>
    <w:rsid w:val="3C577B7C"/>
    <w:rsid w:val="3C842039"/>
    <w:rsid w:val="3CDA245A"/>
    <w:rsid w:val="3CDC62BC"/>
    <w:rsid w:val="3D0B215C"/>
    <w:rsid w:val="3D1E06B7"/>
    <w:rsid w:val="3D200501"/>
    <w:rsid w:val="3D4707F7"/>
    <w:rsid w:val="3D9B094B"/>
    <w:rsid w:val="3DA05AAF"/>
    <w:rsid w:val="3DB7094F"/>
    <w:rsid w:val="3DE010A7"/>
    <w:rsid w:val="3DE26767"/>
    <w:rsid w:val="3DEF0AA4"/>
    <w:rsid w:val="3E1C0F2E"/>
    <w:rsid w:val="3E912E57"/>
    <w:rsid w:val="3ECA14CD"/>
    <w:rsid w:val="3ED91CB3"/>
    <w:rsid w:val="3EDA0523"/>
    <w:rsid w:val="3EE925D6"/>
    <w:rsid w:val="3F1E1DF4"/>
    <w:rsid w:val="3F323623"/>
    <w:rsid w:val="3F692D18"/>
    <w:rsid w:val="3FB93230"/>
    <w:rsid w:val="3FC731E3"/>
    <w:rsid w:val="3FEA2284"/>
    <w:rsid w:val="40187EBB"/>
    <w:rsid w:val="40194D48"/>
    <w:rsid w:val="40195E10"/>
    <w:rsid w:val="401D76E9"/>
    <w:rsid w:val="402828F4"/>
    <w:rsid w:val="404A71D7"/>
    <w:rsid w:val="405F229E"/>
    <w:rsid w:val="407A6407"/>
    <w:rsid w:val="409D7FFF"/>
    <w:rsid w:val="40FB3F30"/>
    <w:rsid w:val="410A3250"/>
    <w:rsid w:val="41221F76"/>
    <w:rsid w:val="41261C25"/>
    <w:rsid w:val="41356370"/>
    <w:rsid w:val="419D5334"/>
    <w:rsid w:val="41B1653E"/>
    <w:rsid w:val="41CC4A25"/>
    <w:rsid w:val="41F24E6F"/>
    <w:rsid w:val="4200449D"/>
    <w:rsid w:val="42311581"/>
    <w:rsid w:val="423A3BCC"/>
    <w:rsid w:val="424A43C6"/>
    <w:rsid w:val="424E57D2"/>
    <w:rsid w:val="4262398E"/>
    <w:rsid w:val="426E0F96"/>
    <w:rsid w:val="4275530E"/>
    <w:rsid w:val="428072A5"/>
    <w:rsid w:val="42B26C49"/>
    <w:rsid w:val="432970F2"/>
    <w:rsid w:val="432A3E5A"/>
    <w:rsid w:val="433A6FE6"/>
    <w:rsid w:val="43422D96"/>
    <w:rsid w:val="43480868"/>
    <w:rsid w:val="4350713C"/>
    <w:rsid w:val="435876DF"/>
    <w:rsid w:val="436234B1"/>
    <w:rsid w:val="436653E0"/>
    <w:rsid w:val="438D102F"/>
    <w:rsid w:val="43962E24"/>
    <w:rsid w:val="43A176CF"/>
    <w:rsid w:val="43C4431A"/>
    <w:rsid w:val="43D27FC5"/>
    <w:rsid w:val="43D778ED"/>
    <w:rsid w:val="43E7135A"/>
    <w:rsid w:val="44372AA4"/>
    <w:rsid w:val="4465462A"/>
    <w:rsid w:val="44A41E67"/>
    <w:rsid w:val="44B6630C"/>
    <w:rsid w:val="44B951CC"/>
    <w:rsid w:val="44CD14E0"/>
    <w:rsid w:val="44D5342A"/>
    <w:rsid w:val="44F20B0B"/>
    <w:rsid w:val="44F71492"/>
    <w:rsid w:val="452E5F4C"/>
    <w:rsid w:val="453A2422"/>
    <w:rsid w:val="45612018"/>
    <w:rsid w:val="45727075"/>
    <w:rsid w:val="458946E9"/>
    <w:rsid w:val="45A47C0E"/>
    <w:rsid w:val="45B81CE5"/>
    <w:rsid w:val="45C2519A"/>
    <w:rsid w:val="45C752BD"/>
    <w:rsid w:val="46036571"/>
    <w:rsid w:val="460E285D"/>
    <w:rsid w:val="46577FD6"/>
    <w:rsid w:val="46996FB3"/>
    <w:rsid w:val="46AA4368"/>
    <w:rsid w:val="46B749FC"/>
    <w:rsid w:val="46D26E03"/>
    <w:rsid w:val="46D955A7"/>
    <w:rsid w:val="47003456"/>
    <w:rsid w:val="47105700"/>
    <w:rsid w:val="47133957"/>
    <w:rsid w:val="47261795"/>
    <w:rsid w:val="4792553C"/>
    <w:rsid w:val="47A07E0C"/>
    <w:rsid w:val="47AB64AE"/>
    <w:rsid w:val="47BC7C68"/>
    <w:rsid w:val="47CF21B0"/>
    <w:rsid w:val="47D613CB"/>
    <w:rsid w:val="48350A56"/>
    <w:rsid w:val="484C3F1D"/>
    <w:rsid w:val="48586A27"/>
    <w:rsid w:val="486D6549"/>
    <w:rsid w:val="4870272E"/>
    <w:rsid w:val="48AE007F"/>
    <w:rsid w:val="48B03DDE"/>
    <w:rsid w:val="48B3436D"/>
    <w:rsid w:val="48BA4DA2"/>
    <w:rsid w:val="48CC29F3"/>
    <w:rsid w:val="48DE0BD5"/>
    <w:rsid w:val="48E97048"/>
    <w:rsid w:val="491018E3"/>
    <w:rsid w:val="49180694"/>
    <w:rsid w:val="491D0CD2"/>
    <w:rsid w:val="49202AE6"/>
    <w:rsid w:val="497C3899"/>
    <w:rsid w:val="49CC2D15"/>
    <w:rsid w:val="49D10DA8"/>
    <w:rsid w:val="49DC7715"/>
    <w:rsid w:val="49E36EF3"/>
    <w:rsid w:val="4A023139"/>
    <w:rsid w:val="4A332692"/>
    <w:rsid w:val="4A3F2B31"/>
    <w:rsid w:val="4A551603"/>
    <w:rsid w:val="4A5C22F7"/>
    <w:rsid w:val="4A7B576F"/>
    <w:rsid w:val="4A9220C8"/>
    <w:rsid w:val="4AA6557E"/>
    <w:rsid w:val="4AF561A9"/>
    <w:rsid w:val="4B260104"/>
    <w:rsid w:val="4B727B6A"/>
    <w:rsid w:val="4BAE0247"/>
    <w:rsid w:val="4BC5455A"/>
    <w:rsid w:val="4C0233A5"/>
    <w:rsid w:val="4C0C0EBE"/>
    <w:rsid w:val="4C0D5056"/>
    <w:rsid w:val="4C295EBE"/>
    <w:rsid w:val="4C4A0649"/>
    <w:rsid w:val="4C7E5ECA"/>
    <w:rsid w:val="4C7F125B"/>
    <w:rsid w:val="4C855E29"/>
    <w:rsid w:val="4C876AA5"/>
    <w:rsid w:val="4CA2401E"/>
    <w:rsid w:val="4CC43E6D"/>
    <w:rsid w:val="4CC67E19"/>
    <w:rsid w:val="4CE66AA3"/>
    <w:rsid w:val="4CFC3EF2"/>
    <w:rsid w:val="4D0A3F8F"/>
    <w:rsid w:val="4D0E00FB"/>
    <w:rsid w:val="4D1449D1"/>
    <w:rsid w:val="4D176606"/>
    <w:rsid w:val="4D3956FA"/>
    <w:rsid w:val="4D434119"/>
    <w:rsid w:val="4D6C64F9"/>
    <w:rsid w:val="4D782022"/>
    <w:rsid w:val="4DB87C63"/>
    <w:rsid w:val="4DD809BF"/>
    <w:rsid w:val="4DDD542B"/>
    <w:rsid w:val="4DEC4FB0"/>
    <w:rsid w:val="4E075D8A"/>
    <w:rsid w:val="4E11362F"/>
    <w:rsid w:val="4E223BF2"/>
    <w:rsid w:val="4E3A10AC"/>
    <w:rsid w:val="4E4A5C22"/>
    <w:rsid w:val="4E5D3F70"/>
    <w:rsid w:val="4EB43EB1"/>
    <w:rsid w:val="4EC00FAD"/>
    <w:rsid w:val="4EF65EC8"/>
    <w:rsid w:val="4EF77EEF"/>
    <w:rsid w:val="4F0014A7"/>
    <w:rsid w:val="4F470A36"/>
    <w:rsid w:val="4F9843DC"/>
    <w:rsid w:val="4F9B0EEF"/>
    <w:rsid w:val="4F9F7680"/>
    <w:rsid w:val="4FBB4DDB"/>
    <w:rsid w:val="4FC62A8C"/>
    <w:rsid w:val="4FC67183"/>
    <w:rsid w:val="4FE20F0D"/>
    <w:rsid w:val="4FE51552"/>
    <w:rsid w:val="4FEB2933"/>
    <w:rsid w:val="500A3750"/>
    <w:rsid w:val="50230B66"/>
    <w:rsid w:val="50504C4B"/>
    <w:rsid w:val="50564265"/>
    <w:rsid w:val="5068790D"/>
    <w:rsid w:val="509C6E7C"/>
    <w:rsid w:val="50A96563"/>
    <w:rsid w:val="50EA4045"/>
    <w:rsid w:val="50EE47F5"/>
    <w:rsid w:val="51112D75"/>
    <w:rsid w:val="511D718F"/>
    <w:rsid w:val="514308CF"/>
    <w:rsid w:val="514C6BB1"/>
    <w:rsid w:val="5162104E"/>
    <w:rsid w:val="517A3674"/>
    <w:rsid w:val="51882164"/>
    <w:rsid w:val="51AC781B"/>
    <w:rsid w:val="51C7526D"/>
    <w:rsid w:val="51D14B27"/>
    <w:rsid w:val="51D75827"/>
    <w:rsid w:val="520A2970"/>
    <w:rsid w:val="52214B38"/>
    <w:rsid w:val="526B6BA8"/>
    <w:rsid w:val="52706C20"/>
    <w:rsid w:val="52B25537"/>
    <w:rsid w:val="52CC682E"/>
    <w:rsid w:val="52D84DB4"/>
    <w:rsid w:val="52DD7800"/>
    <w:rsid w:val="52E2331D"/>
    <w:rsid w:val="53096009"/>
    <w:rsid w:val="533E555E"/>
    <w:rsid w:val="53757716"/>
    <w:rsid w:val="53A039CC"/>
    <w:rsid w:val="53A1505A"/>
    <w:rsid w:val="53A4289D"/>
    <w:rsid w:val="53B76A0B"/>
    <w:rsid w:val="53C44DB4"/>
    <w:rsid w:val="53DA34F2"/>
    <w:rsid w:val="54063E08"/>
    <w:rsid w:val="541E2695"/>
    <w:rsid w:val="543437E8"/>
    <w:rsid w:val="54AA582A"/>
    <w:rsid w:val="54E54F02"/>
    <w:rsid w:val="54F73313"/>
    <w:rsid w:val="54F80955"/>
    <w:rsid w:val="54FA2BC4"/>
    <w:rsid w:val="54FA4CFA"/>
    <w:rsid w:val="550A42DE"/>
    <w:rsid w:val="5517144A"/>
    <w:rsid w:val="553E2300"/>
    <w:rsid w:val="555170A7"/>
    <w:rsid w:val="55534D46"/>
    <w:rsid w:val="55840459"/>
    <w:rsid w:val="5587536D"/>
    <w:rsid w:val="558D3A03"/>
    <w:rsid w:val="558F3842"/>
    <w:rsid w:val="559B174B"/>
    <w:rsid w:val="55CE0CF4"/>
    <w:rsid w:val="562619C4"/>
    <w:rsid w:val="565E2CA0"/>
    <w:rsid w:val="568E1901"/>
    <w:rsid w:val="56A65967"/>
    <w:rsid w:val="56B22A9C"/>
    <w:rsid w:val="56B507E8"/>
    <w:rsid w:val="56BB7831"/>
    <w:rsid w:val="57283F56"/>
    <w:rsid w:val="572B726B"/>
    <w:rsid w:val="574F1FD0"/>
    <w:rsid w:val="575D5F0D"/>
    <w:rsid w:val="576C1A47"/>
    <w:rsid w:val="57934005"/>
    <w:rsid w:val="579E1ED6"/>
    <w:rsid w:val="579E6343"/>
    <w:rsid w:val="57B72A76"/>
    <w:rsid w:val="57C3426C"/>
    <w:rsid w:val="57CE1F93"/>
    <w:rsid w:val="57EA3B43"/>
    <w:rsid w:val="58037554"/>
    <w:rsid w:val="582810D3"/>
    <w:rsid w:val="582F3B1C"/>
    <w:rsid w:val="58367D3B"/>
    <w:rsid w:val="58411FC4"/>
    <w:rsid w:val="587D1F7A"/>
    <w:rsid w:val="588743D1"/>
    <w:rsid w:val="5887701A"/>
    <w:rsid w:val="58B67091"/>
    <w:rsid w:val="5908709B"/>
    <w:rsid w:val="593F37D1"/>
    <w:rsid w:val="59952502"/>
    <w:rsid w:val="59C0439F"/>
    <w:rsid w:val="59F1740B"/>
    <w:rsid w:val="5A082FD9"/>
    <w:rsid w:val="5A0A5E1C"/>
    <w:rsid w:val="5A4029E7"/>
    <w:rsid w:val="5A7B5010"/>
    <w:rsid w:val="5A8853A9"/>
    <w:rsid w:val="5ABE2233"/>
    <w:rsid w:val="5ACA7C8E"/>
    <w:rsid w:val="5AFA675D"/>
    <w:rsid w:val="5B16005B"/>
    <w:rsid w:val="5B490D50"/>
    <w:rsid w:val="5B634DDA"/>
    <w:rsid w:val="5B706270"/>
    <w:rsid w:val="5B8940E7"/>
    <w:rsid w:val="5B906C99"/>
    <w:rsid w:val="5BDF5D95"/>
    <w:rsid w:val="5BE24D5C"/>
    <w:rsid w:val="5BF66A9C"/>
    <w:rsid w:val="5BFE7528"/>
    <w:rsid w:val="5C297D37"/>
    <w:rsid w:val="5C59581B"/>
    <w:rsid w:val="5C78699E"/>
    <w:rsid w:val="5C854C08"/>
    <w:rsid w:val="5C895C2D"/>
    <w:rsid w:val="5C946131"/>
    <w:rsid w:val="5C9560C9"/>
    <w:rsid w:val="5CA53C67"/>
    <w:rsid w:val="5CA80153"/>
    <w:rsid w:val="5CB737C3"/>
    <w:rsid w:val="5CC40DBC"/>
    <w:rsid w:val="5CC578A8"/>
    <w:rsid w:val="5D24362C"/>
    <w:rsid w:val="5D646ADF"/>
    <w:rsid w:val="5D714477"/>
    <w:rsid w:val="5D77151B"/>
    <w:rsid w:val="5DA7769D"/>
    <w:rsid w:val="5DCE5755"/>
    <w:rsid w:val="5DD52823"/>
    <w:rsid w:val="5DEB169F"/>
    <w:rsid w:val="5E0C0012"/>
    <w:rsid w:val="5E1E4E54"/>
    <w:rsid w:val="5E1F3B6D"/>
    <w:rsid w:val="5E212735"/>
    <w:rsid w:val="5E2467F1"/>
    <w:rsid w:val="5E6261E1"/>
    <w:rsid w:val="5E7501CB"/>
    <w:rsid w:val="5E76275F"/>
    <w:rsid w:val="5EE75576"/>
    <w:rsid w:val="5F1A2B43"/>
    <w:rsid w:val="5F245049"/>
    <w:rsid w:val="5F371543"/>
    <w:rsid w:val="5F5C0BFF"/>
    <w:rsid w:val="5F97635E"/>
    <w:rsid w:val="5FAB7DB3"/>
    <w:rsid w:val="5FB837BB"/>
    <w:rsid w:val="5FD2524B"/>
    <w:rsid w:val="5FE94BF5"/>
    <w:rsid w:val="60086D9A"/>
    <w:rsid w:val="6050179C"/>
    <w:rsid w:val="60523BD2"/>
    <w:rsid w:val="60765D4C"/>
    <w:rsid w:val="608C64A1"/>
    <w:rsid w:val="60C753F4"/>
    <w:rsid w:val="60CC405A"/>
    <w:rsid w:val="61062246"/>
    <w:rsid w:val="61151F4B"/>
    <w:rsid w:val="6129614D"/>
    <w:rsid w:val="614E0605"/>
    <w:rsid w:val="617A7745"/>
    <w:rsid w:val="619B05F8"/>
    <w:rsid w:val="61BA68E9"/>
    <w:rsid w:val="61BB3655"/>
    <w:rsid w:val="61D97BE1"/>
    <w:rsid w:val="61E215D8"/>
    <w:rsid w:val="61F23BF3"/>
    <w:rsid w:val="620000CC"/>
    <w:rsid w:val="621339EF"/>
    <w:rsid w:val="621B3775"/>
    <w:rsid w:val="62364782"/>
    <w:rsid w:val="62423D40"/>
    <w:rsid w:val="625006F6"/>
    <w:rsid w:val="62512D9D"/>
    <w:rsid w:val="627B5C70"/>
    <w:rsid w:val="62830DC5"/>
    <w:rsid w:val="62BD19E4"/>
    <w:rsid w:val="62CF6B14"/>
    <w:rsid w:val="62D9327E"/>
    <w:rsid w:val="62E46B2A"/>
    <w:rsid w:val="62EC4BCA"/>
    <w:rsid w:val="62F82F77"/>
    <w:rsid w:val="631917DF"/>
    <w:rsid w:val="631A6E62"/>
    <w:rsid w:val="631C4A04"/>
    <w:rsid w:val="633D42EE"/>
    <w:rsid w:val="63646C89"/>
    <w:rsid w:val="636D4970"/>
    <w:rsid w:val="6394356A"/>
    <w:rsid w:val="63990CAA"/>
    <w:rsid w:val="63A73FEA"/>
    <w:rsid w:val="63B36269"/>
    <w:rsid w:val="63C4612F"/>
    <w:rsid w:val="63C61B2C"/>
    <w:rsid w:val="63D40BE9"/>
    <w:rsid w:val="63EF423E"/>
    <w:rsid w:val="64102431"/>
    <w:rsid w:val="643449B2"/>
    <w:rsid w:val="64481D47"/>
    <w:rsid w:val="647760FB"/>
    <w:rsid w:val="647C3365"/>
    <w:rsid w:val="64865EFC"/>
    <w:rsid w:val="649D3A74"/>
    <w:rsid w:val="649F73AA"/>
    <w:rsid w:val="64A5243A"/>
    <w:rsid w:val="64B00C39"/>
    <w:rsid w:val="64DD4BD5"/>
    <w:rsid w:val="64EA6289"/>
    <w:rsid w:val="64F531DE"/>
    <w:rsid w:val="64FF5439"/>
    <w:rsid w:val="650004EB"/>
    <w:rsid w:val="650B0C69"/>
    <w:rsid w:val="652C4266"/>
    <w:rsid w:val="65373578"/>
    <w:rsid w:val="654A6A59"/>
    <w:rsid w:val="660C37D9"/>
    <w:rsid w:val="665E3732"/>
    <w:rsid w:val="666C4254"/>
    <w:rsid w:val="667349A0"/>
    <w:rsid w:val="66754C1D"/>
    <w:rsid w:val="66850707"/>
    <w:rsid w:val="66A06B77"/>
    <w:rsid w:val="66C33776"/>
    <w:rsid w:val="66CA0983"/>
    <w:rsid w:val="66E10D66"/>
    <w:rsid w:val="670376E4"/>
    <w:rsid w:val="671B43A4"/>
    <w:rsid w:val="671F124A"/>
    <w:rsid w:val="672C3E6D"/>
    <w:rsid w:val="673E4207"/>
    <w:rsid w:val="674C75E3"/>
    <w:rsid w:val="6772559E"/>
    <w:rsid w:val="677A33C6"/>
    <w:rsid w:val="67CE2B39"/>
    <w:rsid w:val="67E1461B"/>
    <w:rsid w:val="67E4733A"/>
    <w:rsid w:val="681F6961"/>
    <w:rsid w:val="68451E71"/>
    <w:rsid w:val="68610A2F"/>
    <w:rsid w:val="686B06C0"/>
    <w:rsid w:val="686D6B33"/>
    <w:rsid w:val="687C6E46"/>
    <w:rsid w:val="68805514"/>
    <w:rsid w:val="68957CB7"/>
    <w:rsid w:val="690B5B8E"/>
    <w:rsid w:val="690C2FEE"/>
    <w:rsid w:val="690D0AC7"/>
    <w:rsid w:val="69316E2F"/>
    <w:rsid w:val="69443B0A"/>
    <w:rsid w:val="694E2071"/>
    <w:rsid w:val="69554A9D"/>
    <w:rsid w:val="695E5E63"/>
    <w:rsid w:val="69766163"/>
    <w:rsid w:val="697A3B33"/>
    <w:rsid w:val="697F6378"/>
    <w:rsid w:val="69B34577"/>
    <w:rsid w:val="69D44760"/>
    <w:rsid w:val="69F67A4E"/>
    <w:rsid w:val="6A1F33A2"/>
    <w:rsid w:val="6A2C6B83"/>
    <w:rsid w:val="6A444414"/>
    <w:rsid w:val="6A520EC7"/>
    <w:rsid w:val="6A7804E8"/>
    <w:rsid w:val="6A7C75B5"/>
    <w:rsid w:val="6AC46A89"/>
    <w:rsid w:val="6AF87E20"/>
    <w:rsid w:val="6AFF61FD"/>
    <w:rsid w:val="6B187176"/>
    <w:rsid w:val="6B322639"/>
    <w:rsid w:val="6B684D37"/>
    <w:rsid w:val="6BD229FE"/>
    <w:rsid w:val="6C056482"/>
    <w:rsid w:val="6C0C5A5A"/>
    <w:rsid w:val="6C636C38"/>
    <w:rsid w:val="6CA91215"/>
    <w:rsid w:val="6CC47D72"/>
    <w:rsid w:val="6CCF5E1F"/>
    <w:rsid w:val="6CD63B47"/>
    <w:rsid w:val="6CDA4FAE"/>
    <w:rsid w:val="6CF61861"/>
    <w:rsid w:val="6D135879"/>
    <w:rsid w:val="6D2F281A"/>
    <w:rsid w:val="6D327267"/>
    <w:rsid w:val="6D61658C"/>
    <w:rsid w:val="6DAA24CE"/>
    <w:rsid w:val="6DB34098"/>
    <w:rsid w:val="6DB545B6"/>
    <w:rsid w:val="6DBB508D"/>
    <w:rsid w:val="6DE02FB4"/>
    <w:rsid w:val="6DE56617"/>
    <w:rsid w:val="6DF55434"/>
    <w:rsid w:val="6E225203"/>
    <w:rsid w:val="6E514CED"/>
    <w:rsid w:val="6E7156E1"/>
    <w:rsid w:val="6E906333"/>
    <w:rsid w:val="6EA06C75"/>
    <w:rsid w:val="6EB563D5"/>
    <w:rsid w:val="6ECD7D98"/>
    <w:rsid w:val="6ED92677"/>
    <w:rsid w:val="6F225983"/>
    <w:rsid w:val="6F3D11AB"/>
    <w:rsid w:val="6F486DFC"/>
    <w:rsid w:val="6F71136F"/>
    <w:rsid w:val="6FFC5590"/>
    <w:rsid w:val="6FFD3B24"/>
    <w:rsid w:val="7006653F"/>
    <w:rsid w:val="70267ABA"/>
    <w:rsid w:val="70523364"/>
    <w:rsid w:val="706D1DD0"/>
    <w:rsid w:val="70856B87"/>
    <w:rsid w:val="708F5007"/>
    <w:rsid w:val="70A55F93"/>
    <w:rsid w:val="70B7732E"/>
    <w:rsid w:val="70D527EE"/>
    <w:rsid w:val="711A48EA"/>
    <w:rsid w:val="713407CF"/>
    <w:rsid w:val="715B5300"/>
    <w:rsid w:val="719E49E2"/>
    <w:rsid w:val="71D27F8A"/>
    <w:rsid w:val="72182607"/>
    <w:rsid w:val="72211E2E"/>
    <w:rsid w:val="72273530"/>
    <w:rsid w:val="72553024"/>
    <w:rsid w:val="72624D5F"/>
    <w:rsid w:val="72B717A3"/>
    <w:rsid w:val="72DD4F11"/>
    <w:rsid w:val="72E749BE"/>
    <w:rsid w:val="72F250C6"/>
    <w:rsid w:val="73027A87"/>
    <w:rsid w:val="73122968"/>
    <w:rsid w:val="731E2533"/>
    <w:rsid w:val="731F5D5E"/>
    <w:rsid w:val="73201B9F"/>
    <w:rsid w:val="732E201B"/>
    <w:rsid w:val="735031F1"/>
    <w:rsid w:val="73680487"/>
    <w:rsid w:val="7388183E"/>
    <w:rsid w:val="73B27AC1"/>
    <w:rsid w:val="73C51AD5"/>
    <w:rsid w:val="73F02BB5"/>
    <w:rsid w:val="741E793C"/>
    <w:rsid w:val="74425679"/>
    <w:rsid w:val="745E3944"/>
    <w:rsid w:val="746B5C1C"/>
    <w:rsid w:val="74BA06CD"/>
    <w:rsid w:val="74BB43E7"/>
    <w:rsid w:val="75006F2F"/>
    <w:rsid w:val="7501354E"/>
    <w:rsid w:val="754B46EE"/>
    <w:rsid w:val="754F50B6"/>
    <w:rsid w:val="758C0068"/>
    <w:rsid w:val="75CF5BB6"/>
    <w:rsid w:val="75F92276"/>
    <w:rsid w:val="76067C09"/>
    <w:rsid w:val="762542A5"/>
    <w:rsid w:val="7635099D"/>
    <w:rsid w:val="76502F2E"/>
    <w:rsid w:val="766D428F"/>
    <w:rsid w:val="767F4B45"/>
    <w:rsid w:val="768E4CA5"/>
    <w:rsid w:val="76A9520B"/>
    <w:rsid w:val="76E512BB"/>
    <w:rsid w:val="76EE621E"/>
    <w:rsid w:val="771E1DDF"/>
    <w:rsid w:val="77313611"/>
    <w:rsid w:val="7736291D"/>
    <w:rsid w:val="775911B9"/>
    <w:rsid w:val="77762421"/>
    <w:rsid w:val="77863EC8"/>
    <w:rsid w:val="77B56B1F"/>
    <w:rsid w:val="780F09F4"/>
    <w:rsid w:val="785B045C"/>
    <w:rsid w:val="789143F5"/>
    <w:rsid w:val="78A90480"/>
    <w:rsid w:val="78AD29F8"/>
    <w:rsid w:val="78FD1262"/>
    <w:rsid w:val="798B433F"/>
    <w:rsid w:val="79B07351"/>
    <w:rsid w:val="79B71480"/>
    <w:rsid w:val="79C04534"/>
    <w:rsid w:val="79CD566E"/>
    <w:rsid w:val="79F005D5"/>
    <w:rsid w:val="7A232803"/>
    <w:rsid w:val="7A364017"/>
    <w:rsid w:val="7A8265E1"/>
    <w:rsid w:val="7A8C1572"/>
    <w:rsid w:val="7A9345A8"/>
    <w:rsid w:val="7AB7745D"/>
    <w:rsid w:val="7B1D733A"/>
    <w:rsid w:val="7B455908"/>
    <w:rsid w:val="7B686D42"/>
    <w:rsid w:val="7B841746"/>
    <w:rsid w:val="7BA21EBB"/>
    <w:rsid w:val="7BA87C08"/>
    <w:rsid w:val="7BC73D8C"/>
    <w:rsid w:val="7C312196"/>
    <w:rsid w:val="7C43544C"/>
    <w:rsid w:val="7C5E31F5"/>
    <w:rsid w:val="7C6C5AC7"/>
    <w:rsid w:val="7C831927"/>
    <w:rsid w:val="7C917D64"/>
    <w:rsid w:val="7CB75805"/>
    <w:rsid w:val="7CB875E7"/>
    <w:rsid w:val="7CBC59EA"/>
    <w:rsid w:val="7CC6544B"/>
    <w:rsid w:val="7D0239FF"/>
    <w:rsid w:val="7D2C69EB"/>
    <w:rsid w:val="7D5E40CD"/>
    <w:rsid w:val="7D5F44E5"/>
    <w:rsid w:val="7D656FB0"/>
    <w:rsid w:val="7D865B7D"/>
    <w:rsid w:val="7D9558DE"/>
    <w:rsid w:val="7DCD56F2"/>
    <w:rsid w:val="7DE5081D"/>
    <w:rsid w:val="7E0F33DE"/>
    <w:rsid w:val="7E782B3F"/>
    <w:rsid w:val="7E9F46EF"/>
    <w:rsid w:val="7EAC7736"/>
    <w:rsid w:val="7EEF638F"/>
    <w:rsid w:val="7EF86965"/>
    <w:rsid w:val="7F001CE7"/>
    <w:rsid w:val="7F523FF6"/>
    <w:rsid w:val="7F626B3A"/>
    <w:rsid w:val="7F8E20B7"/>
    <w:rsid w:val="7F9B742D"/>
    <w:rsid w:val="7FAE701C"/>
    <w:rsid w:val="7FCC1191"/>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link w:val="55"/>
    <w:unhideWhenUsed/>
    <w:qFormat/>
    <w:locked/>
    <w:uiPriority w:val="0"/>
    <w:pPr>
      <w:keepNext/>
      <w:keepLines/>
      <w:spacing w:before="260" w:after="260" w:line="416" w:lineRule="auto"/>
      <w:outlineLvl w:val="2"/>
    </w:pPr>
    <w:rPr>
      <w:b/>
      <w:bCs/>
      <w:sz w:val="32"/>
      <w:szCs w:val="32"/>
    </w:rPr>
  </w:style>
  <w:style w:type="paragraph" w:styleId="4">
    <w:name w:val="heading 4"/>
    <w:basedOn w:val="1"/>
    <w:next w:val="1"/>
    <w:link w:val="48"/>
    <w:unhideWhenUsed/>
    <w:qFormat/>
    <w:locked/>
    <w:uiPriority w:val="0"/>
    <w:pPr>
      <w:keepNext/>
      <w:keepLines/>
      <w:spacing w:before="280" w:after="290" w:line="376" w:lineRule="auto"/>
      <w:outlineLvl w:val="3"/>
    </w:pPr>
    <w:rPr>
      <w:rFonts w:ascii="Calibri Light" w:hAnsi="Calibri Light" w:eastAsia="宋体" w:cs="Times New Roman"/>
      <w:b/>
      <w:bCs/>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5">
    <w:name w:val="Normal Indent"/>
    <w:basedOn w:val="1"/>
    <w:qFormat/>
    <w:locked/>
    <w:uiPriority w:val="0"/>
    <w:pPr>
      <w:widowControl/>
      <w:ind w:firstLine="420"/>
      <w:jc w:val="left"/>
    </w:pPr>
    <w:rPr>
      <w:kern w:val="0"/>
      <w:sz w:val="20"/>
    </w:rPr>
  </w:style>
  <w:style w:type="paragraph" w:styleId="6">
    <w:name w:val="caption"/>
    <w:basedOn w:val="1"/>
    <w:next w:val="1"/>
    <w:link w:val="45"/>
    <w:qFormat/>
    <w:locked/>
    <w:uiPriority w:val="35"/>
    <w:pPr>
      <w:spacing w:line="360" w:lineRule="auto"/>
      <w:jc w:val="center"/>
    </w:pPr>
    <w:rPr>
      <w:rFonts w:eastAsia="黑体"/>
      <w:kern w:val="0"/>
      <w:sz w:val="24"/>
      <w:szCs w:val="20"/>
    </w:rPr>
  </w:style>
  <w:style w:type="paragraph" w:styleId="7">
    <w:name w:val="annotation text"/>
    <w:basedOn w:val="1"/>
    <w:link w:val="52"/>
    <w:semiHidden/>
    <w:qFormat/>
    <w:uiPriority w:val="0"/>
    <w:pPr>
      <w:jc w:val="left"/>
    </w:pPr>
    <w:rPr>
      <w:kern w:val="0"/>
      <w:sz w:val="24"/>
      <w:szCs w:val="20"/>
    </w:rPr>
  </w:style>
  <w:style w:type="paragraph" w:styleId="8">
    <w:name w:val="Salutation"/>
    <w:basedOn w:val="1"/>
    <w:next w:val="1"/>
    <w:unhideWhenUsed/>
    <w:qFormat/>
    <w:locked/>
    <w:uiPriority w:val="99"/>
  </w:style>
  <w:style w:type="paragraph" w:styleId="9">
    <w:name w:val="Body Text"/>
    <w:basedOn w:val="1"/>
    <w:next w:val="8"/>
    <w:link w:val="50"/>
    <w:qFormat/>
    <w:uiPriority w:val="0"/>
    <w:pPr>
      <w:widowControl/>
      <w:snapToGrid w:val="0"/>
      <w:spacing w:before="60" w:after="160" w:line="259" w:lineRule="auto"/>
      <w:ind w:right="113"/>
    </w:pPr>
    <w:rPr>
      <w:kern w:val="0"/>
      <w:sz w:val="18"/>
      <w:szCs w:val="20"/>
    </w:rPr>
  </w:style>
  <w:style w:type="paragraph" w:styleId="10">
    <w:name w:val="Body Text Indent"/>
    <w:basedOn w:val="1"/>
    <w:next w:val="9"/>
    <w:link w:val="40"/>
    <w:qFormat/>
    <w:uiPriority w:val="0"/>
    <w:pPr>
      <w:spacing w:after="120"/>
      <w:ind w:left="420" w:leftChars="200"/>
    </w:pPr>
    <w:rPr>
      <w:kern w:val="0"/>
      <w:sz w:val="24"/>
      <w:szCs w:val="20"/>
    </w:rPr>
  </w:style>
  <w:style w:type="paragraph" w:styleId="11">
    <w:name w:val="Block Text"/>
    <w:basedOn w:val="1"/>
    <w:next w:val="1"/>
    <w:qFormat/>
    <w:locked/>
    <w:uiPriority w:val="0"/>
    <w:pPr>
      <w:snapToGrid w:val="0"/>
      <w:spacing w:line="408" w:lineRule="auto"/>
      <w:ind w:left="-113" w:right="-510" w:firstLine="510"/>
    </w:pPr>
    <w:rPr>
      <w:sz w:val="24"/>
      <w:szCs w:val="20"/>
    </w:rPr>
  </w:style>
  <w:style w:type="paragraph" w:styleId="12">
    <w:name w:val="Plain Text"/>
    <w:basedOn w:val="1"/>
    <w:qFormat/>
    <w:locked/>
    <w:uiPriority w:val="0"/>
    <w:rPr>
      <w:rFonts w:ascii="宋体" w:hAnsi="Courier New"/>
    </w:rPr>
  </w:style>
  <w:style w:type="paragraph" w:styleId="13">
    <w:name w:val="Date"/>
    <w:basedOn w:val="1"/>
    <w:next w:val="1"/>
    <w:link w:val="47"/>
    <w:qFormat/>
    <w:uiPriority w:val="0"/>
    <w:pPr>
      <w:ind w:left="100" w:leftChars="2500"/>
    </w:pPr>
    <w:rPr>
      <w:kern w:val="0"/>
      <w:sz w:val="24"/>
      <w:szCs w:val="20"/>
    </w:rPr>
  </w:style>
  <w:style w:type="paragraph" w:styleId="14">
    <w:name w:val="Balloon Text"/>
    <w:basedOn w:val="1"/>
    <w:link w:val="38"/>
    <w:semiHidden/>
    <w:qFormat/>
    <w:uiPriority w:val="0"/>
    <w:rPr>
      <w:kern w:val="0"/>
      <w:sz w:val="18"/>
      <w:szCs w:val="20"/>
    </w:rPr>
  </w:style>
  <w:style w:type="paragraph" w:styleId="15">
    <w:name w:val="footer"/>
    <w:basedOn w:val="1"/>
    <w:link w:val="41"/>
    <w:qFormat/>
    <w:uiPriority w:val="99"/>
    <w:pPr>
      <w:tabs>
        <w:tab w:val="center" w:pos="4153"/>
        <w:tab w:val="right" w:pos="8306"/>
      </w:tabs>
      <w:snapToGrid w:val="0"/>
      <w:jc w:val="left"/>
    </w:pPr>
    <w:rPr>
      <w:kern w:val="0"/>
      <w:sz w:val="18"/>
      <w:szCs w:val="20"/>
    </w:rPr>
  </w:style>
  <w:style w:type="paragraph" w:styleId="16">
    <w:name w:val="header"/>
    <w:basedOn w:val="1"/>
    <w:link w:val="44"/>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List"/>
    <w:basedOn w:val="1"/>
    <w:qFormat/>
    <w:locked/>
    <w:uiPriority w:val="0"/>
    <w:pPr>
      <w:numPr>
        <w:ilvl w:val="0"/>
        <w:numId w:val="1"/>
      </w:numPr>
      <w:spacing w:line="240" w:lineRule="auto"/>
      <w:ind w:left="0" w:firstLine="782"/>
      <w:jc w:val="both"/>
    </w:pPr>
    <w:rPr>
      <w:rFonts w:eastAsia="黑体"/>
      <w:kern w:val="0"/>
      <w:szCs w:val="24"/>
    </w:rPr>
  </w:style>
  <w:style w:type="paragraph" w:styleId="18">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7"/>
    <w:next w:val="7"/>
    <w:link w:val="54"/>
    <w:semiHidden/>
    <w:qFormat/>
    <w:uiPriority w:val="0"/>
    <w:rPr>
      <w:b/>
      <w:sz w:val="24"/>
      <w:szCs w:val="20"/>
    </w:rPr>
  </w:style>
  <w:style w:type="paragraph" w:styleId="20">
    <w:name w:val="Body Text First Indent"/>
    <w:basedOn w:val="9"/>
    <w:next w:val="21"/>
    <w:qFormat/>
    <w:locked/>
    <w:uiPriority w:val="99"/>
    <w:pPr>
      <w:spacing w:after="120"/>
      <w:ind w:firstLine="420" w:firstLineChars="100"/>
      <w:jc w:val="both"/>
    </w:pPr>
    <w:rPr>
      <w:szCs w:val="21"/>
    </w:rPr>
  </w:style>
  <w:style w:type="paragraph" w:styleId="21">
    <w:name w:val="Body Text First Indent 2"/>
    <w:basedOn w:val="10"/>
    <w:next w:val="1"/>
    <w:qFormat/>
    <w:locked/>
    <w:uiPriority w:val="0"/>
    <w:pPr>
      <w:ind w:firstLine="420" w:firstLineChars="200"/>
    </w:pPr>
  </w:style>
  <w:style w:type="table" w:styleId="23">
    <w:name w:val="Table Grid"/>
    <w:basedOn w:val="2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locked/>
    <w:uiPriority w:val="0"/>
  </w:style>
  <w:style w:type="character" w:styleId="26">
    <w:name w:val="Hyperlink"/>
    <w:basedOn w:val="24"/>
    <w:qFormat/>
    <w:locked/>
    <w:uiPriority w:val="0"/>
    <w:rPr>
      <w:color w:val="0000FF"/>
      <w:u w:val="single"/>
    </w:rPr>
  </w:style>
  <w:style w:type="character" w:styleId="27">
    <w:name w:val="annotation reference"/>
    <w:semiHidden/>
    <w:qFormat/>
    <w:uiPriority w:val="0"/>
    <w:rPr>
      <w:sz w:val="21"/>
    </w:rPr>
  </w:style>
  <w:style w:type="paragraph" w:customStyle="1" w:styleId="28">
    <w:name w:val="Default"/>
    <w:next w:val="29"/>
    <w:qFormat/>
    <w:uiPriority w:val="0"/>
    <w:pPr>
      <w:widowControl w:val="0"/>
      <w:autoSpaceDE w:val="0"/>
      <w:autoSpaceDN w:val="0"/>
      <w:adjustRightInd w:val="0"/>
      <w:spacing w:line="460" w:lineRule="exact"/>
      <w:jc w:val="center"/>
    </w:pPr>
    <w:rPr>
      <w:rFonts w:ascii="黑体" w:hAnsi="Times New Roman" w:eastAsia="黑体" w:cs="黑体"/>
      <w:color w:val="000000"/>
      <w:sz w:val="24"/>
      <w:szCs w:val="24"/>
      <w:lang w:val="en-US" w:eastAsia="zh-CN" w:bidi="ar-SA"/>
    </w:rPr>
  </w:style>
  <w:style w:type="paragraph" w:customStyle="1" w:styleId="29">
    <w:name w:val="样式35"/>
    <w:basedOn w:val="1"/>
    <w:next w:val="1"/>
    <w:qFormat/>
    <w:uiPriority w:val="0"/>
    <w:pPr>
      <w:spacing w:line="312" w:lineRule="auto"/>
      <w:ind w:firstLine="567"/>
    </w:pPr>
    <w:rPr>
      <w:rFonts w:ascii="宋体"/>
      <w:sz w:val="28"/>
    </w:rPr>
  </w:style>
  <w:style w:type="paragraph" w:customStyle="1" w:styleId="30">
    <w:name w:val="Body Text 2_050de59c-084d-4175-9105-ef8c1c28e700"/>
    <w:basedOn w:val="1"/>
    <w:qFormat/>
    <w:uiPriority w:val="0"/>
    <w:pPr>
      <w:spacing w:after="120" w:line="480" w:lineRule="auto"/>
    </w:pPr>
  </w:style>
  <w:style w:type="paragraph" w:customStyle="1" w:styleId="31">
    <w:name w:val="Char Char Char Char Char Char1 Char Char Char Char"/>
    <w:basedOn w:val="1"/>
    <w:next w:val="1"/>
    <w:qFormat/>
    <w:uiPriority w:val="0"/>
    <w:pPr>
      <w:widowControl w:val="0"/>
      <w:autoSpaceDE/>
      <w:autoSpaceDN/>
      <w:spacing w:before="0" w:after="0" w:line="360" w:lineRule="auto"/>
      <w:ind w:left="0" w:firstLine="200"/>
      <w:jc w:val="both"/>
    </w:pPr>
    <w:rPr>
      <w:rFonts w:ascii="Times New Roman" w:eastAsia="宋体"/>
      <w:sz w:val="21"/>
    </w:rPr>
  </w:style>
  <w:style w:type="paragraph" w:customStyle="1" w:styleId="32">
    <w:name w:val="Default1"/>
    <w:next w:val="3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3">
    <w:name w:val="正文样式1"/>
    <w:basedOn w:val="1"/>
    <w:next w:val="1"/>
    <w:qFormat/>
    <w:uiPriority w:val="0"/>
    <w:pPr>
      <w:adjustRightInd/>
      <w:spacing w:line="320" w:lineRule="exact"/>
      <w:ind w:firstLine="0" w:firstLineChars="0"/>
      <w:jc w:val="center"/>
      <w:textAlignment w:val="baseline"/>
    </w:pPr>
    <w:rPr>
      <w:rFonts w:ascii="Times New Roman" w:hAnsi="Times New Roman" w:eastAsia="宋体"/>
      <w:color w:val="000000" w:themeColor="text1"/>
      <w:kern w:val="0"/>
      <w:sz w:val="18"/>
      <w:szCs w:val="20"/>
      <w14:textFill>
        <w14:solidFill>
          <w14:schemeClr w14:val="tx1"/>
        </w14:solidFill>
      </w14:textFill>
    </w:rPr>
  </w:style>
  <w:style w:type="paragraph" w:customStyle="1" w:styleId="3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36">
    <w:name w:val="表格"/>
    <w:basedOn w:val="1"/>
    <w:next w:val="1"/>
    <w:link w:val="53"/>
    <w:qFormat/>
    <w:uiPriority w:val="0"/>
    <w:pPr>
      <w:adjustRightInd w:val="0"/>
      <w:snapToGrid w:val="0"/>
      <w:spacing w:beforeLines="10" w:afterLines="10" w:line="259" w:lineRule="auto"/>
      <w:jc w:val="center"/>
    </w:pPr>
    <w:rPr>
      <w:rFonts w:ascii="宋体"/>
      <w:kern w:val="0"/>
      <w:szCs w:val="20"/>
    </w:rPr>
  </w:style>
  <w:style w:type="paragraph" w:customStyle="1" w:styleId="37">
    <w:name w:val="表格中文字"/>
    <w:basedOn w:val="1"/>
    <w:link w:val="42"/>
    <w:qFormat/>
    <w:uiPriority w:val="0"/>
    <w:pPr>
      <w:jc w:val="center"/>
    </w:pPr>
    <w:rPr>
      <w:kern w:val="0"/>
      <w:sz w:val="20"/>
      <w:lang w:val="zh-CN"/>
    </w:rPr>
  </w:style>
  <w:style w:type="character" w:customStyle="1" w:styleId="38">
    <w:name w:val="批注框文本 Char"/>
    <w:link w:val="14"/>
    <w:semiHidden/>
    <w:qFormat/>
    <w:locked/>
    <w:uiPriority w:val="0"/>
    <w:rPr>
      <w:rFonts w:ascii="Times New Roman" w:hAnsi="Times New Roman" w:eastAsia="宋体"/>
      <w:sz w:val="18"/>
    </w:rPr>
  </w:style>
  <w:style w:type="character" w:customStyle="1" w:styleId="39">
    <w:name w:val="页脚 字符"/>
    <w:basedOn w:val="24"/>
    <w:qFormat/>
    <w:uiPriority w:val="99"/>
  </w:style>
  <w:style w:type="character" w:customStyle="1" w:styleId="40">
    <w:name w:val="正文文本缩进 Char"/>
    <w:link w:val="10"/>
    <w:semiHidden/>
    <w:qFormat/>
    <w:locked/>
    <w:uiPriority w:val="0"/>
    <w:rPr>
      <w:rFonts w:ascii="Times New Roman" w:hAnsi="Times New Roman" w:eastAsia="宋体"/>
      <w:sz w:val="24"/>
    </w:rPr>
  </w:style>
  <w:style w:type="character" w:customStyle="1" w:styleId="41">
    <w:name w:val="页脚 Char"/>
    <w:link w:val="15"/>
    <w:qFormat/>
    <w:locked/>
    <w:uiPriority w:val="99"/>
    <w:rPr>
      <w:sz w:val="18"/>
    </w:rPr>
  </w:style>
  <w:style w:type="character" w:customStyle="1" w:styleId="42">
    <w:name w:val="表格中文字 字符"/>
    <w:link w:val="37"/>
    <w:qFormat/>
    <w:uiPriority w:val="0"/>
    <w:rPr>
      <w:szCs w:val="24"/>
      <w:lang w:val="zh-CN"/>
    </w:rPr>
  </w:style>
  <w:style w:type="character" w:customStyle="1" w:styleId="43">
    <w:name w:val="批注文字 字符1"/>
    <w:semiHidden/>
    <w:qFormat/>
    <w:uiPriority w:val="0"/>
    <w:rPr>
      <w:rFonts w:ascii="Times New Roman" w:hAnsi="Times New Roman" w:eastAsia="宋体"/>
      <w:sz w:val="24"/>
    </w:rPr>
  </w:style>
  <w:style w:type="character" w:customStyle="1" w:styleId="44">
    <w:name w:val="页眉 Char"/>
    <w:link w:val="16"/>
    <w:qFormat/>
    <w:locked/>
    <w:uiPriority w:val="0"/>
    <w:rPr>
      <w:sz w:val="18"/>
    </w:rPr>
  </w:style>
  <w:style w:type="character" w:customStyle="1" w:styleId="45">
    <w:name w:val="题注 Char"/>
    <w:link w:val="6"/>
    <w:qFormat/>
    <w:uiPriority w:val="35"/>
    <w:rPr>
      <w:rFonts w:eastAsia="黑体"/>
      <w:sz w:val="24"/>
    </w:rPr>
  </w:style>
  <w:style w:type="character" w:customStyle="1" w:styleId="46">
    <w:name w:val="普通(网站) Char"/>
    <w:link w:val="18"/>
    <w:qFormat/>
    <w:locked/>
    <w:uiPriority w:val="0"/>
    <w:rPr>
      <w:rFonts w:ascii="宋体" w:hAnsi="宋体" w:eastAsia="宋体"/>
      <w:sz w:val="24"/>
    </w:rPr>
  </w:style>
  <w:style w:type="character" w:customStyle="1" w:styleId="47">
    <w:name w:val="日期 Char"/>
    <w:link w:val="13"/>
    <w:qFormat/>
    <w:locked/>
    <w:uiPriority w:val="0"/>
    <w:rPr>
      <w:rFonts w:ascii="Times New Roman" w:hAnsi="Times New Roman" w:eastAsia="宋体"/>
      <w:sz w:val="24"/>
    </w:rPr>
  </w:style>
  <w:style w:type="character" w:customStyle="1" w:styleId="48">
    <w:name w:val="标题 4 Char"/>
    <w:link w:val="4"/>
    <w:semiHidden/>
    <w:qFormat/>
    <w:uiPriority w:val="0"/>
    <w:rPr>
      <w:rFonts w:ascii="Calibri Light" w:hAnsi="Calibri Light" w:eastAsia="宋体" w:cs="Times New Roman"/>
      <w:b/>
      <w:bCs/>
      <w:kern w:val="2"/>
      <w:sz w:val="28"/>
      <w:szCs w:val="28"/>
    </w:rPr>
  </w:style>
  <w:style w:type="character" w:customStyle="1" w:styleId="49">
    <w:name w:val="日期 字符"/>
    <w:semiHidden/>
    <w:qFormat/>
    <w:uiPriority w:val="0"/>
    <w:rPr>
      <w:rFonts w:ascii="Times New Roman" w:hAnsi="Times New Roman" w:eastAsia="宋体"/>
      <w:sz w:val="24"/>
    </w:rPr>
  </w:style>
  <w:style w:type="character" w:customStyle="1" w:styleId="50">
    <w:name w:val="正文文本 Char"/>
    <w:link w:val="9"/>
    <w:qFormat/>
    <w:locked/>
    <w:uiPriority w:val="0"/>
    <w:rPr>
      <w:sz w:val="18"/>
    </w:rPr>
  </w:style>
  <w:style w:type="character" w:customStyle="1" w:styleId="51">
    <w:name w:val="正文文本 字符1"/>
    <w:semiHidden/>
    <w:qFormat/>
    <w:uiPriority w:val="0"/>
    <w:rPr>
      <w:rFonts w:ascii="Times New Roman" w:hAnsi="Times New Roman" w:eastAsia="宋体"/>
      <w:sz w:val="24"/>
    </w:rPr>
  </w:style>
  <w:style w:type="character" w:customStyle="1" w:styleId="52">
    <w:name w:val="批注文字 Char"/>
    <w:link w:val="7"/>
    <w:qFormat/>
    <w:locked/>
    <w:uiPriority w:val="0"/>
    <w:rPr>
      <w:rFonts w:ascii="Times New Roman" w:hAnsi="Times New Roman" w:eastAsia="宋体"/>
      <w:sz w:val="24"/>
    </w:rPr>
  </w:style>
  <w:style w:type="character" w:customStyle="1" w:styleId="53">
    <w:name w:val="表格 Char"/>
    <w:link w:val="36"/>
    <w:qFormat/>
    <w:locked/>
    <w:uiPriority w:val="0"/>
    <w:rPr>
      <w:rFonts w:ascii="宋体"/>
      <w:sz w:val="21"/>
    </w:rPr>
  </w:style>
  <w:style w:type="character" w:customStyle="1" w:styleId="54">
    <w:name w:val="批注主题 Char"/>
    <w:link w:val="19"/>
    <w:semiHidden/>
    <w:qFormat/>
    <w:locked/>
    <w:uiPriority w:val="0"/>
    <w:rPr>
      <w:rFonts w:ascii="Times New Roman" w:hAnsi="Times New Roman" w:eastAsia="宋体"/>
      <w:b/>
      <w:kern w:val="2"/>
      <w:sz w:val="24"/>
    </w:rPr>
  </w:style>
  <w:style w:type="character" w:customStyle="1" w:styleId="55">
    <w:name w:val="标题 3 Char"/>
    <w:link w:val="3"/>
    <w:semiHidden/>
    <w:qFormat/>
    <w:uiPriority w:val="0"/>
    <w:rPr>
      <w:b/>
      <w:bCs/>
      <w:kern w:val="2"/>
      <w:sz w:val="32"/>
      <w:szCs w:val="32"/>
    </w:rPr>
  </w:style>
  <w:style w:type="paragraph" w:customStyle="1" w:styleId="56">
    <w:name w:val="List Paragraph"/>
    <w:basedOn w:val="1"/>
    <w:qFormat/>
    <w:uiPriority w:val="0"/>
    <w:pPr>
      <w:widowControl w:val="0"/>
      <w:autoSpaceDE w:val="0"/>
      <w:autoSpaceDN w:val="0"/>
      <w:ind w:left="231" w:right="266" w:firstLine="600"/>
      <w:jc w:val="both"/>
    </w:pPr>
    <w:rPr>
      <w:rFonts w:ascii="仿宋" w:hAnsi="仿宋" w:eastAsia="仿宋"/>
      <w:sz w:val="22"/>
      <w:szCs w:val="22"/>
    </w:rPr>
  </w:style>
  <w:style w:type="paragraph" w:customStyle="1" w:styleId="57">
    <w:name w:val="表内 定"/>
    <w:basedOn w:val="1"/>
    <w:qFormat/>
    <w:uiPriority w:val="0"/>
    <w:rPr>
      <w:rFonts w:cs="Times New Roman"/>
      <w:color w:val="000000" w:themeColor="text1"/>
      <w14:textFill>
        <w14:solidFill>
          <w14:schemeClr w14:val="tx1"/>
        </w14:solidFill>
      </w14:textFill>
    </w:rPr>
  </w:style>
  <w:style w:type="paragraph" w:customStyle="1" w:styleId="58">
    <w:name w:val="样式1"/>
    <w:basedOn w:val="1"/>
    <w:qFormat/>
    <w:uiPriority w:val="0"/>
    <w:rPr>
      <w:szCs w:val="20"/>
      <w:shd w:val="clear" w:color="auto" w:fill="FFFFFF"/>
    </w:rPr>
  </w:style>
  <w:style w:type="paragraph" w:customStyle="1" w:styleId="59">
    <w:name w:val="表内"/>
    <w:basedOn w:val="1"/>
    <w:qFormat/>
    <w:uiPriority w:val="99"/>
    <w:pPr>
      <w:framePr w:hSpace="180" w:wrap="around" w:vAnchor="page" w:hAnchor="margin" w:y="1411"/>
      <w:widowControl/>
      <w:jc w:val="both"/>
    </w:pPr>
    <w:rPr>
      <w:rFonts w:cs="Times New Roman" w:asciiTheme="minorEastAsia" w:hAnsiTheme="minorEastAsia"/>
      <w:snapToGrid/>
      <w:szCs w:val="20"/>
    </w:rPr>
  </w:style>
  <w:style w:type="paragraph" w:customStyle="1" w:styleId="60">
    <w:name w:val="报告表表格文字"/>
    <w:basedOn w:val="1"/>
    <w:qFormat/>
    <w:uiPriority w:val="0"/>
    <w:pPr>
      <w:autoSpaceDE w:val="0"/>
      <w:autoSpaceDN w:val="0"/>
      <w:adjustRightInd w:val="0"/>
      <w:snapToGrid w:val="0"/>
      <w:spacing w:line="360" w:lineRule="exact"/>
      <w:ind w:firstLine="0" w:firstLineChars="0"/>
      <w:jc w:val="center"/>
      <w:textAlignment w:val="baseline"/>
    </w:pPr>
    <w:rPr>
      <w:color w:val="000000"/>
      <w:kern w:val="0"/>
      <w:sz w:val="21"/>
      <w:szCs w:val="21"/>
    </w:rPr>
  </w:style>
  <w:style w:type="paragraph" w:customStyle="1" w:styleId="61">
    <w:name w:val="22磅行间距"/>
    <w:basedOn w:val="1"/>
    <w:qFormat/>
    <w:uiPriority w:val="0"/>
    <w:pPr>
      <w:adjustRightInd w:val="0"/>
      <w:snapToGrid w:val="0"/>
      <w:spacing w:line="440" w:lineRule="exact"/>
      <w:ind w:firstLine="200" w:firstLineChars="200"/>
    </w:pPr>
    <w:rPr>
      <w:sz w:val="24"/>
    </w:rPr>
  </w:style>
  <w:style w:type="paragraph" w:customStyle="1" w:styleId="62">
    <w:name w:val="样式 居中"/>
    <w:basedOn w:val="1"/>
    <w:qFormat/>
    <w:uiPriority w:val="0"/>
    <w:pPr>
      <w:jc w:val="center"/>
    </w:pPr>
    <w:rPr>
      <w:rFonts w:cs="宋体"/>
    </w:rPr>
  </w:style>
  <w:style w:type="paragraph" w:customStyle="1" w:styleId="63">
    <w:name w:val="陶瓷表格"/>
    <w:basedOn w:val="1"/>
    <w:qFormat/>
    <w:uiPriority w:val="0"/>
    <w:pPr>
      <w:widowControl w:val="0"/>
      <w:autoSpaceDE w:val="0"/>
      <w:autoSpaceDN w:val="0"/>
      <w:adjustRightInd w:val="0"/>
      <w:snapToGrid w:val="0"/>
      <w:jc w:val="center"/>
      <w:textAlignment w:val="bottom"/>
    </w:pPr>
    <w:rPr>
      <w:rFonts w:ascii="宋体" w:hAnsi="宋体"/>
      <w:kern w:val="2"/>
      <w:sz w:val="21"/>
      <w:szCs w:val="21"/>
    </w:rPr>
  </w:style>
  <w:style w:type="paragraph" w:customStyle="1" w:styleId="64">
    <w:name w:val="lgg文本"/>
    <w:basedOn w:val="1"/>
    <w:qFormat/>
    <w:uiPriority w:val="0"/>
    <w:pPr>
      <w:spacing w:line="360" w:lineRule="auto"/>
      <w:ind w:firstLine="480" w:firstLineChars="200"/>
    </w:pPr>
    <w:rPr>
      <w:sz w:val="24"/>
      <w:szCs w:val="24"/>
    </w:rPr>
  </w:style>
  <w:style w:type="paragraph" w:customStyle="1" w:styleId="65">
    <w:name w:val="鸿达表格文字"/>
    <w:basedOn w:val="1"/>
    <w:qFormat/>
    <w:uiPriority w:val="0"/>
    <w:pPr>
      <w:adjustRightInd/>
      <w:snapToGrid/>
      <w:spacing w:line="240" w:lineRule="auto"/>
      <w:ind w:firstLine="0" w:firstLineChars="0"/>
      <w:contextualSpacing/>
      <w:jc w:val="center"/>
    </w:pPr>
    <w:rPr>
      <w:sz w:val="21"/>
      <w:szCs w:val="21"/>
    </w:rPr>
  </w:style>
  <w:style w:type="paragraph" w:customStyle="1" w:styleId="66">
    <w:name w:val="正文sxz"/>
    <w:basedOn w:val="1"/>
    <w:qFormat/>
    <w:uiPriority w:val="0"/>
    <w:pPr>
      <w:spacing w:line="360" w:lineRule="auto"/>
      <w:ind w:firstLine="480" w:firstLineChars="200"/>
    </w:pPr>
    <w:rPr>
      <w:rFonts w:eastAsia="Times New Roman"/>
      <w:sz w:val="24"/>
    </w:rPr>
  </w:style>
  <w:style w:type="character" w:customStyle="1" w:styleId="67">
    <w:name w:val="NormalCharacter"/>
    <w:link w:val="68"/>
    <w:qFormat/>
    <w:uiPriority w:val="0"/>
  </w:style>
  <w:style w:type="paragraph" w:customStyle="1" w:styleId="68">
    <w:name w:val="UserStyle_0"/>
    <w:basedOn w:val="1"/>
    <w:link w:val="67"/>
    <w:qFormat/>
    <w:uiPriority w:val="0"/>
    <w:pPr>
      <w:spacing w:before="312" w:after="156" w:line="600" w:lineRule="exact"/>
      <w:ind w:firstLine="200" w:firstLineChars="200"/>
      <w:jc w:val="both"/>
      <w:textAlignment w:val="baseline"/>
    </w:pPr>
  </w:style>
  <w:style w:type="paragraph" w:customStyle="1" w:styleId="69">
    <w:name w:val="av"/>
    <w:basedOn w:val="1"/>
    <w:qFormat/>
    <w:uiPriority w:val="0"/>
    <w:pPr>
      <w:jc w:val="center"/>
    </w:pPr>
    <w:rPr>
      <w:sz w:val="21"/>
      <w:szCs w:val="21"/>
    </w:rPr>
  </w:style>
  <w:style w:type="character" w:customStyle="1" w:styleId="70">
    <w:name w:val="font101"/>
    <w:basedOn w:val="24"/>
    <w:qFormat/>
    <w:uiPriority w:val="0"/>
    <w:rPr>
      <w:rFonts w:hint="eastAsia" w:ascii="仿宋" w:hAnsi="仿宋" w:eastAsia="仿宋" w:cs="仿宋"/>
      <w:color w:val="000000"/>
      <w:sz w:val="21"/>
      <w:szCs w:val="21"/>
      <w:u w:val="none"/>
    </w:rPr>
  </w:style>
  <w:style w:type="character" w:customStyle="1" w:styleId="71">
    <w:name w:val="font11"/>
    <w:basedOn w:val="24"/>
    <w:qFormat/>
    <w:uiPriority w:val="0"/>
    <w:rPr>
      <w:rFonts w:ascii="font-weight : 400" w:hAnsi="font-weight : 400" w:eastAsia="Times New Roman" w:cs="font-weight : 400"/>
      <w:color w:val="000000"/>
      <w:sz w:val="22"/>
      <w:szCs w:val="22"/>
      <w:u w:val="none"/>
      <w:vertAlign w:val="superscript"/>
    </w:rPr>
  </w:style>
  <w:style w:type="paragraph" w:customStyle="1" w:styleId="72">
    <w:name w:val="xry表格文字"/>
    <w:basedOn w:val="1"/>
    <w:qFormat/>
    <w:uiPriority w:val="0"/>
    <w:pPr>
      <w:spacing w:line="240" w:lineRule="auto"/>
      <w:ind w:firstLine="0" w:firstLineChars="0"/>
      <w:jc w:val="center"/>
    </w:pPr>
    <w:rPr>
      <w:kern w:val="0"/>
      <w:sz w:val="20"/>
      <w:szCs w:val="24"/>
      <w:lang w:val="zh-CN"/>
    </w:rPr>
  </w:style>
  <w:style w:type="paragraph" w:customStyle="1" w:styleId="73">
    <w:name w:val="正文文本 (2)2"/>
    <w:basedOn w:val="1"/>
    <w:qFormat/>
    <w:uiPriority w:val="0"/>
    <w:pPr>
      <w:widowControl w:val="0"/>
      <w:shd w:val="clear" w:color="auto" w:fill="FFFFFF"/>
      <w:spacing w:after="6360" w:line="0" w:lineRule="atLeast"/>
      <w:jc w:val="center"/>
    </w:pPr>
    <w:rPr>
      <w:rFonts w:ascii="MingLiU" w:hAnsi="MingLiU" w:eastAsia="MingLiU"/>
      <w:kern w:val="0"/>
      <w:sz w:val="22"/>
    </w:rPr>
  </w:style>
  <w:style w:type="character" w:customStyle="1" w:styleId="74">
    <w:name w:val="正文文本 (2) + 9.5 pt"/>
    <w:qFormat/>
    <w:uiPriority w:val="0"/>
    <w:rPr>
      <w:rFonts w:ascii="MingLiU" w:hAnsi="MingLiU" w:eastAsia="MingLiU" w:cs="MingLiU"/>
      <w:color w:val="000000"/>
      <w:spacing w:val="-20"/>
      <w:w w:val="100"/>
      <w:position w:val="0"/>
      <w:sz w:val="19"/>
      <w:szCs w:val="19"/>
      <w:u w:val="none"/>
      <w:lang w:val="zh-TW" w:eastAsia="zh-TW" w:bidi="zh-TW"/>
    </w:rPr>
  </w:style>
  <w:style w:type="paragraph" w:customStyle="1" w:styleId="75">
    <w:name w:val="Table Paragraph"/>
    <w:basedOn w:val="1"/>
    <w:qFormat/>
    <w:uiPriority w:val="1"/>
  </w:style>
  <w:style w:type="paragraph" w:customStyle="1" w:styleId="76">
    <w:name w:val="表格样式"/>
    <w:basedOn w:val="1"/>
    <w:qFormat/>
    <w:uiPriority w:val="0"/>
    <w:pPr>
      <w:widowControl/>
      <w:spacing w:line="320" w:lineRule="exact"/>
      <w:jc w:val="center"/>
    </w:pPr>
    <w:rPr>
      <w:rFonts w:ascii="Times New Roman" w:hAnsi="Times New Roman" w:eastAsia="宋体" w:cs="Times New Roman"/>
      <w:sz w:val="18"/>
      <w:szCs w:val="18"/>
    </w:rPr>
  </w:style>
  <w:style w:type="paragraph" w:customStyle="1" w:styleId="77">
    <w:name w:val="Char"/>
    <w:basedOn w:val="1"/>
    <w:qFormat/>
    <w:uiPriority w:val="0"/>
    <w:pPr>
      <w:spacing w:line="360" w:lineRule="auto"/>
      <w:ind w:firstLine="200" w:firstLineChars="200"/>
    </w:pPr>
    <w:rPr>
      <w:rFonts w:ascii="宋体" w:hAns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footer" Target="footer1.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png"/><Relationship Id="rId26" Type="http://schemas.openxmlformats.org/officeDocument/2006/relationships/image" Target="media/image12.emf"/><Relationship Id="rId25" Type="http://schemas.openxmlformats.org/officeDocument/2006/relationships/oleObject" Target="embeddings/oleObject6.bin"/><Relationship Id="rId24" Type="http://schemas.openxmlformats.org/officeDocument/2006/relationships/image" Target="media/image11.emf"/><Relationship Id="rId23" Type="http://schemas.openxmlformats.org/officeDocument/2006/relationships/oleObject" Target="embeddings/oleObject5.bin"/><Relationship Id="rId22" Type="http://schemas.openxmlformats.org/officeDocument/2006/relationships/image" Target="media/image10.emf"/><Relationship Id="rId21" Type="http://schemas.openxmlformats.org/officeDocument/2006/relationships/oleObject" Target="embeddings/oleObject4.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8.emf"/><Relationship Id="rId17" Type="http://schemas.openxmlformats.org/officeDocument/2006/relationships/oleObject" Target="embeddings/oleObject2.bin"/><Relationship Id="rId16" Type="http://schemas.openxmlformats.org/officeDocument/2006/relationships/image" Target="media/image7.emf"/><Relationship Id="rId15" Type="http://schemas.openxmlformats.org/officeDocument/2006/relationships/oleObject" Target="embeddings/oleObject1.bin"/><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102</Pages>
  <Words>53025</Words>
  <Characters>59951</Characters>
  <Lines>367</Lines>
  <Paragraphs>103</Paragraphs>
  <TotalTime>9</TotalTime>
  <ScaleCrop>false</ScaleCrop>
  <LinksUpToDate>false</LinksUpToDate>
  <CharactersWithSpaces>60093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2021-02-20T02:08:00Z</dcterms:created>
  <dc:creator>lhj</dc:creator>
  <cp:lastModifiedBy>Administrator</cp:lastModifiedBy>
  <cp:lastPrinted>2023-01-30T00:40:00Z</cp:lastPrinted>
  <dcterms:modified xsi:type="dcterms:W3CDTF">2023-02-09T03:17:16Z</dcterms:modified>
  <dc:title>附件2</dc:title>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9B992994AB664ADB93D52838A47D6DC2</vt:lpwstr>
  </property>
</Properties>
</file>